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lineRule="atLeast" w:line="142" w:before="0" w:after="0"/>
        <w:jc w:val="left"/>
        <w:rPr>
          <w:bdr w:val="single" w:sz="2" w:space="1" w:color="000000"/>
        </w:rPr>
      </w:pPr>
      <w:bookmarkStart w:id="0" w:name="d126294d1512g.htm"/>
      <w:bookmarkStart w:id="1" w:name="ksd126294d1512g"/>
      <w:bookmarkEnd w:id="0"/>
      <w:bookmarkEnd w:id="1"/>
      <w:r>
        <w:rPr>
          <w:bdr w:val="single" w:sz="2" w:space="1" w:color="000000"/>
        </w:rPr>
        <w:t xml:space="preserve">  </w:t>
      </w:r>
    </w:p>
    <w:p>
      <w:pPr>
        <w:pStyle w:val="TextBody"/>
        <w:bidi w:val="0"/>
        <w:spacing w:lineRule="atLeast" w:line="142" w:before="0" w:after="40"/>
        <w:jc w:val="left"/>
        <w:rPr>
          <w:bdr w:val="single" w:sz="2" w:space="1" w:color="000000"/>
        </w:rPr>
      </w:pPr>
      <w:r>
        <w:rPr>
          <w:bdr w:val="single" w:sz="2" w:space="1" w:color="000000"/>
        </w:rPr>
        <w:t> </w:t>
      </w:r>
    </w:p>
    <w:p>
      <w:pPr>
        <w:pStyle w:val="TextBody"/>
        <w:bidi w:val="0"/>
        <w:spacing w:before="80" w:after="0"/>
        <w:jc w:val="center"/>
        <w:rPr>
          <w:rFonts w:ascii="Times New Roman" w:hAnsi="Times New Roman"/>
          <w:b/>
          <w:sz w:val="36"/>
        </w:rPr>
      </w:pPr>
      <w:r>
        <w:rPr>
          <w:rFonts w:ascii="Times New Roman" w:hAnsi="Times New Roman"/>
          <w:b/>
          <w:sz w:val="36"/>
        </w:rPr>
        <w:t xml:space="preserve">UNITED STATES </w:t>
      </w:r>
    </w:p>
    <w:p>
      <w:pPr>
        <w:pStyle w:val="TextBody"/>
        <w:bidi w:val="0"/>
        <w:spacing w:before="0" w:after="0"/>
        <w:jc w:val="center"/>
        <w:rPr>
          <w:rFonts w:ascii="Times New Roman" w:hAnsi="Times New Roman"/>
          <w:b/>
          <w:sz w:val="36"/>
        </w:rPr>
      </w:pPr>
      <w:r>
        <w:rPr>
          <w:rFonts w:ascii="Times New Roman" w:hAnsi="Times New Roman"/>
          <w:b/>
          <w:sz w:val="36"/>
        </w:rPr>
        <w:t xml:space="preserve">SECURITIES AND EXCHANGE COMMISSION </w:t>
      </w:r>
    </w:p>
    <w:p>
      <w:pPr>
        <w:pStyle w:val="TextBody"/>
        <w:bidi w:val="0"/>
        <w:spacing w:before="0" w:after="0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 xml:space="preserve">Washington, D.C. 20549 </w:t>
      </w:r>
    </w:p>
    <w:p>
      <w:pPr>
        <w:pStyle w:val="TextBody"/>
        <w:bidi w:val="0"/>
        <w:spacing w:before="0" w:after="0"/>
        <w:jc w:val="left"/>
        <w:rPr/>
      </w:pPr>
      <w:r>
        <w:rPr/>
        <w:t> </w:t>
      </w:r>
    </w:p>
    <w:p>
      <w:pPr>
        <w:pStyle w:val="TextBody"/>
        <w:bidi w:val="0"/>
        <w:spacing w:lineRule="atLeast" w:line="142" w:before="0" w:after="40"/>
        <w:jc w:val="center"/>
        <w:rPr>
          <w:bdr w:val="single" w:sz="8" w:space="1" w:color="000000"/>
        </w:rPr>
      </w:pPr>
      <w:r>
        <w:rPr>
          <w:bdr w:val="single" w:sz="8" w:space="1" w:color="000000"/>
        </w:rPr>
        <w:t> </w:t>
      </w:r>
    </w:p>
    <w:p>
      <w:pPr>
        <w:pStyle w:val="TextBody"/>
        <w:bidi w:val="0"/>
        <w:spacing w:before="240" w:after="0"/>
        <w:jc w:val="center"/>
        <w:rPr>
          <w:rFonts w:ascii="Times New Roman" w:hAnsi="Times New Roman"/>
          <w:b/>
          <w:sz w:val="36"/>
        </w:rPr>
      </w:pPr>
      <w:r>
        <w:rPr>
          <w:rFonts w:ascii="Times New Roman" w:hAnsi="Times New Roman"/>
          <w:b/>
          <w:sz w:val="36"/>
        </w:rPr>
        <w:t xml:space="preserve">FORM 15 </w:t>
      </w:r>
    </w:p>
    <w:p>
      <w:pPr>
        <w:pStyle w:val="TextBody"/>
        <w:bidi w:val="0"/>
        <w:spacing w:before="0" w:after="0"/>
        <w:jc w:val="left"/>
        <w:rPr/>
      </w:pPr>
      <w:r>
        <w:rPr/>
        <w:t> </w:t>
      </w:r>
    </w:p>
    <w:p>
      <w:pPr>
        <w:pStyle w:val="TextBody"/>
        <w:bidi w:val="0"/>
        <w:spacing w:lineRule="atLeast" w:line="142" w:before="0" w:after="40"/>
        <w:jc w:val="center"/>
        <w:rPr>
          <w:bdr w:val="single" w:sz="8" w:space="1" w:color="000000"/>
        </w:rPr>
      </w:pPr>
      <w:r>
        <w:rPr>
          <w:bdr w:val="single" w:sz="8" w:space="1" w:color="000000"/>
        </w:rPr>
        <w:t> </w:t>
      </w:r>
    </w:p>
    <w:p>
      <w:pPr>
        <w:pStyle w:val="TextBody"/>
        <w:bidi w:val="0"/>
        <w:spacing w:before="240" w:after="0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 xml:space="preserve">CERTIFICATION AND NOTICE OF TERMINATION OF REGISTRATION </w:t>
      </w:r>
    </w:p>
    <w:p>
      <w:pPr>
        <w:pStyle w:val="TextBody"/>
        <w:bidi w:val="0"/>
        <w:spacing w:before="0" w:after="0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 xml:space="preserve">UNDER SECTION 12(g) OF THE SECURITIES EXCHANGE ACT OF 1934 </w:t>
      </w:r>
    </w:p>
    <w:p>
      <w:pPr>
        <w:pStyle w:val="TextBody"/>
        <w:bidi w:val="0"/>
        <w:spacing w:before="0" w:after="0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 xml:space="preserve">OR SUSPENSION OF DUTY TO FILE REPORTS UNDER SECTIONS 13 AND 15(d) </w:t>
      </w:r>
    </w:p>
    <w:p>
      <w:pPr>
        <w:pStyle w:val="TextBody"/>
        <w:bidi w:val="0"/>
        <w:spacing w:before="0" w:after="0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 xml:space="preserve">OF THE SECURITIES EXCHANGE ACT OF 1934. </w:t>
      </w:r>
    </w:p>
    <w:p>
      <w:pPr>
        <w:pStyle w:val="TextBody"/>
        <w:bidi w:val="0"/>
        <w:spacing w:before="240" w:after="0"/>
        <w:jc w:val="center"/>
        <w:rPr>
          <w:rFonts w:ascii="Times New Roman" w:hAnsi="Times New Roman"/>
          <w:b/>
          <w:sz w:val="20"/>
        </w:rPr>
      </w:pPr>
      <w:r>
        <w:rPr>
          <w:rFonts w:ascii="Times New Roman" w:hAnsi="Times New Roman"/>
          <w:b/>
          <w:sz w:val="20"/>
        </w:rPr>
        <w:t xml:space="preserve">Commission File Number 001-39273 </w:t>
      </w:r>
    </w:p>
    <w:p>
      <w:pPr>
        <w:pStyle w:val="TextBody"/>
        <w:bidi w:val="0"/>
        <w:spacing w:before="0" w:after="0"/>
        <w:jc w:val="left"/>
        <w:rPr/>
      </w:pPr>
      <w:r>
        <w:rPr/>
        <w:t> </w:t>
      </w:r>
    </w:p>
    <w:p>
      <w:pPr>
        <w:pStyle w:val="TextBody"/>
        <w:bidi w:val="0"/>
        <w:spacing w:lineRule="atLeast" w:line="142" w:before="0" w:after="40"/>
        <w:jc w:val="center"/>
        <w:rPr>
          <w:bdr w:val="single" w:sz="8" w:space="1" w:color="000000"/>
        </w:rPr>
      </w:pPr>
      <w:r>
        <w:rPr>
          <w:bdr w:val="single" w:sz="8" w:space="1" w:color="000000"/>
        </w:rPr>
        <w:t> </w:t>
      </w:r>
    </w:p>
    <w:p>
      <w:pPr>
        <w:pStyle w:val="TextBody"/>
        <w:bidi w:val="0"/>
        <w:spacing w:before="240" w:after="0"/>
        <w:jc w:val="center"/>
        <w:rPr>
          <w:rFonts w:ascii="Times New Roman" w:hAnsi="Times New Roman"/>
          <w:b/>
          <w:sz w:val="48"/>
        </w:rPr>
      </w:pPr>
      <w:r>
        <w:rPr>
          <w:rFonts w:ascii="Times New Roman" w:hAnsi="Times New Roman"/>
          <w:b/>
          <w:sz w:val="48"/>
        </w:rPr>
        <w:t xml:space="preserve">Lyra Therapeutics, Inc. </w:t>
      </w:r>
    </w:p>
    <w:p>
      <w:pPr>
        <w:pStyle w:val="TextBody"/>
        <w:bidi w:val="0"/>
        <w:spacing w:before="0" w:after="0"/>
        <w:jc w:val="center"/>
        <w:rPr>
          <w:rFonts w:ascii="Times New Roman" w:hAnsi="Times New Roman"/>
          <w:b/>
          <w:sz w:val="20"/>
        </w:rPr>
      </w:pPr>
      <w:r>
        <w:rPr>
          <w:rFonts w:ascii="Times New Roman" w:hAnsi="Times New Roman"/>
          <w:b/>
          <w:sz w:val="20"/>
        </w:rPr>
        <w:t xml:space="preserve">(Exact name of registrant as specified in its charter) </w:t>
      </w:r>
    </w:p>
    <w:p>
      <w:pPr>
        <w:pStyle w:val="TextBody"/>
        <w:bidi w:val="0"/>
        <w:spacing w:before="0" w:after="0"/>
        <w:jc w:val="left"/>
        <w:rPr/>
      </w:pPr>
      <w:r>
        <w:rPr/>
        <w:t> </w:t>
      </w:r>
    </w:p>
    <w:p>
      <w:pPr>
        <w:pStyle w:val="TextBody"/>
        <w:bidi w:val="0"/>
        <w:spacing w:lineRule="atLeast" w:line="142" w:before="0" w:after="40"/>
        <w:jc w:val="center"/>
        <w:rPr>
          <w:bdr w:val="single" w:sz="8" w:space="1" w:color="000000"/>
        </w:rPr>
      </w:pPr>
      <w:r>
        <w:rPr>
          <w:bdr w:val="single" w:sz="8" w:space="1" w:color="000000"/>
        </w:rPr>
        <w:t> </w:t>
      </w:r>
    </w:p>
    <w:p>
      <w:pPr>
        <w:pStyle w:val="TextBody"/>
        <w:bidi w:val="0"/>
        <w:spacing w:before="240" w:after="0"/>
        <w:jc w:val="center"/>
        <w:rPr>
          <w:rFonts w:ascii="Times New Roman" w:hAnsi="Times New Roman"/>
          <w:b/>
          <w:sz w:val="20"/>
        </w:rPr>
      </w:pPr>
      <w:r>
        <w:rPr>
          <w:rFonts w:ascii="Times New Roman" w:hAnsi="Times New Roman"/>
          <w:b/>
          <w:sz w:val="20"/>
        </w:rPr>
        <w:t xml:space="preserve">480 Arsenal Way </w:t>
      </w:r>
    </w:p>
    <w:p>
      <w:pPr>
        <w:pStyle w:val="TextBody"/>
        <w:bidi w:val="0"/>
        <w:spacing w:before="0" w:after="0"/>
        <w:jc w:val="center"/>
        <w:rPr>
          <w:rFonts w:ascii="Times New Roman" w:hAnsi="Times New Roman"/>
          <w:b/>
          <w:sz w:val="20"/>
        </w:rPr>
      </w:pPr>
      <w:r>
        <w:rPr>
          <w:rFonts w:ascii="Times New Roman" w:hAnsi="Times New Roman"/>
          <w:b/>
          <w:sz w:val="20"/>
        </w:rPr>
        <w:t xml:space="preserve">Watertown, MA 02472 </w:t>
      </w:r>
    </w:p>
    <w:p>
      <w:pPr>
        <w:pStyle w:val="TextBody"/>
        <w:bidi w:val="0"/>
        <w:spacing w:before="0" w:after="0"/>
        <w:jc w:val="center"/>
        <w:rPr>
          <w:rFonts w:ascii="Times New Roman" w:hAnsi="Times New Roman"/>
          <w:b/>
          <w:sz w:val="20"/>
        </w:rPr>
      </w:pPr>
      <w:r>
        <w:rPr>
          <w:rFonts w:ascii="Times New Roman" w:hAnsi="Times New Roman"/>
          <w:b/>
          <w:sz w:val="20"/>
        </w:rPr>
        <w:t>(617) 393-4600</w:t>
      </w:r>
    </w:p>
    <w:p>
      <w:pPr>
        <w:pStyle w:val="TextBody"/>
        <w:bidi w:val="0"/>
        <w:spacing w:before="0" w:after="0"/>
        <w:jc w:val="center"/>
        <w:rPr>
          <w:rFonts w:ascii="Times New Roman" w:hAnsi="Times New Roman"/>
          <w:b/>
          <w:sz w:val="16"/>
        </w:rPr>
      </w:pPr>
      <w:r>
        <w:rPr>
          <w:rFonts w:ascii="Times New Roman" w:hAnsi="Times New Roman"/>
          <w:b/>
          <w:sz w:val="16"/>
        </w:rPr>
        <w:t xml:space="preserve">(Address, including zip code, and telephone number, including area code, of registrant’s principal executive offices) </w:t>
      </w:r>
    </w:p>
    <w:p>
      <w:pPr>
        <w:pStyle w:val="TextBody"/>
        <w:bidi w:val="0"/>
        <w:spacing w:before="240" w:after="0"/>
        <w:jc w:val="center"/>
        <w:rPr>
          <w:rFonts w:ascii="Times New Roman" w:hAnsi="Times New Roman"/>
          <w:b/>
          <w:sz w:val="20"/>
        </w:rPr>
      </w:pPr>
      <w:r>
        <w:rPr>
          <w:rFonts w:ascii="Times New Roman" w:hAnsi="Times New Roman"/>
          <w:b/>
          <w:sz w:val="20"/>
        </w:rPr>
        <w:t xml:space="preserve">Common Stock, par value $0.001 per share </w:t>
      </w:r>
    </w:p>
    <w:p>
      <w:pPr>
        <w:pStyle w:val="TextBody"/>
        <w:bidi w:val="0"/>
        <w:spacing w:before="0" w:after="0"/>
        <w:jc w:val="center"/>
        <w:rPr>
          <w:rFonts w:ascii="Times New Roman" w:hAnsi="Times New Roman"/>
          <w:b/>
          <w:sz w:val="16"/>
        </w:rPr>
      </w:pPr>
      <w:r>
        <w:rPr>
          <w:rFonts w:ascii="Times New Roman" w:hAnsi="Times New Roman"/>
          <w:b/>
          <w:sz w:val="16"/>
        </w:rPr>
        <w:t xml:space="preserve">(Title of each class of securities covered by this Form) </w:t>
      </w:r>
    </w:p>
    <w:p>
      <w:pPr>
        <w:pStyle w:val="TextBody"/>
        <w:bidi w:val="0"/>
        <w:spacing w:before="240" w:after="0"/>
        <w:jc w:val="center"/>
        <w:rPr>
          <w:rFonts w:ascii="Times New Roman" w:hAnsi="Times New Roman"/>
          <w:b/>
          <w:sz w:val="20"/>
        </w:rPr>
      </w:pPr>
      <w:r>
        <w:rPr>
          <w:rFonts w:ascii="Times New Roman" w:hAnsi="Times New Roman"/>
          <w:b/>
          <w:sz w:val="20"/>
        </w:rPr>
        <w:t xml:space="preserve">None </w:t>
      </w:r>
    </w:p>
    <w:p>
      <w:pPr>
        <w:pStyle w:val="TextBody"/>
        <w:bidi w:val="0"/>
        <w:spacing w:before="0" w:after="0"/>
        <w:jc w:val="center"/>
        <w:rPr>
          <w:rFonts w:ascii="Times New Roman" w:hAnsi="Times New Roman"/>
          <w:b/>
          <w:sz w:val="16"/>
        </w:rPr>
      </w:pPr>
      <w:r>
        <w:rPr>
          <w:rFonts w:ascii="Times New Roman" w:hAnsi="Times New Roman"/>
          <w:b/>
          <w:sz w:val="16"/>
        </w:rPr>
        <w:t xml:space="preserve">(Titles of all other classes of securities for which a duty to file reports under section 13(a) or 15(d) remains) </w:t>
      </w:r>
    </w:p>
    <w:p>
      <w:pPr>
        <w:pStyle w:val="TextBody"/>
        <w:bidi w:val="0"/>
        <w:spacing w:before="0" w:after="0"/>
        <w:jc w:val="left"/>
        <w:rPr/>
      </w:pPr>
      <w:r>
        <w:rPr/>
        <w:t> </w:t>
      </w:r>
    </w:p>
    <w:p>
      <w:pPr>
        <w:pStyle w:val="TextBody"/>
        <w:bidi w:val="0"/>
        <w:spacing w:lineRule="atLeast" w:line="142" w:before="0" w:after="40"/>
        <w:jc w:val="center"/>
        <w:rPr>
          <w:bdr w:val="single" w:sz="8" w:space="1" w:color="000000"/>
        </w:rPr>
      </w:pPr>
      <w:r>
        <w:rPr>
          <w:bdr w:val="single" w:sz="8" w:space="1" w:color="000000"/>
        </w:rPr>
        <w:t> </w:t>
      </w:r>
    </w:p>
    <w:p>
      <w:pPr>
        <w:pStyle w:val="TextBody"/>
        <w:bidi w:val="0"/>
        <w:spacing w:before="240" w:after="0"/>
        <w:jc w:val="left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Please place an X in the box(es) to designate the appropriate rule provision(s) relied upon to terminate or suspend the duty to file reports: </w:t>
      </w:r>
    </w:p>
    <w:p>
      <w:pPr>
        <w:pStyle w:val="TextBody"/>
        <w:bidi w:val="0"/>
        <w:spacing w:before="0" w:after="0"/>
        <w:jc w:val="left"/>
        <w:rPr/>
      </w:pPr>
      <w:r>
        <w:rPr/>
        <w:t> </w:t>
      </w:r>
    </w:p>
    <w:tbl>
      <w:tblPr>
        <w:tblW w:w="1000" w:type="pct"/>
        <w:jc w:val="center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726"/>
        <w:gridCol w:w="60"/>
        <w:gridCol w:w="255"/>
      </w:tblGrid>
      <w:tr>
        <w:trPr/>
        <w:tc>
          <w:tcPr>
            <w:tcW w:w="17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726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Rule 12g-4(a)(1)</w:t>
            </w:r>
          </w:p>
        </w:tc>
        <w:tc>
          <w:tcPr>
            <w:tcW w:w="60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2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☒</w:t>
            </w:r>
          </w:p>
        </w:tc>
      </w:tr>
      <w:tr>
        <w:trPr/>
        <w:tc>
          <w:tcPr>
            <w:tcW w:w="1726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Rule 12g-4(a)(2)</w:t>
            </w:r>
          </w:p>
        </w:tc>
        <w:tc>
          <w:tcPr>
            <w:tcW w:w="60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2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☐</w:t>
            </w:r>
          </w:p>
        </w:tc>
      </w:tr>
      <w:tr>
        <w:trPr/>
        <w:tc>
          <w:tcPr>
            <w:tcW w:w="1726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Rule 12h-3(b)(1)(i)</w:t>
            </w:r>
          </w:p>
        </w:tc>
        <w:tc>
          <w:tcPr>
            <w:tcW w:w="60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2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☒</w:t>
            </w:r>
          </w:p>
        </w:tc>
      </w:tr>
      <w:tr>
        <w:trPr/>
        <w:tc>
          <w:tcPr>
            <w:tcW w:w="1726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Rule 12h-3(b)(1)(ii)</w:t>
            </w:r>
          </w:p>
        </w:tc>
        <w:tc>
          <w:tcPr>
            <w:tcW w:w="60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2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☐</w:t>
            </w:r>
          </w:p>
        </w:tc>
      </w:tr>
      <w:tr>
        <w:trPr/>
        <w:tc>
          <w:tcPr>
            <w:tcW w:w="1726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Rule 15d-6</w:t>
            </w:r>
          </w:p>
        </w:tc>
        <w:tc>
          <w:tcPr>
            <w:tcW w:w="60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2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☐</w:t>
            </w:r>
          </w:p>
        </w:tc>
      </w:tr>
      <w:tr>
        <w:trPr/>
        <w:tc>
          <w:tcPr>
            <w:tcW w:w="1726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Rule 15d-22(b)</w:t>
            </w:r>
          </w:p>
        </w:tc>
        <w:tc>
          <w:tcPr>
            <w:tcW w:w="60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2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☐</w:t>
            </w:r>
          </w:p>
        </w:tc>
      </w:tr>
    </w:tbl>
    <w:p>
      <w:pPr>
        <w:pStyle w:val="TextBody"/>
        <w:bidi w:val="0"/>
        <w:spacing w:before="240" w:after="0"/>
        <w:jc w:val="left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Approximate number of holders of record as of the certification or notice date: 121 </w:t>
      </w:r>
    </w:p>
    <w:p>
      <w:pPr>
        <w:pStyle w:val="TextBody"/>
        <w:bidi w:val="0"/>
        <w:spacing w:before="240" w:after="0"/>
        <w:jc w:val="center"/>
        <w:rPr>
          <w:rFonts w:ascii="Times New Roman" w:hAnsi="Times New Roman"/>
          <w:b/>
          <w:sz w:val="20"/>
        </w:rPr>
      </w:pPr>
      <w:r>
        <w:rPr>
          <w:rFonts w:ascii="Times New Roman" w:hAnsi="Times New Roman"/>
          <w:b/>
          <w:sz w:val="20"/>
        </w:rPr>
        <w:t xml:space="preserve">SIGNATURE </w:t>
      </w:r>
    </w:p>
    <w:p>
      <w:pPr>
        <w:pStyle w:val="TextBody"/>
        <w:bidi w:val="0"/>
        <w:spacing w:before="240" w:after="0"/>
        <w:jc w:val="left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Pursuant to the requirements of the Securities Exchange Act of 1934, Lyra Therapeutics, Inc. has caused this certification/notice to be signed on its behalf by the undersigned duly authorized person. </w:t>
      </w:r>
    </w:p>
    <w:p>
      <w:pPr>
        <w:pStyle w:val="TextBody"/>
        <w:bidi w:val="0"/>
        <w:spacing w:before="0" w:after="0"/>
        <w:jc w:val="left"/>
        <w:rPr/>
      </w:pPr>
      <w:r>
        <w:rPr/>
        <w:t> </w:t>
      </w:r>
    </w:p>
    <w:tbl>
      <w:tblPr>
        <w:tblW w:w="5000" w:type="pct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4509"/>
        <w:gridCol w:w="109"/>
        <w:gridCol w:w="395"/>
        <w:gridCol w:w="109"/>
        <w:gridCol w:w="367"/>
        <w:gridCol w:w="109"/>
        <w:gridCol w:w="4607"/>
      </w:tblGrid>
      <w:tr>
        <w:trPr/>
        <w:tc>
          <w:tcPr>
            <w:tcW w:w="45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9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6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60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509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395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5083" w:type="dxa"/>
            <w:gridSpan w:val="3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Lyra Therapeutics, Inc.</w:t>
            </w:r>
          </w:p>
        </w:tc>
      </w:tr>
      <w:tr>
        <w:trPr>
          <w:trHeight w:val="240" w:hRule="atLeast"/>
        </w:trPr>
        <w:tc>
          <w:tcPr>
            <w:tcW w:w="45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04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76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716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509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Date: April 30, 2026</w:t>
            </w:r>
          </w:p>
        </w:tc>
        <w:tc>
          <w:tcPr>
            <w:tcW w:w="109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395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367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By:</w:t>
            </w:r>
          </w:p>
        </w:tc>
        <w:tc>
          <w:tcPr>
            <w:tcW w:w="109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4607" w:type="dxa"/>
            <w:tcBorders/>
            <w:vAlign w:val="bottom"/>
          </w:tcPr>
          <w:p>
            <w:pPr>
              <w:pStyle w:val="TableContents"/>
              <w:pBdr>
                <w:bottom w:val="single" w:sz="2" w:space="1" w:color="000000"/>
              </w:pBdr>
              <w:bidi w:val="0"/>
              <w:spacing w:before="0" w:after="20"/>
              <w:jc w:val="left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/s/ Jason Cavalier</w:t>
            </w:r>
          </w:p>
        </w:tc>
      </w:tr>
      <w:tr>
        <w:trPr/>
        <w:tc>
          <w:tcPr>
            <w:tcW w:w="4509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395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367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4607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Name: Jason Cavalier</w:t>
            </w:r>
          </w:p>
        </w:tc>
      </w:tr>
      <w:tr>
        <w:trPr/>
        <w:tc>
          <w:tcPr>
            <w:tcW w:w="4509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395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367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4607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Title: Authorized Signatory</w:t>
            </w:r>
          </w:p>
        </w:tc>
      </w:tr>
    </w:tbl>
    <w:p>
      <w:pPr>
        <w:pStyle w:val="TextBody"/>
        <w:bidi w:val="0"/>
        <w:spacing w:before="0" w:after="0"/>
        <w:jc w:val="left"/>
        <w:rPr/>
      </w:pPr>
      <w:r>
        <w:rPr/>
        <w:t> </w:t>
      </w:r>
    </w:p>
    <w:p>
      <w:pPr>
        <w:pStyle w:val="TextBody"/>
        <w:bidi w:val="0"/>
        <w:spacing w:lineRule="atLeast" w:line="142" w:before="0" w:after="0"/>
        <w:jc w:val="left"/>
        <w:rPr>
          <w:bdr w:val="single" w:sz="2" w:space="1" w:color="000000"/>
        </w:rPr>
      </w:pPr>
      <w:r>
        <w:rPr>
          <w:bdr w:val="single" w:sz="2" w:space="1" w:color="000000"/>
        </w:rPr>
        <w:t xml:space="preserve">  </w:t>
      </w:r>
    </w:p>
    <w:p>
      <w:pPr>
        <w:pStyle w:val="TextBody"/>
        <w:bidi w:val="0"/>
        <w:spacing w:lineRule="atLeast" w:line="142" w:before="0" w:after="40"/>
        <w:jc w:val="left"/>
        <w:rPr>
          <w:bdr w:val="single" w:sz="2" w:space="1" w:color="000000"/>
        </w:rPr>
      </w:pPr>
      <w:r>
        <w:rPr>
          <w:bdr w:val="single" w:sz="2" w:space="1" w:color="000000"/>
        </w:rPr>
        <w:t> </w:t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Times New Roman"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228</Words>
  <Characters>1237</Characters>
  <CharactersWithSpaces>1482</CharactersWithSpaces>
  <Paragraphs>75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>15-12G</dc:title>
</cp:coreProperties>
</file>