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46990</wp:posOffset>
            </wp:positionV>
            <wp:extent cx="2263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8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(Rule 14a-101)</w:t>
      </w:r>
    </w:p>
    <w:p>
      <w:pPr>
        <w:spacing w:after="0" w:line="20" w:lineRule="exact"/>
        <w:rPr>
          <w:sz w:val="24"/>
          <w:szCs w:val="24"/>
          <w:color w:val="auto"/>
        </w:rPr>
      </w:pPr>
    </w:p>
    <w:p>
      <w:pPr>
        <w:ind w:left="294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ind w:left="4000"/>
        <w:spacing w:after="0"/>
        <w:rPr>
          <w:sz w:val="20"/>
          <w:szCs w:val="20"/>
          <w:color w:val="auto"/>
        </w:rPr>
      </w:pPr>
      <w:r>
        <w:rPr>
          <w:rFonts w:ascii="Arial" w:cs="Arial" w:eastAsia="Arial" w:hAnsi="Arial"/>
          <w:sz w:val="22"/>
          <w:szCs w:val="22"/>
          <w:b w:val="1"/>
          <w:bCs w:val="1"/>
          <w:color w:val="auto"/>
        </w:rPr>
        <w:t>SCHEDULE 14A INFORMATION</w:t>
      </w:r>
    </w:p>
    <w:p>
      <w:pPr>
        <w:spacing w:after="0" w:line="20" w:lineRule="exact"/>
        <w:rPr>
          <w:sz w:val="24"/>
          <w:szCs w:val="24"/>
          <w:color w:val="auto"/>
        </w:rPr>
      </w:pPr>
    </w:p>
    <w:p>
      <w:pPr>
        <w:ind w:left="334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Exchange Act of 1934</w:t>
      </w:r>
    </w:p>
    <w:p>
      <w:pPr>
        <w:jc w:val="center"/>
        <w:ind w:right="-39"/>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55880</wp:posOffset>
            </wp:positionV>
            <wp:extent cx="2263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88" w:lineRule="exact"/>
        <w:rPr>
          <w:sz w:val="24"/>
          <w:szCs w:val="24"/>
          <w:color w:val="auto"/>
        </w:rPr>
      </w:pPr>
    </w:p>
    <w:p>
      <w:pPr>
        <w:spacing w:after="0" w:line="207" w:lineRule="exact"/>
        <w:tabs>
          <w:tab w:leader="none" w:pos="25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82"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Lyra Therapeutics, Inc.</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9" w:lineRule="exact"/>
        <w:rPr>
          <w:sz w:val="24"/>
          <w:szCs w:val="24"/>
          <w:color w:val="auto"/>
        </w:rPr>
      </w:pPr>
    </w:p>
    <w:p>
      <w:pPr>
        <w:ind w:left="33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540" w:hanging="532"/>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400" w:hanging="852"/>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90" w:lineRule="exact"/>
        <w:rPr>
          <w:rFonts w:ascii="Arial" w:cs="Arial" w:eastAsia="Arial" w:hAnsi="Arial"/>
          <w:sz w:val="18"/>
          <w:szCs w:val="18"/>
          <w:color w:val="auto"/>
        </w:rPr>
      </w:pPr>
    </w:p>
    <w:p>
      <w:pPr>
        <w:ind w:left="1400" w:hanging="852"/>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0" w:lineRule="exact"/>
        <w:rPr>
          <w:rFonts w:ascii="Arial" w:cs="Arial" w:eastAsia="Arial" w:hAnsi="Arial"/>
          <w:sz w:val="18"/>
          <w:szCs w:val="18"/>
          <w:color w:val="auto"/>
        </w:rPr>
      </w:pPr>
    </w:p>
    <w:p>
      <w:pPr>
        <w:ind w:left="1400" w:hanging="852"/>
        <w:spacing w:after="0" w:line="277" w:lineRule="auto"/>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 w:lineRule="exact"/>
        <w:rPr>
          <w:rFonts w:ascii="Arial" w:cs="Arial" w:eastAsia="Arial" w:hAnsi="Arial"/>
          <w:sz w:val="18"/>
          <w:szCs w:val="18"/>
          <w:color w:val="auto"/>
        </w:rPr>
      </w:pPr>
    </w:p>
    <w:p>
      <w:pPr>
        <w:ind w:left="1400" w:hanging="852"/>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0" w:lineRule="exact"/>
        <w:rPr>
          <w:rFonts w:ascii="Arial" w:cs="Arial" w:eastAsia="Arial" w:hAnsi="Arial"/>
          <w:sz w:val="18"/>
          <w:szCs w:val="18"/>
          <w:color w:val="auto"/>
        </w:rPr>
      </w:pPr>
    </w:p>
    <w:p>
      <w:pPr>
        <w:ind w:left="1400" w:hanging="852"/>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540" w:right="140" w:hanging="532"/>
        <w:spacing w:after="0" w:line="298" w:lineRule="auto"/>
        <w:tabs>
          <w:tab w:leader="none" w:pos="5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400" w:hanging="852"/>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90" w:lineRule="exact"/>
        <w:rPr>
          <w:rFonts w:ascii="Arial" w:cs="Arial" w:eastAsia="Arial" w:hAnsi="Arial"/>
          <w:sz w:val="18"/>
          <w:szCs w:val="18"/>
          <w:color w:val="auto"/>
        </w:rPr>
      </w:pPr>
    </w:p>
    <w:p>
      <w:pPr>
        <w:ind w:left="1400" w:hanging="852"/>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0" w:lineRule="exact"/>
        <w:rPr>
          <w:rFonts w:ascii="Arial" w:cs="Arial" w:eastAsia="Arial" w:hAnsi="Arial"/>
          <w:sz w:val="18"/>
          <w:szCs w:val="18"/>
          <w:color w:val="auto"/>
        </w:rPr>
      </w:pPr>
    </w:p>
    <w:p>
      <w:pPr>
        <w:ind w:left="1400" w:hanging="852"/>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0" w:lineRule="exact"/>
        <w:rPr>
          <w:rFonts w:ascii="Arial" w:cs="Arial" w:eastAsia="Arial" w:hAnsi="Arial"/>
          <w:sz w:val="18"/>
          <w:szCs w:val="18"/>
          <w:color w:val="auto"/>
        </w:rPr>
      </w:pPr>
    </w:p>
    <w:p>
      <w:pPr>
        <w:ind w:left="1400" w:hanging="852"/>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887730</wp:posOffset>
            </wp:positionH>
            <wp:positionV relativeFrom="paragraph">
              <wp:posOffset>57785</wp:posOffset>
            </wp:positionV>
            <wp:extent cx="6249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-130175</wp:posOffset>
            </wp:positionV>
            <wp:extent cx="6249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-318770</wp:posOffset>
            </wp:positionV>
            <wp:extent cx="6249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-507365</wp:posOffset>
            </wp:positionV>
            <wp:extent cx="6249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49035" cy="889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-1244600</wp:posOffset>
            </wp:positionV>
            <wp:extent cx="6249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-1433195</wp:posOffset>
            </wp:positionV>
            <wp:extent cx="6249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49035" cy="889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-1621790</wp:posOffset>
            </wp:positionV>
            <wp:extent cx="6249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-1939290</wp:posOffset>
            </wp:positionV>
            <wp:extent cx="6249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-2127885</wp:posOffset>
            </wp:positionV>
            <wp:extent cx="62490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490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413385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06"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Lyra Therapeutics,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NOTICE &amp; PROXY STATEMENT</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May 26,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8:30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51"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LYRA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480 ARSENAL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WATERTOWN, MASSACHUSETTS 02472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April 14,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You are cordially invited to attend the 2021 Annual Meeting of Stockholders (the “Annual Meeting”) of Lyra Therapeutics, Inc. at 8:30 a.m. Eastern time, on Wednesday, May 26, 2021. In light of the ongoing COVID-19 pandemic, the Annual Meeting will be a completely virtual meeting, which will be conducted via live webcast.</w:t>
      </w:r>
    </w:p>
    <w:p>
      <w:pPr>
        <w:spacing w:after="0" w:line="19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Notice of Meeting and Proxy Statement on the following pages describe the matters to be presented at the Annual Meeting. Please see the section called “Who can attend the Annual Meeting?” on page 3 of the proxy statement for more information about how to attend the meeting online.</w:t>
      </w:r>
    </w:p>
    <w:p>
      <w:pPr>
        <w:spacing w:after="0" w:line="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Whether or not you attend the Annual Meeting online,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Annual Meeting, you will be able to vote online, even if you have previously submitted your proxy.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support.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Maria Palasis, Ph.D.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Maria Palasis,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351"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560" w:type="dxa"/>
            <w:vAlign w:val="bottom"/>
            <w:gridSpan w:val="5"/>
          </w:tcPr>
          <w:p>
            <w:pPr>
              <w:ind w:left="54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680" w:type="dxa"/>
            <w:vAlign w:val="bottom"/>
            <w:gridSpan w:val="16"/>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Notice of Annual Meeting of Stockholders To Be Held Wednesday, May 26, 2021</w:t>
              </w:r>
            </w:hyperlink>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10680" w:type="dxa"/>
            <w:vAlign w:val="bottom"/>
            <w:gridSpan w:val="16"/>
            <w:vMerge w:val="continue"/>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Proxy Statement</w:t>
              </w:r>
            </w:hyperlink>
          </w:p>
        </w:tc>
        <w:tc>
          <w:tcPr>
            <w:tcW w:w="478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Questions and Answers About the 2021 Annual Meeting of Stockholders</w:t>
              </w:r>
            </w:hyperlink>
          </w:p>
        </w:tc>
        <w:tc>
          <w:tcPr>
            <w:tcW w:w="5400" w:type="dxa"/>
            <w:vAlign w:val="bottom"/>
            <w:gridSpan w:val="2"/>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9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Proposals To Be Voted On</w:t>
              </w:r>
            </w:hyperlink>
          </w:p>
        </w:tc>
        <w:tc>
          <w:tcPr>
            <w:tcW w:w="8760" w:type="dxa"/>
            <w:vAlign w:val="bottom"/>
            <w:gridSpan w:val="9"/>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Report of the Audit Committee of the Board of Directors</w:t>
              </w:r>
            </w:hyperlink>
          </w:p>
        </w:tc>
        <w:tc>
          <w:tcPr>
            <w:tcW w:w="6560" w:type="dxa"/>
            <w:vAlign w:val="bottom"/>
            <w:gridSpan w:val="5"/>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0680" w:type="dxa"/>
            <w:vAlign w:val="bottom"/>
            <w:gridSpan w:val="1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Independent Registered Public Accounting Firm Fees and Other Matters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3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Executive Officers</w:t>
              </w:r>
            </w:hyperlink>
          </w:p>
        </w:tc>
        <w:tc>
          <w:tcPr>
            <w:tcW w:w="3860" w:type="dxa"/>
            <w:vAlign w:val="bottom"/>
            <w:tcBorders>
              <w:top w:val="single" w:sz="8" w:color="0000EE"/>
            </w:tcBorders>
            <w:gridSpan w:val="10"/>
          </w:tcPr>
          <w:p>
            <w:pPr>
              <w:spacing w:after="0"/>
              <w:rPr>
                <w:sz w:val="17"/>
                <w:szCs w:val="17"/>
                <w:color w:val="auto"/>
              </w:rPr>
            </w:pPr>
          </w:p>
        </w:tc>
        <w:tc>
          <w:tcPr>
            <w:tcW w:w="5460" w:type="dxa"/>
            <w:vAlign w:val="bottom"/>
            <w:gridSpan w:val="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680" w:type="dxa"/>
            <w:vAlign w:val="bottom"/>
            <w:gridSpan w:val="1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Corporate Governance</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80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1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Committees of the Board</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80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1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Executive and Director Compensation</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80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1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Security Ownership of Certain Beneficial Owners and Management</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39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Certain Relationships and Related Person Transactions</w:t>
              </w:r>
            </w:hyperlink>
          </w:p>
        </w:tc>
        <w:tc>
          <w:tcPr>
            <w:tcW w:w="920" w:type="dxa"/>
            <w:vAlign w:val="bottom"/>
            <w:tcBorders>
              <w:top w:val="single" w:sz="8" w:color="0000EE"/>
            </w:tcBorders>
            <w:gridSpan w:val="2"/>
          </w:tcPr>
          <w:p>
            <w:pPr>
              <w:spacing w:after="0"/>
              <w:rPr>
                <w:sz w:val="17"/>
                <w:szCs w:val="17"/>
                <w:color w:val="auto"/>
              </w:rPr>
            </w:pPr>
          </w:p>
        </w:tc>
        <w:tc>
          <w:tcPr>
            <w:tcW w:w="5800" w:type="dxa"/>
            <w:vAlign w:val="bottom"/>
            <w:gridSpan w:val="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680" w:type="dxa"/>
            <w:vAlign w:val="bottom"/>
            <w:gridSpan w:val="1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Stockholder’s Proposals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Other Matters</w:t>
              </w:r>
            </w:hyperlink>
          </w:p>
        </w:tc>
        <w:tc>
          <w:tcPr>
            <w:tcW w:w="720" w:type="dxa"/>
            <w:vAlign w:val="bottom"/>
            <w:tcBorders>
              <w:top w:val="single" w:sz="8" w:color="0000EE"/>
            </w:tcBorders>
            <w:gridSpan w:val="4"/>
          </w:tcPr>
          <w:p>
            <w:pPr>
              <w:spacing w:after="0"/>
              <w:rPr>
                <w:sz w:val="17"/>
                <w:szCs w:val="17"/>
                <w:color w:val="auto"/>
              </w:rPr>
            </w:pPr>
          </w:p>
        </w:tc>
        <w:tc>
          <w:tcPr>
            <w:tcW w:w="8940" w:type="dxa"/>
            <w:vAlign w:val="bottom"/>
            <w:gridSpan w:val="11"/>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6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Solicitation of Proxies</w:t>
              </w:r>
            </w:hyperlink>
          </w:p>
        </w:tc>
        <w:tc>
          <w:tcPr>
            <w:tcW w:w="9040" w:type="dxa"/>
            <w:vAlign w:val="bottom"/>
            <w:gridSpan w:val="12"/>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680" w:type="dxa"/>
            <w:vAlign w:val="bottom"/>
            <w:gridSpan w:val="1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Lyra’s Annual Report on Form 10-K</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269"/>
        </w:trPr>
        <w:tc>
          <w:tcPr>
            <w:tcW w:w="102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720" w:type="dxa"/>
            <w:vAlign w:val="bottom"/>
            <w:tcBorders>
              <w:top w:val="single" w:sz="8" w:color="0000EE"/>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2728595</wp:posOffset>
            </wp:positionH>
            <wp:positionV relativeFrom="page">
              <wp:posOffset>234950</wp:posOffset>
            </wp:positionV>
            <wp:extent cx="2099945" cy="600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099945" cy="600075"/>
                    </a:xfrm>
                    <a:prstGeom prst="rect">
                      <a:avLst/>
                    </a:prstGeom>
                    <a:noFill/>
                  </pic:spPr>
                </pic:pic>
              </a:graphicData>
            </a:graphic>
          </wp:anchor>
        </w:drawing>
        <w:t>LYRA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480 Arsenal 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Watertown, Massachusetts 02472</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WEDNESDAY, MAY 26, 2021</w:t>
      </w:r>
    </w:p>
    <w:p>
      <w:pPr>
        <w:spacing w:after="0" w:line="184"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 Annual Meeting of Stockholders (the “Annual Meeting”) of Lyra Therapeutics, Inc., a Delaware corporation (the “Company”), will be held at 8:30 a.m. Eastern time on Wednesday, May 26, 2021. In light of the ongoing COVID-19 pandemic, the Annual Meeting will be a completely virtual meeting, which will be conducted via live webcast. You will be able to attend the Annual Meeting online and submit your questions during the meeting by visiting w</w:t>
      </w:r>
      <w:r>
        <w:rPr>
          <w:rFonts w:ascii="Arial" w:cs="Arial" w:eastAsia="Arial" w:hAnsi="Arial"/>
          <w:sz w:val="16"/>
          <w:szCs w:val="16"/>
          <w:i w:val="1"/>
          <w:iCs w:val="1"/>
          <w:color w:val="auto"/>
        </w:rPr>
        <w:t>ww.virtualshareholdermeeting.com/LYRA2021</w:t>
      </w:r>
      <w:r>
        <w:rPr>
          <w:rFonts w:ascii="Arial" w:cs="Arial" w:eastAsia="Arial" w:hAnsi="Arial"/>
          <w:sz w:val="16"/>
          <w:szCs w:val="16"/>
          <w:color w:val="auto"/>
        </w:rPr>
        <w:t xml:space="preserve"> and entering your 16-digit control number included in your Notice of Internet Availability of Proxy Materials, on your proxy card or on the instructions that accompanied your proxy materials. The Annual Meeting will be held for the following purposes:</w:t>
      </w:r>
    </w:p>
    <w:p>
      <w:pPr>
        <w:spacing w:after="0" w:line="121" w:lineRule="exact"/>
        <w:rPr>
          <w:sz w:val="20"/>
          <w:szCs w:val="20"/>
          <w:color w:val="auto"/>
        </w:rPr>
      </w:pPr>
    </w:p>
    <w:p>
      <w:pPr>
        <w:ind w:left="1300" w:right="440" w:hanging="442"/>
        <w:spacing w:after="0" w:line="308"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elect Edward Anderson, Konstantin Poukalov and Nancy L. Snyderman, M.D., FACS as Class I Directors to serve until the 2024 Annual Meeting of Stockholders, and until their respective successors shall have been duly elected and qualified;</w:t>
      </w:r>
    </w:p>
    <w:p>
      <w:pPr>
        <w:spacing w:after="0" w:line="105" w:lineRule="exact"/>
        <w:rPr>
          <w:rFonts w:ascii="Arial" w:cs="Arial" w:eastAsia="Arial" w:hAnsi="Arial"/>
          <w:sz w:val="17"/>
          <w:szCs w:val="17"/>
          <w:color w:val="auto"/>
        </w:rPr>
      </w:pPr>
    </w:p>
    <w:p>
      <w:pPr>
        <w:ind w:left="1300" w:right="220" w:hanging="44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BDO USA, LLP as our independent registered public accounting firm for the fiscal year ending December 31, 2021; and</w:t>
      </w:r>
    </w:p>
    <w:p>
      <w:pPr>
        <w:spacing w:after="0" w:line="129" w:lineRule="exact"/>
        <w:rPr>
          <w:rFonts w:ascii="Arial" w:cs="Arial" w:eastAsia="Arial" w:hAnsi="Arial"/>
          <w:sz w:val="18"/>
          <w:szCs w:val="18"/>
          <w:color w:val="auto"/>
        </w:rPr>
      </w:pPr>
    </w:p>
    <w:p>
      <w:pPr>
        <w:ind w:left="1300" w:right="160" w:hanging="44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Holders of record of our common stock as of the close of business on April 9, 2021 are entitled to notice of and to vote at the Annual Meeting, or any continuation, postponement or adjournment of the Annual Meeting. A complete list of such stockholders will be open to the examination of any stockholder for a period of ten days prior to the Annual Meeting for a purpose germane to the meeting by sending an email to R. Don Elsey, Chief Financial Officer, Treasurer and Secretary, at delsey@lyratx.com, stating the purpose of the request and providing proof of ownership of Company stock. The list of these stockholders will also be available during the Annual Meeting after entering the 16-digit control number included on your Notice of Internet Availability of Proxy Materials, on your proxy card or on the instructions that accompanied your proxy materials. The Annual Meeting may be continued or adjourned from time to time without notice other than by announcement at the Annual Meeting.</w:t>
      </w:r>
    </w:p>
    <w:p>
      <w:pPr>
        <w:spacing w:after="0" w:line="13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It is important that your shares be represented regardless of the number of shares you may hold. Whether or not you plan to attend the Annual Meeting online, we urge you to vote your shares via the toll-free telephone number or over the Internet, as described in the enclosed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R. Don Elsey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 Don Elsey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Treasurer and Secretary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Watertown,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14, 2021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2728595</wp:posOffset>
            </wp:positionH>
            <wp:positionV relativeFrom="page">
              <wp:posOffset>234315</wp:posOffset>
            </wp:positionV>
            <wp:extent cx="2099945" cy="600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099945" cy="600075"/>
                    </a:xfrm>
                    <a:prstGeom prst="rect">
                      <a:avLst/>
                    </a:prstGeom>
                    <a:noFill/>
                  </pic:spPr>
                </pic:pic>
              </a:graphicData>
            </a:graphic>
          </wp:anchor>
        </w:drawing>
        <w:t>LYRA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480 Arsenal Way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Watertown, Massachusetts 02472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This proxy statement is furnished in connection with the solicitation by the Board of Directors of Lyra Therapeutics, Inc. of proxies to be voted at our Annual Meeting of Stockholders to be held on Wednesday, May 26, 2021 (the “Annual Meeting”), at 8:30 a.m. Eastern time, and at any continuation, postponement, or adjournment of the Annual Meeting. In light of the ongoing COVID-19 pandemic, the Annual Meeting will be a completely virtual meeting, which will be conducted via live webcast. You will be able to attend the Annual Meeting online and submit your questions during the meeting by visiting w</w:t>
      </w:r>
      <w:r>
        <w:rPr>
          <w:rFonts w:ascii="Arial" w:cs="Arial" w:eastAsia="Arial" w:hAnsi="Arial"/>
          <w:sz w:val="17"/>
          <w:szCs w:val="17"/>
          <w:i w:val="1"/>
          <w:iCs w:val="1"/>
          <w:color w:val="auto"/>
        </w:rPr>
        <w:t>ww.virtualshareholdermeeting.com/LYRA2021</w:t>
      </w:r>
      <w:r>
        <w:rPr>
          <w:rFonts w:ascii="Arial" w:cs="Arial" w:eastAsia="Arial" w:hAnsi="Arial"/>
          <w:sz w:val="17"/>
          <w:szCs w:val="17"/>
          <w:color w:val="auto"/>
        </w:rPr>
        <w:t xml:space="preserve"> and entering your 16-digit control number included in your Notice of Internet Availability of Proxy Materials, on your proxy card or on the instructions that accompanied your proxy materials.</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Holders of record of shares of our common stock, $0.001 par value per share, as of the close of business on April 9, 2021 (the “Record Date”), will be entitled to notice of and to vote at the Annual Meeting and any continuation, postponement, or adjournment of the Annual Meeting. As of the Record Date, there were 12,962,768 shares of common stock outstanding and entitled to vote at the Annual Meeting. Each share of common stock is entitled to one vote on any matter presented to stockholders at the Annual Meeting.</w:t>
      </w:r>
    </w:p>
    <w:p>
      <w:pPr>
        <w:spacing w:after="0" w:line="14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This proxy statement and the Company’s Annual Report to Stockholders for the year ended December 31, 2020 (the “2020 Annual Report”) will be released on or about April 14, 2021 to our stockholders on the Record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“Lyra”, “Company”, “we”, “us”, and “our” refer to Lyra Therapeutics, Inc.</w:t>
      </w:r>
    </w:p>
    <w:p>
      <w:pPr>
        <w:spacing w:after="0" w:line="194" w:lineRule="exact"/>
        <w:rPr>
          <w:sz w:val="20"/>
          <w:szCs w:val="20"/>
          <w:color w:val="auto"/>
        </w:rPr>
      </w:pPr>
    </w:p>
    <w:p>
      <w:pPr>
        <w:ind w:left="2140" w:right="2060" w:firstLine="29"/>
        <w:spacing w:after="0" w:line="312" w:lineRule="auto"/>
        <w:rPr>
          <w:sz w:val="20"/>
          <w:szCs w:val="20"/>
          <w:color w:val="auto"/>
        </w:rPr>
      </w:pPr>
      <w:r>
        <w:rPr>
          <w:rFonts w:ascii="Arial" w:cs="Arial" w:eastAsia="Arial" w:hAnsi="Arial"/>
          <w:sz w:val="17"/>
          <w:szCs w:val="17"/>
          <w:b w:val="1"/>
          <w:bCs w:val="1"/>
          <w:color w:val="auto"/>
        </w:rPr>
        <w:t>IMPORTANT NOTICE REGARDING THE AVAILABILITY OF PROXY MATERIALS FOR THE STOCKHOLDER MEETING TO BE HELD ON WEDNESDAY, MAY 26, 2021</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Proxy Statement and our 2020 Annual Report to Stockholders are available at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http://www.proxyvote.com/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our stockholders will be asked:</w:t>
      </w:r>
    </w:p>
    <w:p>
      <w:pPr>
        <w:spacing w:after="0" w:line="185" w:lineRule="exact"/>
        <w:rPr>
          <w:sz w:val="20"/>
          <w:szCs w:val="20"/>
          <w:color w:val="auto"/>
        </w:rPr>
      </w:pPr>
    </w:p>
    <w:p>
      <w:pPr>
        <w:ind w:left="1300" w:right="380" w:hanging="442"/>
        <w:spacing w:after="0" w:line="308"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elect Edward Anderson, Konstantin Poukalov and Nancy L. Snyderman, M.D., FACS as Class I Directors to serve until the 2024 Annual Meeting of Stockholders, and until their respective successors shall have been duly elected and qualified;</w:t>
      </w:r>
    </w:p>
    <w:p>
      <w:pPr>
        <w:spacing w:after="0" w:line="105" w:lineRule="exact"/>
        <w:rPr>
          <w:rFonts w:ascii="Arial" w:cs="Arial" w:eastAsia="Arial" w:hAnsi="Arial"/>
          <w:sz w:val="17"/>
          <w:szCs w:val="17"/>
          <w:color w:val="auto"/>
        </w:rPr>
      </w:pPr>
    </w:p>
    <w:p>
      <w:pPr>
        <w:ind w:left="1300" w:right="160" w:hanging="44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BDO USA, LLP as our independent registered public accounting firm for the fiscal year ending December 31, 2021; and</w:t>
      </w:r>
    </w:p>
    <w:p>
      <w:pPr>
        <w:spacing w:after="0" w:line="129" w:lineRule="exact"/>
        <w:rPr>
          <w:rFonts w:ascii="Arial" w:cs="Arial" w:eastAsia="Arial" w:hAnsi="Arial"/>
          <w:sz w:val="18"/>
          <w:szCs w:val="18"/>
          <w:color w:val="auto"/>
        </w:rPr>
      </w:pPr>
    </w:p>
    <w:p>
      <w:pPr>
        <w:ind w:left="1300" w:right="100" w:hanging="44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13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404"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Recommendations of the Board</w:t>
      </w:r>
    </w:p>
    <w:p>
      <w:pPr>
        <w:spacing w:after="0" w:line="18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Board of Directors (the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recommends that you vote:</w:t>
      </w:r>
    </w:p>
    <w:p>
      <w:pPr>
        <w:spacing w:after="0" w:line="157" w:lineRule="exact"/>
        <w:rPr>
          <w:sz w:val="20"/>
          <w:szCs w:val="20"/>
          <w:color w:val="auto"/>
        </w:rPr>
      </w:pPr>
    </w:p>
    <w:p>
      <w:pPr>
        <w:ind w:left="1300" w:hanging="44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election of Edward Anderson, Konstantin Poukalov and Nancy L. Snyderman, M.D., FACS as Class I Directors; and</w:t>
      </w:r>
    </w:p>
    <w:p>
      <w:pPr>
        <w:spacing w:after="0" w:line="184" w:lineRule="exact"/>
        <w:rPr>
          <w:rFonts w:ascii="Arial" w:cs="Arial" w:eastAsia="Arial" w:hAnsi="Arial"/>
          <w:sz w:val="18"/>
          <w:szCs w:val="18"/>
          <w:color w:val="auto"/>
        </w:rPr>
      </w:pPr>
    </w:p>
    <w:p>
      <w:pPr>
        <w:ind w:left="1300" w:right="520" w:hanging="44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the appointment of BDO USA, LLP as our independent registered public accounting firm for the fiscal year ending December 31, 2021.</w:t>
      </w:r>
    </w:p>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any other matter properly comes before the stockholders for a vote at the Annual Meeting, the proxy holders named on the Company’s proxy card will vote your shares in accordance with their best judgment.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This Proxy Statement</w:t>
      </w:r>
    </w:p>
    <w:p>
      <w:pPr>
        <w:spacing w:after="0" w:line="185"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Why you received this proxy statement. </w:t>
      </w:r>
      <w:r>
        <w:rPr>
          <w:rFonts w:ascii="Arial" w:cs="Arial" w:eastAsia="Arial" w:hAnsi="Arial"/>
          <w:sz w:val="18"/>
          <w:szCs w:val="18"/>
          <w:color w:val="auto"/>
        </w:rPr>
        <w:t>You are viewing or have received these proxy materials because Lyra’s Board of Directors is soliciting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to vote your shares at the Annual Meeting. This proxy statement includes information that we are required to provide to you under the rules of the Securities and Exchange Commission (“SEC”) and that is designed to assist you in voting your shares.</w:t>
      </w:r>
    </w:p>
    <w:p>
      <w:pPr>
        <w:spacing w:after="0" w:line="149"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 xml:space="preserve">Notice of Internet Availability of Proxy Materials. </w:t>
      </w:r>
      <w:r>
        <w:rPr>
          <w:rFonts w:ascii="Arial" w:cs="Arial" w:eastAsia="Arial" w:hAnsi="Arial"/>
          <w:sz w:val="16"/>
          <w:szCs w:val="16"/>
          <w:color w:val="auto"/>
        </w:rPr>
        <w:t>As permitted by SEC rules, Lyra is making this proxy statement and its 2020 Annual Report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to its stockholders electronically via the Internet. On or about April 14, 2021, we mailed to our stockholders a Notice of Internet Availability of Proxy Materials (the “Internet Notice”) containing instructions on how to access this proxy statement and our 2020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2020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w:t>
      </w:r>
    </w:p>
    <w:p>
      <w:pPr>
        <w:spacing w:after="0" w:line="1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Printed Copies of Our Proxy Materials. </w:t>
      </w:r>
      <w:r>
        <w:rPr>
          <w:rFonts w:ascii="Arial" w:cs="Arial" w:eastAsia="Arial" w:hAnsi="Arial"/>
          <w:sz w:val="18"/>
          <w:szCs w:val="18"/>
          <w:color w:val="auto"/>
        </w:rPr>
        <w:t>If you received printed copies of our proxy materials, then instructions regarding how you can vote are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on the proxy card included in the materials.</w:t>
      </w:r>
    </w:p>
    <w:p>
      <w:pPr>
        <w:spacing w:after="0" w:line="121"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color w:val="auto"/>
        </w:rPr>
        <w:t xml:space="preserve">Householding. </w:t>
      </w:r>
      <w:r>
        <w:rPr>
          <w:rFonts w:ascii="Arial" w:cs="Arial" w:eastAsia="Arial" w:hAnsi="Arial"/>
          <w:sz w:val="16"/>
          <w:szCs w:val="16"/>
          <w:color w:val="auto"/>
        </w:rPr>
        <w:t>The SEC’s rules permit us to deliver a single set of proxy materials to one address shared by two or more of our stockholders. This delivery</w:t>
      </w:r>
      <w:r>
        <w:rPr>
          <w:rFonts w:ascii="Arial" w:cs="Arial" w:eastAsia="Arial" w:hAnsi="Arial"/>
          <w:sz w:val="16"/>
          <w:szCs w:val="16"/>
          <w:b w:val="1"/>
          <w:bCs w:val="1"/>
          <w:color w:val="auto"/>
        </w:rPr>
        <w:t xml:space="preserve"> </w:t>
      </w:r>
      <w:r>
        <w:rPr>
          <w:rFonts w:ascii="Arial" w:cs="Arial" w:eastAsia="Arial" w:hAnsi="Arial"/>
          <w:sz w:val="16"/>
          <w:szCs w:val="16"/>
          <w:color w:val="auto"/>
        </w:rPr>
        <w:t>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1-866-540-7095 or in writing at Broadridge, Householding Department, 51 Mercedes Way, Edgewood, New York 11717.</w:t>
      </w:r>
    </w:p>
    <w:p>
      <w:pPr>
        <w:spacing w:after="0" w:line="13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If you are currently a stockholder sharing an address with another stockholder and wish to receive only one copy of future proxy materials for your household, please contact Broadridge at the above phone number or address.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ind w:right="1860" w:firstLine="1861"/>
        <w:spacing w:after="0" w:line="464" w:lineRule="auto"/>
        <w:rPr>
          <w:sz w:val="20"/>
          <w:szCs w:val="20"/>
          <w:color w:val="auto"/>
        </w:rPr>
      </w:pPr>
      <w:r>
        <w:rPr>
          <w:rFonts w:ascii="Arial" w:cs="Arial" w:eastAsia="Arial" w:hAnsi="Arial"/>
          <w:sz w:val="18"/>
          <w:szCs w:val="18"/>
          <w:b w:val="1"/>
          <w:bCs w:val="1"/>
          <w:color w:val="auto"/>
        </w:rPr>
        <w:t>QUESTIONS AND ANSWERS ABOUT THE 2021 ANNUAL MEETING OF STOCKHOLDERS Who is entitled to vote at the Annual Meeting?</w:t>
      </w:r>
    </w:p>
    <w:p>
      <w:pPr>
        <w:ind w:right="20"/>
        <w:spacing w:after="0" w:line="259" w:lineRule="auto"/>
        <w:rPr>
          <w:sz w:val="20"/>
          <w:szCs w:val="20"/>
          <w:color w:val="auto"/>
        </w:rPr>
      </w:pPr>
      <w:r>
        <w:rPr>
          <w:rFonts w:ascii="Arial" w:cs="Arial" w:eastAsia="Arial" w:hAnsi="Arial"/>
          <w:sz w:val="18"/>
          <w:szCs w:val="18"/>
          <w:color w:val="auto"/>
        </w:rPr>
        <w:t>The Record Date for the Annual Meeting is April 9, 2021.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12,962,768 shares of common stock outstanding and entitled to vote at the Annual Meeting.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being a “record holder” and holding shares in “street name”?</w:t>
      </w:r>
    </w:p>
    <w:p>
      <w:pPr>
        <w:spacing w:after="0" w:line="18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record holder holds shares in his or her name. Shares held in “street name” means shares that are held in the name of a bank or broker on a person’s behalf.</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 I entitled to vote if my shares are held in “street name”?</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not registered in your own name and you would like to vote your shares at the Annual Meeting, you should contact your broker or other nominee to obtain your 16-digit control number or otherwise vote through the broker or other nominee.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must be present to hold the Annual Meeting?</w:t>
      </w:r>
    </w:p>
    <w:p>
      <w:pPr>
        <w:spacing w:after="0" w:line="20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 quorum must be present at the Annual Meeting for any business to be conducted. The presence at the Annual Meeting online or by proxy, of the holders of a majority in voting power of the common stock issued and outstanding and entitled to vote on the Record Date will constitute a quorum.</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attend the Annual Meeting?</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As part of our effort to maintain a safe and healthy environment for our directors, members of management and stockholders who wish to attend the Annual Meeting, in light of the ongoing COVID-19 pandemic, Lyra has decided to hold the Annual Meeting entirely online this year. You may attend and participate in the Annual Meeting by visiting the following website: </w:t>
      </w:r>
      <w:r>
        <w:rPr>
          <w:rFonts w:ascii="Arial" w:cs="Arial" w:eastAsia="Arial" w:hAnsi="Arial"/>
          <w:sz w:val="18"/>
          <w:szCs w:val="18"/>
          <w:i w:val="1"/>
          <w:iCs w:val="1"/>
          <w:color w:val="auto"/>
        </w:rPr>
        <w:t>www.virtualshareholdermeeting.com/LYRA2021</w:t>
      </w:r>
      <w:r>
        <w:rPr>
          <w:rFonts w:ascii="Arial" w:cs="Arial" w:eastAsia="Arial" w:hAnsi="Arial"/>
          <w:sz w:val="18"/>
          <w:szCs w:val="18"/>
          <w:color w:val="auto"/>
        </w:rPr>
        <w:t>. To attend and participate in the Annual Meeting, you will need the 16-digit control number included in your Internet Notice, on your proxy card or on the instructions that accompanied your proxy materials. 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The meeting webcast will begin promptly at 8:30 a.m. Eastern time. We encourage you to access the meeting prior to the start time. Online check-in will begin at 8:15 a.m., Eastern time, and you should allow ample time for the check-in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a quorum is not present at the Annual Meeting?</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a quorum is not present at the scheduled time of the Annual Meeting, the Chairperson of the Annual Meeting is authorized by our Amended and Restated Bylaws to adjourn the meeting, without the vote of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Internet Notice or more than one set of proxy materials?</w:t>
      </w:r>
    </w:p>
    <w:p>
      <w:pPr>
        <w:spacing w:after="0" w:line="20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How do I vote?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you may vote:</w:t>
      </w:r>
    </w:p>
    <w:p>
      <w:pPr>
        <w:spacing w:after="0" w:line="198" w:lineRule="exact"/>
        <w:rPr>
          <w:sz w:val="20"/>
          <w:szCs w:val="20"/>
          <w:color w:val="auto"/>
        </w:rPr>
      </w:pPr>
    </w:p>
    <w:p>
      <w:pPr>
        <w:ind w:left="1300" w:hanging="442"/>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by Internet—You can vote over the Internet at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by following the instructions on the Internet Notice or proxy card;</w:t>
      </w:r>
    </w:p>
    <w:p>
      <w:pPr>
        <w:spacing w:after="0" w:line="196" w:lineRule="exact"/>
        <w:rPr>
          <w:rFonts w:ascii="Arial" w:cs="Arial" w:eastAsia="Arial" w:hAnsi="Arial"/>
          <w:sz w:val="17"/>
          <w:szCs w:val="17"/>
          <w:color w:val="auto"/>
        </w:rPr>
      </w:pPr>
    </w:p>
    <w:p>
      <w:pPr>
        <w:ind w:left="1300" w:hanging="44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Telephone—You can vote by telephone by calling 1-800-690-6903 and following the instructions on the proxy card;</w:t>
      </w:r>
    </w:p>
    <w:p>
      <w:pPr>
        <w:spacing w:after="0" w:line="184" w:lineRule="exact"/>
        <w:rPr>
          <w:rFonts w:ascii="Arial" w:cs="Arial" w:eastAsia="Arial" w:hAnsi="Arial"/>
          <w:sz w:val="18"/>
          <w:szCs w:val="18"/>
          <w:color w:val="auto"/>
        </w:rPr>
      </w:pPr>
    </w:p>
    <w:p>
      <w:pPr>
        <w:ind w:left="1300" w:hanging="44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Mail—You can vote by mail by signing, dating and mailing the proxy card, which you may have received by mail; or</w:t>
      </w:r>
    </w:p>
    <w:p>
      <w:pPr>
        <w:spacing w:after="0" w:line="184" w:lineRule="exact"/>
        <w:rPr>
          <w:rFonts w:ascii="Arial" w:cs="Arial" w:eastAsia="Arial" w:hAnsi="Arial"/>
          <w:sz w:val="18"/>
          <w:szCs w:val="18"/>
          <w:color w:val="auto"/>
        </w:rPr>
      </w:pPr>
    </w:p>
    <w:p>
      <w:pPr>
        <w:ind w:left="1300" w:right="440" w:hanging="442"/>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Electronically at the Meeting—If you attend the meeting online, you will need the 16-digit control number included in your Internet Notice, on your proxy card or on the instructions that accompanied your proxy materials to vote electronically during the meeting.</w:t>
      </w:r>
    </w:p>
    <w:p>
      <w:pPr>
        <w:spacing w:after="0" w:line="8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Internet and telephone voting facilities for stockholders of record will be available 24 hours a day and will close at 11:59 p.m., Eastern time, on May 25, 2021. To participate in the Annual Meeting, including to vote via the Internet or telephone, you will need the 16-digit control number included on your Internet Notice, on your proxy card or on the instructions that accompanied your proxy materials.</w:t>
      </w:r>
    </w:p>
    <w:p>
      <w:pPr>
        <w:spacing w:after="0" w:line="14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Whether or not you expect to attend the Annual Meeting online, we urge you to vote your shares as promptly as possible to ensure your representation and the presence of a quorum at the Annual Meeting. If you submit your proxy, you may still decide to attend the Annual Meeting and vote your shares electronically.</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Beneficial Owners of Shares Held in “Street Name.” </w:t>
      </w:r>
      <w:r>
        <w:rPr>
          <w:rFonts w:ascii="Arial" w:cs="Arial" w:eastAsia="Arial" w:hAnsi="Arial"/>
          <w:sz w:val="18"/>
          <w:szCs w:val="18"/>
          <w:color w:val="auto"/>
        </w:rPr>
        <w:t>If your shares are held in “street name” through a bank or broker, you will receive instructions on how</w:t>
      </w:r>
      <w:r>
        <w:rPr>
          <w:rFonts w:ascii="Arial" w:cs="Arial" w:eastAsia="Arial" w:hAnsi="Arial"/>
          <w:sz w:val="18"/>
          <w:szCs w:val="18"/>
          <w:i w:val="1"/>
          <w:iCs w:val="1"/>
          <w:color w:val="auto"/>
        </w:rPr>
        <w:t xml:space="preserve"> </w:t>
      </w:r>
      <w:r>
        <w:rPr>
          <w:rFonts w:ascii="Arial" w:cs="Arial" w:eastAsia="Arial" w:hAnsi="Arial"/>
          <w:sz w:val="18"/>
          <w:szCs w:val="18"/>
          <w:color w:val="auto"/>
        </w:rPr>
        <w:t>to vote from the bank or broker. You must follow their instructions in order for your shares to be voted. Internet and telephone voting also may be offered to stockholders owning shares through certain banks and brokers. If your shares are not registered in your own name and you would like to vote your shares online at the Annual Meeting,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submit my proxy?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registered stockholder, you may revoke your proxy and change your vote:</w:t>
      </w:r>
    </w:p>
    <w:p>
      <w:pPr>
        <w:spacing w:after="0" w:line="198" w:lineRule="exact"/>
        <w:rPr>
          <w:sz w:val="20"/>
          <w:szCs w:val="20"/>
          <w:color w:val="auto"/>
        </w:rPr>
      </w:pPr>
    </w:p>
    <w:p>
      <w:pPr>
        <w:ind w:left="1300" w:hanging="44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w:t>
      </w:r>
    </w:p>
    <w:p>
      <w:pPr>
        <w:spacing w:after="0" w:line="184" w:lineRule="exact"/>
        <w:rPr>
          <w:rFonts w:ascii="Arial" w:cs="Arial" w:eastAsia="Arial" w:hAnsi="Arial"/>
          <w:sz w:val="18"/>
          <w:szCs w:val="18"/>
          <w:color w:val="auto"/>
        </w:rPr>
      </w:pPr>
    </w:p>
    <w:p>
      <w:pPr>
        <w:ind w:left="1300" w:hanging="44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granting a subsequent proxy through the Internet or telephone;</w:t>
      </w:r>
    </w:p>
    <w:p>
      <w:pPr>
        <w:spacing w:after="0" w:line="184" w:lineRule="exact"/>
        <w:rPr>
          <w:rFonts w:ascii="Arial" w:cs="Arial" w:eastAsia="Arial" w:hAnsi="Arial"/>
          <w:sz w:val="18"/>
          <w:szCs w:val="18"/>
          <w:color w:val="auto"/>
        </w:rPr>
      </w:pPr>
    </w:p>
    <w:p>
      <w:pPr>
        <w:ind w:left="1300" w:hanging="44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giving written notice of revocation to the Secretary of Lyra prior to the Annual Meeting; or</w:t>
      </w:r>
    </w:p>
    <w:p>
      <w:pPr>
        <w:spacing w:after="0" w:line="184" w:lineRule="exact"/>
        <w:rPr>
          <w:rFonts w:ascii="Arial" w:cs="Arial" w:eastAsia="Arial" w:hAnsi="Arial"/>
          <w:sz w:val="18"/>
          <w:szCs w:val="18"/>
          <w:color w:val="auto"/>
        </w:rPr>
      </w:pPr>
    </w:p>
    <w:p>
      <w:pPr>
        <w:ind w:left="1300" w:hanging="44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voting online at the Annual Meeting.</w:t>
      </w:r>
    </w:p>
    <w:p>
      <w:pPr>
        <w:spacing w:after="0" w:line="18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Your most recent proxy card or Internet or telephone proxy is the one that is counted. Your attendance at the Annual Meeting by itself will not revoke your proxy unless you give written notice of revocation to the Secretary before your proxy is voted or you vote online at the Annual Meeting.</w:t>
      </w:r>
    </w:p>
    <w:p>
      <w:pPr>
        <w:spacing w:after="0" w:line="10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If your shares are held in street name, you may change or revoke your voting instructions by following the specific directions provided to you by your bank or broker, or you may vote online at the Annual Meeting using your 16-digit control number or otherwise voting through your bank or broker.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Who will count the votes?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representative of Broadridge Financial Solutions, Inc., our inspector of election, will tabulate and certify the votes.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my shares are to be voted?</w:t>
      </w:r>
    </w:p>
    <w:p>
      <w:pPr>
        <w:spacing w:after="0" w:line="18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If you submit a proxy but do not indicate any voting instructions, the persons named as proxies will vote in accordance with the recommendations of the Board. The Board’s recommendations are indicated on page 2 of this proxy statement, as well as with the description of each proposal in this proxy statement.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 other business be conducted at the Annual Meeting?</w:t>
      </w:r>
    </w:p>
    <w:p>
      <w:pPr>
        <w:spacing w:after="0" w:line="20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hold a virtual meeting?</w:t>
      </w:r>
    </w:p>
    <w:p>
      <w:pPr>
        <w:spacing w:after="0" w:line="18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part of our effort to maintain a safe and healthy environment for our directors, members of management and stockholders who wish to attend the Annual Meeting, in light of COVID-19, we believe that hosting a virtual meeting this year is in the best interest of the Company and its stockholders. A virtual meeting also enables increased stockholder attendance and participation because stockholders can participate from any location around the world. You will be able to attend the Annual Meeting online and submit your questions by visiting w</w:t>
      </w:r>
      <w:r>
        <w:rPr>
          <w:rFonts w:ascii="Arial" w:cs="Arial" w:eastAsia="Arial" w:hAnsi="Arial"/>
          <w:sz w:val="17"/>
          <w:szCs w:val="17"/>
          <w:i w:val="1"/>
          <w:iCs w:val="1"/>
          <w:color w:val="auto"/>
        </w:rPr>
        <w:t>ww.virtualshareholdermeeting.com/LYRA2021</w:t>
      </w:r>
      <w:r>
        <w:rPr>
          <w:rFonts w:ascii="Arial" w:cs="Arial" w:eastAsia="Arial" w:hAnsi="Arial"/>
          <w:sz w:val="17"/>
          <w:szCs w:val="17"/>
          <w:color w:val="auto"/>
        </w:rPr>
        <w:t>. You also will be able to vote your shares electronically at the Annual Meeting by following the instructions above.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if during the check-in time or during the Annual Meeting I have technical difficulties or trouble accessing the virtual meeting website?</w:t>
      </w:r>
    </w:p>
    <w:p>
      <w:pPr>
        <w:spacing w:after="0" w:line="21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virtual meeting website, and the information for assistance will be located on w</w:t>
      </w:r>
      <w:r>
        <w:rPr>
          <w:rFonts w:ascii="Arial" w:cs="Arial" w:eastAsia="Arial" w:hAnsi="Arial"/>
          <w:sz w:val="18"/>
          <w:szCs w:val="18"/>
          <w:i w:val="1"/>
          <w:iCs w:val="1"/>
          <w:color w:val="auto"/>
        </w:rPr>
        <w:t>ww.virtualshareholdermeeting.com/LYRA2021</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there be a question and answer session during the Annual Meeting?</w:t>
      </w:r>
    </w:p>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part of the Annual Meeting, we will hold a live Q&amp;A session, during which we intend to answer appropriate questions submitted by stockholders during the meeting that are pertinent to the Company and the meeting matters. The Company will endeavor to answer as many questions submitted by stockholders as time permits. Only stockholders that have accessed the Annual Meeting as a stockholder (rather than a “Guest”) by following the procedures outlined above in “Who can attend the Annual Meeting?” will be permitted to submit questions during the Annual Meeting. Each stockholder is limited to no more than two questions. Questions should be succinct and only cover a single topic. We will not address questions that are, among other things:</w:t>
      </w:r>
    </w:p>
    <w:p>
      <w:pPr>
        <w:sectPr>
          <w:pgSz w:w="11900" w:h="16838" w:orient="portrait"/>
          <w:cols w:equalWidth="0" w:num="1">
            <w:col w:w="11240"/>
          </w:cols>
          <w:pgMar w:left="320" w:top="351" w:right="339" w:bottom="1440" w:gutter="0" w:footer="0" w:header="0"/>
        </w:sectPr>
      </w:pPr>
    </w:p>
    <w:p>
      <w:pPr>
        <w:spacing w:after="0" w:line="91"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54"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243"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54"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54"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54"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54"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irrelevant to the business of the Company or to the business of the Annual Meeting;</w:t>
      </w:r>
    </w:p>
    <w:p>
      <w:pPr>
        <w:spacing w:after="0" w:line="158"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related to material non-public information of the Company, including the status or results of our business since our last Quarterly Report on Form 10-Q;</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related to any pending, threatened or ongoing litigation;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related to personal grievances;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derogatory references to individuals or that are otherwise in bad taste;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substantially repetitious of questions already made by another stockholder;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excess of the two question limit;</w:t>
      </w:r>
    </w:p>
    <w:p>
      <w:pPr>
        <w:spacing w:after="0" w:line="21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960" w:space="340"/>
            <w:col w:w="9940"/>
          </w:cols>
          <w:pgMar w:left="320" w:top="351" w:right="339" w:bottom="1440" w:gutter="0" w:footer="0" w:header="0"/>
          <w:type w:val="continuous"/>
        </w:sectPr>
      </w:pPr>
    </w:p>
    <w:bookmarkStart w:id="10" w:name="page11"/>
    <w:bookmarkEnd w:id="10"/>
    <w:p>
      <w:pPr>
        <w:ind w:left="860"/>
        <w:spacing w:after="0"/>
        <w:rPr>
          <w:sz w:val="20"/>
          <w:szCs w:val="20"/>
          <w:color w:val="auto"/>
        </w:rPr>
      </w:pPr>
      <w:r>
        <w:rPr>
          <w:rFonts w:ascii="Arial" w:cs="Arial" w:eastAsia="Arial" w:hAnsi="Arial"/>
          <w:sz w:val="27"/>
          <w:szCs w:val="27"/>
          <w:color w:val="auto"/>
        </w:rPr>
        <w:t>•</w:t>
      </w:r>
    </w:p>
    <w:p>
      <w:pPr>
        <w:spacing w:after="0" w:line="54" w:lineRule="exact"/>
        <w:rPr>
          <w:sz w:val="20"/>
          <w:szCs w:val="20"/>
          <w:color w:val="auto"/>
        </w:rPr>
      </w:pPr>
    </w:p>
    <w:p>
      <w:pPr>
        <w:ind w:left="86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in furtherance of the stockholder’s personal or business interests; or</w:t>
      </w:r>
    </w:p>
    <w:p>
      <w:pPr>
        <w:spacing w:after="0" w:line="158"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out of order or not otherwise suitable for the conduct of the Annual Meeting as determined by the Chair or Secretary in their reasonable judgment.</w:t>
      </w:r>
    </w:p>
    <w:p>
      <w:pPr>
        <w:spacing w:after="0" w:line="143" w:lineRule="exact"/>
        <w:rPr>
          <w:sz w:val="20"/>
          <w:szCs w:val="20"/>
          <w:color w:val="auto"/>
        </w:rPr>
      </w:pPr>
    </w:p>
    <w:p>
      <w:pPr>
        <w:sectPr>
          <w:pgSz w:w="11900" w:h="16838" w:orient="portrait"/>
          <w:cols w:equalWidth="0" w:num="2">
            <w:col w:w="960" w:space="340"/>
            <w:col w:w="9880"/>
          </w:cols>
          <w:pgMar w:left="320" w:top="469" w:right="399" w:bottom="1440" w:gutter="0" w:footer="0" w:header="0"/>
        </w:sectPr>
      </w:pPr>
    </w:p>
    <w:p>
      <w:pPr>
        <w:jc w:val="both"/>
        <w:ind w:right="20"/>
        <w:spacing w:after="0" w:line="263" w:lineRule="auto"/>
        <w:rPr>
          <w:sz w:val="20"/>
          <w:szCs w:val="20"/>
          <w:color w:val="auto"/>
        </w:rPr>
      </w:pPr>
      <w:r>
        <w:rPr>
          <w:rFonts w:ascii="Arial" w:cs="Arial" w:eastAsia="Arial" w:hAnsi="Arial"/>
          <w:sz w:val="18"/>
          <w:szCs w:val="18"/>
          <w:color w:val="auto"/>
        </w:rPr>
        <w:t>Additional information regarding the Q&amp;A session will be available in the “Rules of Conduct” available on the Annual Meeting webpage for stockholders that have accessed the Annual Meeting as a stockholder (rather than a “Guest”) by following the procedures outlined above in “Who can attend the Annual Meeting?”.</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many votes are required for the approval of the proposals to be voted upon and how will abstentions and broker non-votes be treated?</w:t>
      </w:r>
    </w:p>
    <w:p>
      <w:pPr>
        <w:spacing w:after="0" w:line="245"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000" w:type="dxa"/>
            <w:vAlign w:val="bottom"/>
          </w:tcPr>
          <w:p>
            <w:pPr>
              <w:jc w:val="center"/>
              <w:ind w:left="1368"/>
              <w:spacing w:after="0"/>
              <w:rPr>
                <w:sz w:val="20"/>
                <w:szCs w:val="20"/>
                <w:color w:val="auto"/>
              </w:rPr>
            </w:pPr>
            <w:r>
              <w:rPr>
                <w:rFonts w:ascii="Arial" w:cs="Arial" w:eastAsia="Arial" w:hAnsi="Arial"/>
                <w:sz w:val="14"/>
                <w:szCs w:val="14"/>
                <w:b w:val="1"/>
                <w:bCs w:val="1"/>
                <w:color w:val="auto"/>
                <w:w w:val="92"/>
              </w:rPr>
              <w:t>Effect of Votes Withheld /</w:t>
            </w:r>
          </w:p>
        </w:tc>
        <w:tc>
          <w:tcPr>
            <w:tcW w:w="0" w:type="dxa"/>
            <w:vAlign w:val="bottom"/>
          </w:tcPr>
          <w:p>
            <w:pPr>
              <w:spacing w:after="0"/>
              <w:rPr>
                <w:sz w:val="1"/>
                <w:szCs w:val="1"/>
                <w:color w:val="auto"/>
              </w:rPr>
            </w:pPr>
          </w:p>
        </w:tc>
      </w:tr>
      <w:tr>
        <w:trPr>
          <w:trHeight w:val="148"/>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Proposal</w:t>
            </w:r>
          </w:p>
        </w:tc>
        <w:tc>
          <w:tcPr>
            <w:tcW w:w="3860" w:type="dxa"/>
            <w:vAlign w:val="bottom"/>
            <w:vMerge w:val="restart"/>
          </w:tcPr>
          <w:p>
            <w:pPr>
              <w:ind w:left="1540"/>
              <w:spacing w:after="0"/>
              <w:rPr>
                <w:sz w:val="20"/>
                <w:szCs w:val="20"/>
                <w:color w:val="auto"/>
              </w:rPr>
            </w:pPr>
            <w:r>
              <w:rPr>
                <w:rFonts w:ascii="Arial" w:cs="Arial" w:eastAsia="Arial" w:hAnsi="Arial"/>
                <w:sz w:val="14"/>
                <w:szCs w:val="14"/>
                <w:b w:val="1"/>
                <w:bCs w:val="1"/>
                <w:color w:val="auto"/>
              </w:rPr>
              <w:t>Votes required</w:t>
            </w:r>
          </w:p>
        </w:tc>
        <w:tc>
          <w:tcPr>
            <w:tcW w:w="3000" w:type="dxa"/>
            <w:vAlign w:val="bottom"/>
          </w:tcPr>
          <w:p>
            <w:pPr>
              <w:jc w:val="center"/>
              <w:ind w:left="1368"/>
              <w:spacing w:after="0" w:line="149" w:lineRule="exact"/>
              <w:rPr>
                <w:sz w:val="20"/>
                <w:szCs w:val="20"/>
                <w:color w:val="auto"/>
              </w:rPr>
            </w:pPr>
            <w:r>
              <w:rPr>
                <w:rFonts w:ascii="Arial" w:cs="Arial" w:eastAsia="Arial" w:hAnsi="Arial"/>
                <w:sz w:val="14"/>
                <w:szCs w:val="14"/>
                <w:b w:val="1"/>
                <w:bCs w:val="1"/>
                <w:color w:val="auto"/>
                <w:w w:val="93"/>
              </w:rPr>
              <w:t>Abstentions and Broker</w:t>
            </w:r>
          </w:p>
        </w:tc>
        <w:tc>
          <w:tcPr>
            <w:tcW w:w="0" w:type="dxa"/>
            <w:vAlign w:val="bottom"/>
          </w:tcPr>
          <w:p>
            <w:pPr>
              <w:spacing w:after="0"/>
              <w:rPr>
                <w:sz w:val="1"/>
                <w:szCs w:val="1"/>
                <w:color w:val="auto"/>
              </w:rPr>
            </w:pPr>
          </w:p>
        </w:tc>
      </w:tr>
      <w:tr>
        <w:trPr>
          <w:trHeight w:val="171"/>
        </w:trPr>
        <w:tc>
          <w:tcPr>
            <w:tcW w:w="2080" w:type="dxa"/>
            <w:vAlign w:val="bottom"/>
            <w:vMerge w:val="continue"/>
          </w:tcPr>
          <w:p>
            <w:pPr>
              <w:spacing w:after="0"/>
              <w:rPr>
                <w:sz w:val="14"/>
                <w:szCs w:val="14"/>
                <w:color w:val="auto"/>
              </w:rPr>
            </w:pPr>
          </w:p>
        </w:tc>
        <w:tc>
          <w:tcPr>
            <w:tcW w:w="3860" w:type="dxa"/>
            <w:vAlign w:val="bottom"/>
            <w:vMerge w:val="continue"/>
          </w:tcPr>
          <w:p>
            <w:pPr>
              <w:spacing w:after="0"/>
              <w:rPr>
                <w:sz w:val="14"/>
                <w:szCs w:val="14"/>
                <w:color w:val="auto"/>
              </w:rPr>
            </w:pPr>
          </w:p>
        </w:tc>
        <w:tc>
          <w:tcPr>
            <w:tcW w:w="3000" w:type="dxa"/>
            <w:vAlign w:val="bottom"/>
          </w:tcPr>
          <w:p>
            <w:pPr>
              <w:ind w:left="1920"/>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0</wp:posOffset>
            </wp:positionV>
            <wp:extent cx="23145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ectPr>
          <w:pgSz w:w="11900" w:h="16838" w:orient="portrait"/>
          <w:cols w:equalWidth="0" w:num="1">
            <w:col w:w="11180"/>
          </w:cols>
          <w:pgMar w:left="320" w:top="469" w:right="39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3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Proposal 1: Election of Directors</w:t>
            </w:r>
          </w:p>
        </w:tc>
        <w:tc>
          <w:tcPr>
            <w:tcW w:w="100" w:type="dxa"/>
            <w:vAlign w:val="bottom"/>
          </w:tcPr>
          <w:p>
            <w:pPr>
              <w:spacing w:after="0"/>
              <w:rPr>
                <w:sz w:val="16"/>
                <w:szCs w:val="16"/>
                <w:color w:val="auto"/>
              </w:rPr>
            </w:pPr>
          </w:p>
        </w:tc>
        <w:tc>
          <w:tcPr>
            <w:tcW w:w="4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The plurality of the votes cast. This means that the three</w:t>
            </w:r>
          </w:p>
        </w:tc>
      </w:tr>
      <w:tr>
        <w:trPr>
          <w:trHeight w:val="216"/>
        </w:trPr>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nominees receiving the highest number of affirmative</w:t>
            </w:r>
          </w:p>
        </w:tc>
      </w:tr>
      <w:tr>
        <w:trPr>
          <w:trHeight w:val="230"/>
        </w:trPr>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“FOR” votes will be elected as Class I Directors.</w:t>
            </w:r>
          </w:p>
        </w:tc>
      </w:tr>
      <w:tr>
        <w:trPr>
          <w:trHeight w:val="377"/>
        </w:trPr>
        <w:tc>
          <w:tcPr>
            <w:tcW w:w="3140" w:type="dxa"/>
            <w:vAlign w:val="bottom"/>
            <w:gridSpan w:val="2"/>
          </w:tcPr>
          <w:p>
            <w:pPr>
              <w:spacing w:after="0"/>
              <w:rPr>
                <w:sz w:val="20"/>
                <w:szCs w:val="20"/>
                <w:color w:val="auto"/>
              </w:rPr>
            </w:pPr>
            <w:r>
              <w:rPr>
                <w:rFonts w:ascii="Arial" w:cs="Arial" w:eastAsia="Arial" w:hAnsi="Arial"/>
                <w:sz w:val="18"/>
                <w:szCs w:val="18"/>
                <w:color w:val="auto"/>
              </w:rPr>
              <w:t>Proposal 2: Ratification of Appointment</w:t>
            </w:r>
          </w:p>
        </w:tc>
        <w:tc>
          <w:tcPr>
            <w:tcW w:w="4340" w:type="dxa"/>
            <w:vAlign w:val="bottom"/>
          </w:tcPr>
          <w:p>
            <w:pPr>
              <w:spacing w:after="0"/>
              <w:rPr>
                <w:sz w:val="20"/>
                <w:szCs w:val="20"/>
                <w:color w:val="auto"/>
              </w:rPr>
            </w:pPr>
            <w:r>
              <w:rPr>
                <w:rFonts w:ascii="Arial" w:cs="Arial" w:eastAsia="Arial" w:hAnsi="Arial"/>
                <w:sz w:val="18"/>
                <w:szCs w:val="18"/>
                <w:color w:val="auto"/>
                <w:w w:val="96"/>
              </w:rPr>
              <w:t>The affirmative vote of the holders of a majority in voting</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of Independent Registered Public</w:t>
            </w:r>
          </w:p>
        </w:tc>
        <w:tc>
          <w:tcPr>
            <w:tcW w:w="4340" w:type="dxa"/>
            <w:vAlign w:val="bottom"/>
          </w:tcPr>
          <w:p>
            <w:pPr>
              <w:spacing w:after="0"/>
              <w:rPr>
                <w:sz w:val="20"/>
                <w:szCs w:val="20"/>
                <w:color w:val="auto"/>
              </w:rPr>
            </w:pPr>
            <w:r>
              <w:rPr>
                <w:rFonts w:ascii="Arial" w:cs="Arial" w:eastAsia="Arial" w:hAnsi="Arial"/>
                <w:sz w:val="18"/>
                <w:szCs w:val="18"/>
                <w:color w:val="auto"/>
              </w:rPr>
              <w:t>power of the votes cast affirmatively or negatively.</w:t>
            </w: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Accounting Firm</w:t>
            </w:r>
          </w:p>
        </w:tc>
        <w:tc>
          <w:tcPr>
            <w:tcW w:w="43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8"/>
          <w:szCs w:val="18"/>
          <w:color w:val="auto"/>
        </w:rPr>
        <w:t>Votes withheld and broker non-votes will have no effect.</w:t>
      </w:r>
    </w:p>
    <w:p>
      <w:pPr>
        <w:spacing w:after="0" w:line="3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Abstentions will have no effect. We do not expect any broker non-votes on this proposal.</w:t>
      </w:r>
    </w:p>
    <w:p>
      <w:pPr>
        <w:spacing w:after="0" w:line="360" w:lineRule="exact"/>
        <w:rPr>
          <w:sz w:val="20"/>
          <w:szCs w:val="20"/>
          <w:color w:val="auto"/>
        </w:rPr>
      </w:pPr>
    </w:p>
    <w:p>
      <w:pPr>
        <w:sectPr>
          <w:pgSz w:w="11900" w:h="16838" w:orient="portrait"/>
          <w:cols w:equalWidth="0" w:num="2">
            <w:col w:w="7480" w:space="120"/>
            <w:col w:w="3580"/>
          </w:cols>
          <w:pgMar w:left="320" w:top="469" w:right="39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“vote withheld” and an “abstention” and how will votes withheld and abstentions be treated?</w:t>
      </w:r>
    </w:p>
    <w:p>
      <w:pPr>
        <w:spacing w:after="0" w:line="18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 “vote withheld,” in the case of the proposal regarding the election of directors, or an “abstention,” in the case of the proposal regarding the ratification of the appointment of BDO USA, LLP as our independent registered public accounting firm, represents a stockholder’s affirmative choice to decline to vote on a proposal. Votes withheld and abstentions are counted as present and entitled to vote for purposes of determining a quorum. Votes withheld have no effect on the election of directors. Abstentions have no effect on the ratification of the appointment of BDO USA, LLP.</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broker non-votes and do they count for determining a quorum?</w:t>
      </w:r>
    </w:p>
    <w:p>
      <w:pPr>
        <w:spacing w:after="0" w:line="20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BDO USA,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Broker non-votes count for purposes of determining whether a quorum is present.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plan to announce preliminary voting results at the Annual Meeting and we will report the final results in a Current Report on Form 8-K, which we intend to file with the SEC after the Annual Meeting.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69" w:right="399" w:bottom="1440" w:gutter="0" w:footer="0" w:header="0"/>
          <w:type w:val="continuous"/>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PROPOSALS TO BE VOTED 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20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At the Annual Meeting, three (3) Class I Directors are to be elected to hold office until the Annual Meeting of Stockholders to be held in 2024 and until each such director’s respective successor is elected and qualified or until each such director’s earlier death, resignation or removal.</w:t>
      </w:r>
    </w:p>
    <w:p>
      <w:pPr>
        <w:spacing w:after="0" w:line="10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currently have seven (7) directors on our Board, including three (3) Class I Directors. Our current Class I Directors are Edward Anderson, Konstantin Poukalov and Nancy Snyderman, M.D., FACS, who have served on our Board since February 2019, January 2020 and October 2020, respectively, each of whom has been nominated by the Board for election as Class I Directors at the Annual Meeting.</w:t>
      </w:r>
    </w:p>
    <w:p>
      <w:pPr>
        <w:spacing w:after="0" w:line="14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three nominees receiving the highest number of affirmative “FOR” votes will be elected as Class I Directors. Votes withheld and broker non-votes are not considered to be votes cast and, accordingly, will have no effect on the outcome of the vote on this proposal.</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term currently expires at the 2021 Annual Meeting of Stockholders and whose subsequent term will expire at the 2024 Annual Meeting of Stockholders; Class II, whose term will expire at the 2022 Annual Meeting of Stockholders and whose subsequent term will expire at the 2025 Annual Meeting of Stockholders; and Class III, whose term will expire at the 2023 Annual Meeting of Stockholders and whose subsequent term will expire at the 2026 Annual Meeting of Stockholders. The current Class I Directors are Edward Anderson, Konstantin Poukalov and Nancy L. Snyderman, M.D., FACS; the current Class II Directors are Michael Altman and C. Ann Merrifield; and the current Class III Directors are Maria Palasis, Ph.D. and W. Bradford Smith.</w:t>
      </w:r>
    </w:p>
    <w:p>
      <w:pPr>
        <w:spacing w:after="0" w:line="13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Restated Certificate of Incorporation and Amended and Restated Bylaws provide that the authorized number of directors may be changed from time to time by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If you submit a proxy but do not indicate any voting instructions, the persons named as proxies will vote the shares of common stock represented thereby for the election as Class I Directors of the persons whose names and biographies appear below. In the event that any of Mr. Anderson, Mr. Poukalov or Dr. Snyderman should become unable to serve, or for good cause will not serve, as a director, it is intended that votes will be cast for a substitute nominee designated by the Board of Directors or the Board may elect to reduce its size. The Board of Directors has no reason to believe that any of Mr. Anderson, Mr. Poukalov or Dr. Snyderman will be unable to serve if elected. Each of Mr. Anderson, Mr. Poukalov and Dr. Snyderman has consented to being named in this proxy statement and to serve if elected.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three nominees receiving the highest number of affirmative “FOR” votes will be elected as Class I Directors.</w:t>
      </w:r>
    </w:p>
    <w:p>
      <w:pPr>
        <w:spacing w:after="0" w:line="130"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Votes withheld and broker non-votes are not considered to be votes cast and, accordingly, will have no effect on the outcome of the vote on this proposal.</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03" w:lineRule="exact"/>
        <w:rPr>
          <w:sz w:val="20"/>
          <w:szCs w:val="20"/>
          <w:color w:val="auto"/>
        </w:rPr>
      </w:pPr>
    </w:p>
    <w:p>
      <w:pPr>
        <w:ind w:right="740" w:firstLine="850"/>
        <w:spacing w:after="0" w:line="457" w:lineRule="auto"/>
        <w:rPr>
          <w:sz w:val="20"/>
          <w:szCs w:val="20"/>
          <w:color w:val="auto"/>
        </w:rPr>
      </w:pPr>
      <w:r>
        <w:rPr>
          <w:sz w:val="1"/>
          <w:szCs w:val="1"/>
          <w:color w:val="auto"/>
        </w:rPr>
        <w:drawing>
          <wp:inline distT="0" distB="0" distL="0" distR="0">
            <wp:extent cx="205740" cy="20574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8"/>
          <w:szCs w:val="18"/>
          <w:b w:val="1"/>
          <w:bCs w:val="1"/>
          <w:color w:val="auto"/>
        </w:rPr>
        <w:t>The Board of Directors unanimously recommends a vote FOR the election of each of the below Class I Director nominees. Nominees For Class I Director (terms to expire at the 2024 Annual Meeting)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current members of the Board of Directors who are also nominees for election to the Board of Directors as Class I Directors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Age</w:t>
            </w: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Served as a</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Position with</w:t>
            </w:r>
          </w:p>
        </w:tc>
        <w:tc>
          <w:tcPr>
            <w:tcW w:w="0" w:type="dxa"/>
            <w:vAlign w:val="bottom"/>
          </w:tcPr>
          <w:p>
            <w:pPr>
              <w:spacing w:after="0"/>
              <w:rPr>
                <w:sz w:val="1"/>
                <w:szCs w:val="1"/>
                <w:color w:val="auto"/>
              </w:rPr>
            </w:pPr>
          </w:p>
        </w:tc>
      </w:tr>
      <w:tr>
        <w:trPr>
          <w:trHeight w:val="171"/>
        </w:trPr>
        <w:tc>
          <w:tcPr>
            <w:tcW w:w="664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Director Since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Lyra</w:t>
            </w:r>
          </w:p>
        </w:tc>
        <w:tc>
          <w:tcPr>
            <w:tcW w:w="0" w:type="dxa"/>
            <w:vAlign w:val="bottom"/>
          </w:tcPr>
          <w:p>
            <w:pPr>
              <w:spacing w:after="0"/>
              <w:rPr>
                <w:sz w:val="1"/>
                <w:szCs w:val="1"/>
                <w:color w:val="auto"/>
              </w:rPr>
            </w:pPr>
          </w:p>
        </w:tc>
      </w:tr>
      <w:tr>
        <w:trPr>
          <w:trHeight w:val="223"/>
        </w:trPr>
        <w:tc>
          <w:tcPr>
            <w:tcW w:w="6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Edward Anderson</w:t>
            </w:r>
          </w:p>
        </w:tc>
        <w:tc>
          <w:tcPr>
            <w:tcW w:w="1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ind w:right="435"/>
              <w:spacing w:after="0"/>
              <w:rPr>
                <w:sz w:val="20"/>
                <w:szCs w:val="20"/>
                <w:color w:val="auto"/>
              </w:rPr>
            </w:pPr>
            <w:r>
              <w:rPr>
                <w:rFonts w:ascii="Arial" w:cs="Arial" w:eastAsia="Arial" w:hAnsi="Arial"/>
                <w:sz w:val="18"/>
                <w:szCs w:val="18"/>
                <w:color w:val="auto"/>
              </w:rPr>
              <w:t>71</w:t>
            </w:r>
          </w:p>
        </w:tc>
        <w:tc>
          <w:tcPr>
            <w:tcW w:w="2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Konstantin Poukalov</w:t>
            </w:r>
          </w:p>
        </w:tc>
        <w:tc>
          <w:tcPr>
            <w:tcW w:w="1320" w:type="dxa"/>
            <w:vAlign w:val="bottom"/>
          </w:tcPr>
          <w:p>
            <w:pPr>
              <w:jc w:val="right"/>
              <w:ind w:right="435"/>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9"/>
        </w:trPr>
        <w:tc>
          <w:tcPr>
            <w:tcW w:w="6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Nancy L. Snyderman, M.D., FACS</w:t>
            </w:r>
          </w:p>
        </w:tc>
        <w:tc>
          <w:tcPr>
            <w:tcW w:w="1320" w:type="dxa"/>
            <w:vAlign w:val="bottom"/>
            <w:shd w:val="clear" w:color="auto" w:fill="CFF0FC"/>
          </w:tcPr>
          <w:p>
            <w:pPr>
              <w:jc w:val="right"/>
              <w:ind w:right="435"/>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2020</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principal occupations and business experience, for at least the past five years, of each Class I Director nominee for election at the 2021 Annual Meeting are as follows: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Edward Anderson</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Edward Anderson has served as a member of our Board of Directors since February 2019. Since June 1994, Mr. Anderson has served as the Founder and a Managing Partner at North Bridge Venture Partners &amp; Growth Equity, a venture capital firm. Mr. Anderson holds a B.F.A. from the University of Denver and an M.B.A. from Columbia University Graduate School of Business. We believe that Mr. Anderson’s extensive experience in venture capital investments qualifies him to serve on our Board of Directors.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Konstantin Poukalov</w:t>
      </w:r>
    </w:p>
    <w:p>
      <w:pPr>
        <w:spacing w:after="0" w:line="18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Konstantin Poukalov has served as a member of our Board of Directors since January 2020. Since March 2019, Mr. Poukalov has served as Managing Director at Perceptive Advisors, a life sciences focused investment firm. Since August 2019, Mr. Poukalov has also served on the Board of Directors of Landos Biopharma, Inc., a biopharmaceutical company. From July 2012 to October 2018, Mr. Poukalov served in roles of increasing responsibility at Kadmon Holdings, Inc., a biopharmaceutical company, most recently serving as Executive Vice President and Chief Financial Officer from July 2014 to October 2018. Mr. Poukalov holds a B.S. in Electrical Engineering from Stony Brook University. We believe that Mr. Poukalov’s extensive financial and industry experience qualify him to serve on our Board of Directors.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Nancy L. Snyderman, M.D., FACS</w:t>
      </w:r>
    </w:p>
    <w:p>
      <w:pPr>
        <w:spacing w:after="0" w:line="19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Nancy Snyderman, M.D., FACS has served as a member of our Board of Directors since October 2020. Dr. Snyderman has also served on the boards of directors of Axonics Modulation Technologies, Inc., a medical device company, since April 2019 and Alkermes plc, a biopharmaceutical company, since May 2016. From 2006 to 2018, Dr. Snyderman served as an advisory board member to GE's Healthymagination, General Electric Company’s healthcare initiative. From 2003 to 2008, Dr. Snyderman also served as a vice president for corporate communications at Johnson &amp; Johnson. Dr. Snyderman is a board-certified head and neck surgeon and has had academic appointments at the University of Pennsylvania and the University of California-San Francisco. From 2016 to 2018, she served as a professor at the Center for Innovation for Global Health at Stanford University. Dr. Snyderman is an Emmy award winning medical correspondent, having worked at ABC News from 1987 to 2003 and later as chief medical editor at NBC News from 2004 to 2015. Dr. Snyderman holds a B.A. in Microbiology from Indiana University and a M.D. from the University of Nebraska and has completed residencies in Pediatrics and Otolaryngology Head and Neck Surgery at the University of Pittsburgh. We believe that Dr. Snyderman's extensive experience as a veteran healthcare journalist, a practicing physician, and an executive at a pharmaceutical company, as well as her roles in academia and as advisor to policy organizations, qualify her to serve on our Board of Directors.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Continuing members of the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Directors (terms to expire at the 2022 Annual Meeting)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current members of the Board of Directors who are Class II Directors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Age</w:t>
            </w: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Served as a</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Position with</w:t>
            </w:r>
          </w:p>
        </w:tc>
        <w:tc>
          <w:tcPr>
            <w:tcW w:w="0" w:type="dxa"/>
            <w:vAlign w:val="bottom"/>
          </w:tcPr>
          <w:p>
            <w:pPr>
              <w:spacing w:after="0"/>
              <w:rPr>
                <w:sz w:val="1"/>
                <w:szCs w:val="1"/>
                <w:color w:val="auto"/>
              </w:rPr>
            </w:pPr>
          </w:p>
        </w:tc>
      </w:tr>
      <w:tr>
        <w:trPr>
          <w:trHeight w:val="171"/>
        </w:trPr>
        <w:tc>
          <w:tcPr>
            <w:tcW w:w="664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Director Since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Lyra</w:t>
            </w:r>
          </w:p>
        </w:tc>
        <w:tc>
          <w:tcPr>
            <w:tcW w:w="0" w:type="dxa"/>
            <w:vAlign w:val="bottom"/>
          </w:tcPr>
          <w:p>
            <w:pPr>
              <w:spacing w:after="0"/>
              <w:rPr>
                <w:sz w:val="1"/>
                <w:szCs w:val="1"/>
                <w:color w:val="auto"/>
              </w:rPr>
            </w:pPr>
          </w:p>
        </w:tc>
      </w:tr>
      <w:tr>
        <w:trPr>
          <w:trHeight w:val="223"/>
        </w:trPr>
        <w:tc>
          <w:tcPr>
            <w:tcW w:w="6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Michael Altman</w:t>
            </w:r>
          </w:p>
        </w:tc>
        <w:tc>
          <w:tcPr>
            <w:tcW w:w="1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ind w:right="436"/>
              <w:spacing w:after="0"/>
              <w:rPr>
                <w:sz w:val="20"/>
                <w:szCs w:val="20"/>
                <w:color w:val="auto"/>
              </w:rPr>
            </w:pPr>
            <w:r>
              <w:rPr>
                <w:rFonts w:ascii="Arial" w:cs="Arial" w:eastAsia="Arial" w:hAnsi="Arial"/>
                <w:sz w:val="18"/>
                <w:szCs w:val="18"/>
                <w:color w:val="auto"/>
              </w:rPr>
              <w:t>39</w:t>
            </w:r>
          </w:p>
        </w:tc>
        <w:tc>
          <w:tcPr>
            <w:tcW w:w="2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2018</w:t>
            </w:r>
          </w:p>
        </w:tc>
        <w:tc>
          <w:tcPr>
            <w:tcW w:w="1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C. Ann Merrifield</w:t>
            </w:r>
          </w:p>
        </w:tc>
        <w:tc>
          <w:tcPr>
            <w:tcW w:w="1320" w:type="dxa"/>
            <w:vAlign w:val="bottom"/>
          </w:tcPr>
          <w:p>
            <w:pPr>
              <w:jc w:val="right"/>
              <w:ind w:right="436"/>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occupations and business experience, for at least the past five years, of each Class II Director are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Altman</w:t>
      </w:r>
    </w:p>
    <w:p>
      <w:pPr>
        <w:spacing w:after="0" w:line="18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Michael Altman has served as a member of our Board of Directors since June 2018. Since 2007, Mr. Altman has been employed on the investment team at Perceptive Advisors, a life sciences focused investment firm, where he currently serves as Managing Director and focuses on medical devices, diagnostics, digital health and specialty pharmaceuticals investments. Since October 2018, Mr. Altman has also served as Chief Financial Officer and member of the Board of Directors of ARYA Sciences Acquisition Corp., a special purpose acquisition company. From October 2005 to October 2007, Mr. Altman served as a healthcare trader and analyst at First New York Securities. Mr. Altman has served on the Board of Directors of Vitruvius Therapeutics, Inc., a pharmaceutical company, since December 2017, and served on the Board of Directors of Vensun Pharmaceuticals, Inc., a pharmaceutical company, from November 2016 to January 2019. Mr. Altman holds a B.S. in Business Administration from the University of Vermont. We believe that Mr. Altman’s broad operational and transactional experience qualifies him to serve on our Board of Directors.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Ann Merrifield</w:t>
      </w:r>
    </w:p>
    <w:p>
      <w:pPr>
        <w:spacing w:after="0" w:line="18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C. Ann Merrifield has served as a member of our Board of Directors since September 2019. Ms. Merrifield has also served as a member of the boards of directors for a portfolio of public and private companies in the life sciences sector which include Flexion Therapeutics, Inc., since June 2014, and InVivo Therapeutics Holdings Corp., since November 2014. From July 2015 to August 2018, she served as a director of Juniper Pharmaceuticals, Inc., a healthcare company, until it was acquired by Catalent, Inc. and from December 2016 to January 2019, she served as a director of Veritas Genetics, Inc. Ms. Merrifield also serves as a Trustee for MassMutual Premier, Select and MML Series Investment Funds, Partners Continuing Care (the post-acute care services division of Partners HealthCare), the Huntington Theatre Company and the YMCA of Greater Boston. From November 2012 to July 2014, Ms. Merrifield served as President, Chief Executive Officer and director of PathoGenetix Inc., a genomics company, which voluntarily filed for Chapter 7 bankruptcy in July 2014. Before that, Ms. Merrifield spent 18 years at Genzyme Corporation, serving in several leadership roles, including President of Genzyme Biosurgery, President of Genzyme Genetics and Senior Vice President, Business Excellence. Ms. Merrifield holds a B.A. in Zoology and a Master of Education from the University of Maine and an M.B.A. from the Tuck School of Business at Dartmouth College. We believe that Ms. Merrifield’s extensive industry experience qualifies her to serve on our Board of Directors.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 (terms to expire at the 2023 Annual Meeting)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current members of the Board of Directors who are Class III Directors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Age</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Served as a</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w w:val="91"/>
              </w:rPr>
              <w:t>Position 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2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Director Since</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Lyra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Maria Palasis, Ph.D.</w:t>
            </w:r>
          </w:p>
        </w:tc>
        <w:tc>
          <w:tcPr>
            <w:tcW w:w="2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56</w:t>
            </w:r>
          </w:p>
        </w:tc>
        <w:tc>
          <w:tcPr>
            <w:tcW w:w="5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2015</w:t>
            </w:r>
          </w:p>
        </w:tc>
        <w:tc>
          <w:tcPr>
            <w:tcW w:w="180" w:type="dxa"/>
            <w:vAlign w:val="bottom"/>
            <w:tcBorders>
              <w:top w:val="single" w:sz="8" w:color="CFF0FC"/>
            </w:tcBorders>
            <w:shd w:val="clear" w:color="auto" w:fill="CFF0FC"/>
          </w:tcPr>
          <w:p>
            <w:pPr>
              <w:spacing w:after="0"/>
              <w:rPr>
                <w:sz w:val="18"/>
                <w:szCs w:val="18"/>
                <w:color w:val="auto"/>
              </w:rPr>
            </w:pPr>
          </w:p>
        </w:tc>
        <w:tc>
          <w:tcPr>
            <w:tcW w:w="2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President, Chief Executive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Officer and Director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W. Bradford Smith</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65</w:t>
            </w:r>
          </w:p>
        </w:tc>
        <w:tc>
          <w:tcPr>
            <w:tcW w:w="2660" w:type="dxa"/>
            <w:vAlign w:val="bottom"/>
            <w:gridSpan w:val="3"/>
          </w:tcPr>
          <w:p>
            <w:pPr>
              <w:jc w:val="center"/>
              <w:ind w:left="730"/>
              <w:spacing w:after="0"/>
              <w:rPr>
                <w:sz w:val="20"/>
                <w:szCs w:val="20"/>
                <w:color w:val="auto"/>
              </w:rPr>
            </w:pPr>
            <w:r>
              <w:rPr>
                <w:rFonts w:ascii="Arial" w:cs="Arial" w:eastAsia="Arial" w:hAnsi="Arial"/>
                <w:sz w:val="18"/>
                <w:szCs w:val="18"/>
                <w:color w:val="auto"/>
                <w:w w:val="89"/>
              </w:rPr>
              <w:t>2019</w:t>
            </w:r>
          </w:p>
        </w:tc>
        <w:tc>
          <w:tcPr>
            <w:tcW w:w="18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principal occupations and business experience, for at least the past five years, of each Class III Director are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Maria Palasis, Ph.D.</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Maria Palasis, Ph.D. has served as our President and Chief Executive Officer and a member of our Board of Directors since January 2015. Prior to her role with us as President and Chief Executive Officer, Dr. Palasis held positions of increasing responsibility, the most recent of which was Executive Vice President and Chief Technology Officer from 2011 to 2015. Before that, in 2008, Dr. Palasis joined Arsenal Medical, Inc., a biotechnology company, as Executive Vice President and subsequently served as President and Chief Executive Officer and a member of the Board of Directors of Arsenal Medical from January 2015 to June 2018. Before that, from November 1995 to January 2008, Dr. Palasis was employed with the title of Director at Boston Scientific Corporation, a medical device company, where she managed a portfolio of external biotech and medical device investments and led the development of several combination therapies. Dr. Palasis holds a B.S. and Ph.D. in Chemical Engineering from the University of Cincinnati, and she held a postdoctoral fellowship in molecular biology at the University of Cincinnati School of Medicine. We believe that Dr. Palasis’ experience in the industry and knowledge of our company qualifies her to serve on our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 Bradford Smith</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 Bradford Smith has served a member of our Board of Directors since November 2019. Mr. Smith has served as Chief Financial Officer and Treasurer of Homology Medicines, Inc., a genetic medicines company, since April 2017 and as Secretary since July 2017. From March 2014 to April 2017, Mr. Smith was Chief Financial Officer of Ocular Therapeutix, Inc., a biopharmaceutical company. Prior to joining Ocular Therapeutix, Mr. Smith served as Chief Financial Officer of OmniGuide, Inc., a medical device company, from July 2008 to March 2014. Mr. Smith holds a B.S. in Biology from Tufts University and an M.B.A. from the Whittemore School of Business and Economics at the University of New Hampshire. We believe that Mr. Smith’s extensive financial and industry experience qualify him to serve on our Board of Directors.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Ratification of Appointment of Independent Registered Public Accounting Firm</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Audit Committee has appointed BDO USA, LLP as our independent registered public accounting firm for the fiscal year ending December 31, 2021. Our Board has directed that this appointment be submitted to our stockholders for ratification at the Annual Meeting. Although ratification of our appointment of BDO USA, LLP is not required, we value the opinions of our stockholders and believe that stockholder ratification of our appointment is a good corporate governance practice.</w:t>
      </w:r>
    </w:p>
    <w:p>
      <w:pPr>
        <w:spacing w:after="0" w:line="16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BDO USA, LLP also served as our independent registered public accounting firm for the fiscal year ended December 31, 2020. Neither the accounting firm nor any of its members has any direct or indirect financial interest in or any connection with us in any capacity other than as our auditors, providing audit and non-audit related services. A representative of BDO USA, LLP is expected to attend the 2021 Annual Meeting and to have an opportunity to make a statement and be available to respond to appropriate questions from stockholders.</w:t>
      </w:r>
    </w:p>
    <w:p>
      <w:pPr>
        <w:spacing w:after="0" w:line="14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the event that the appointment of BDO USA, LLP is not ratified by the stockholders, the Audit Committee will consider this fact when it appoints the independent registered public accounting firm for the fiscal year ending December 31, 2022. Even if the appointment of BDO USA, LLP is ratified, the Audit Committee retains the discretion to appoint a different independent auditor at any time if it determines that such a change is in the interest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02"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This proposal requires the affirmative vote of the holders of a majority in voting power of the votes cast affirmatively or negatively. Abstentions are not considered to be votes cast and, accordingly, will have no effect on the outcome of the vote on this proposal. Because brokers have discretionary authority to vote on the ratification of the appointment of BDO USA, LLP, we do not expect any broker non-votes in connection with this proposal.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03" w:lineRule="exact"/>
        <w:rPr>
          <w:sz w:val="20"/>
          <w:szCs w:val="20"/>
          <w:color w:val="auto"/>
        </w:rPr>
      </w:pPr>
    </w:p>
    <w:p>
      <w:pPr>
        <w:ind w:left="860" w:right="500"/>
        <w:spacing w:after="0" w:line="279" w:lineRule="auto"/>
        <w:rPr>
          <w:sz w:val="20"/>
          <w:szCs w:val="20"/>
          <w:color w:val="auto"/>
        </w:rPr>
      </w:pPr>
      <w:r>
        <w:rPr>
          <w:sz w:val="1"/>
          <w:szCs w:val="1"/>
          <w:color w:val="auto"/>
        </w:rPr>
        <w:drawing>
          <wp:inline distT="0" distB="0" distL="0" distR="0">
            <wp:extent cx="205740" cy="20574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8"/>
          <w:szCs w:val="18"/>
          <w:b w:val="1"/>
          <w:bCs w:val="1"/>
          <w:color w:val="auto"/>
        </w:rPr>
        <w:t>The Board of Directors unanimously recommends a vote FOR the Ratification of the Appointment of BDO USA, LLP as our Independent Registered Public Accounting Firm for the fiscal year ending December 31, 2021.</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189" w:lineRule="exact"/>
        <w:rPr>
          <w:sz w:val="20"/>
          <w:szCs w:val="20"/>
          <w:color w:val="auto"/>
        </w:rPr>
      </w:pPr>
    </w:p>
    <w:p>
      <w:pPr>
        <w:ind w:firstLine="864"/>
        <w:spacing w:after="0" w:line="255" w:lineRule="auto"/>
        <w:rPr>
          <w:sz w:val="20"/>
          <w:szCs w:val="20"/>
          <w:color w:val="auto"/>
        </w:rPr>
      </w:pPr>
      <w:r>
        <w:rPr>
          <w:rFonts w:ascii="Arial" w:cs="Arial" w:eastAsia="Arial" w:hAnsi="Arial"/>
          <w:sz w:val="18"/>
          <w:szCs w:val="18"/>
          <w:color w:val="auto"/>
        </w:rPr>
        <w:t>The Audit Committee has reviewed the audited consolidated financial statements of Lyra Therapeutics, Inc. (the “Company”) for the fiscal year ended December 31, 2020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the applicable requirements of the Public Company Accounting Oversight Board (“PCAOB”) and the Securities and Exchange Commission.</w:t>
      </w:r>
    </w:p>
    <w:p>
      <w:pPr>
        <w:spacing w:after="0" w:line="165" w:lineRule="exact"/>
        <w:rPr>
          <w:sz w:val="20"/>
          <w:szCs w:val="20"/>
          <w:color w:val="auto"/>
        </w:rPr>
      </w:pPr>
    </w:p>
    <w:p>
      <w:pPr>
        <w:ind w:right="80" w:firstLine="864"/>
        <w:spacing w:after="0" w:line="275" w:lineRule="auto"/>
        <w:rPr>
          <w:sz w:val="20"/>
          <w:szCs w:val="20"/>
          <w:color w:val="auto"/>
        </w:rPr>
      </w:pPr>
      <w:r>
        <w:rPr>
          <w:rFonts w:ascii="Arial" w:cs="Arial" w:eastAsia="Arial" w:hAnsi="Arial"/>
          <w:sz w:val="17"/>
          <w:szCs w:val="17"/>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136" w:lineRule="exact"/>
        <w:rPr>
          <w:sz w:val="20"/>
          <w:szCs w:val="20"/>
          <w:color w:val="auto"/>
        </w:rPr>
      </w:pPr>
    </w:p>
    <w:p>
      <w:pPr>
        <w:ind w:firstLine="864"/>
        <w:spacing w:after="0" w:line="311" w:lineRule="auto"/>
        <w:rPr>
          <w:sz w:val="20"/>
          <w:szCs w:val="20"/>
          <w:color w:val="auto"/>
        </w:rPr>
      </w:pPr>
      <w:r>
        <w:rPr>
          <w:rFonts w:ascii="Arial" w:cs="Arial" w:eastAsia="Arial" w:hAnsi="Arial"/>
          <w:sz w:val="16"/>
          <w:szCs w:val="16"/>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 Bradford Smith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Edward Anderson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Ann Merrifield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fees of BDO USA, LLP, our independent registered public accounting firm, billed to us for each of the last two fiscal years for audit services and billed to us in each of the last two fiscal years for other services: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tcPr>
          <w:p>
            <w:pPr>
              <w:spacing w:after="0"/>
              <w:rPr>
                <w:sz w:val="20"/>
                <w:szCs w:val="20"/>
                <w:color w:val="auto"/>
              </w:rPr>
            </w:pPr>
            <w:r>
              <w:rPr>
                <w:rFonts w:ascii="Arial" w:cs="Arial" w:eastAsia="Arial" w:hAnsi="Arial"/>
                <w:sz w:val="14"/>
                <w:szCs w:val="14"/>
                <w:b w:val="1"/>
                <w:bCs w:val="1"/>
                <w:color w:val="auto"/>
              </w:rPr>
              <w:t>Fee Category</w:t>
            </w:r>
          </w:p>
        </w:tc>
        <w:tc>
          <w:tcPr>
            <w:tcW w:w="360" w:type="dxa"/>
            <w:vAlign w:val="bottom"/>
          </w:tcPr>
          <w:p>
            <w:pPr>
              <w:spacing w:after="0"/>
              <w:rPr>
                <w:sz w:val="14"/>
                <w:szCs w:val="14"/>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237,725</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Fees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246,425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358,425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880" w:right="120" w:hanging="440"/>
        <w:spacing w:after="0" w:line="263"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Audit fees consist of fees for the audit of our financial statements, the review of the interim financial statements included in our quarterly reports on Form 10-Q, and other professional services provided in connection with statutory and regulatory filings or engagements. Audit fees also includes fees for services incurred in connection with our initial public offering.</w:t>
      </w:r>
    </w:p>
    <w:p>
      <w:pPr>
        <w:spacing w:after="0" w:line="75" w:lineRule="exact"/>
        <w:rPr>
          <w:rFonts w:ascii="Arial" w:cs="Arial" w:eastAsia="Arial" w:hAnsi="Arial"/>
          <w:sz w:val="18"/>
          <w:szCs w:val="18"/>
          <w:color w:val="auto"/>
        </w:rPr>
      </w:pPr>
    </w:p>
    <w:p>
      <w:pPr>
        <w:ind w:left="880" w:right="420" w:hanging="440"/>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Audit-related fees consist of fees that are reasonably related to the performance of the audit and the review of our financial statements and which are not reported under “Audit Fees.”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 fees consist of fees for tax-related services, including tax compliance and tax advice.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20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Audit Committee has adopted a policy (the “Pre-Approval Policy”) that sets forth the procedures and conditions pursuant to which audit and non-audit services proposed to be performed by the independent auditor may be pre-approved. The Pre-Approval Policy generally provides that we will not engage BDO USA,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BDO USA,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The Audit Committee may revise the list of general pre-approved services from time to time, based on subsequent determinations.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our current executive officers: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jc w:val="right"/>
              <w:ind w:right="93"/>
              <w:spacing w:after="0"/>
              <w:rPr>
                <w:sz w:val="20"/>
                <w:szCs w:val="20"/>
                <w:color w:val="auto"/>
              </w:rPr>
            </w:pPr>
            <w:r>
              <w:rPr>
                <w:rFonts w:ascii="Arial" w:cs="Arial" w:eastAsia="Arial" w:hAnsi="Arial"/>
                <w:sz w:val="14"/>
                <w:szCs w:val="14"/>
                <w:b w:val="1"/>
                <w:bCs w:val="1"/>
                <w:color w:val="auto"/>
              </w:rPr>
              <w:t>Age</w:t>
            </w:r>
          </w:p>
        </w:tc>
        <w:tc>
          <w:tcPr>
            <w:tcW w:w="5840" w:type="dxa"/>
            <w:vAlign w:val="bottom"/>
            <w:gridSpan w:val="2"/>
          </w:tcPr>
          <w:p>
            <w:pPr>
              <w:ind w:left="260"/>
              <w:spacing w:after="0"/>
              <w:rPr>
                <w:sz w:val="20"/>
                <w:szCs w:val="20"/>
                <w:color w:val="auto"/>
              </w:rPr>
            </w:pPr>
            <w:r>
              <w:rPr>
                <w:rFonts w:ascii="Arial" w:cs="Arial" w:eastAsia="Arial" w:hAnsi="Arial"/>
                <w:sz w:val="14"/>
                <w:szCs w:val="14"/>
                <w:b w:val="1"/>
                <w:bCs w:val="1"/>
                <w:color w:val="auto"/>
              </w:rPr>
              <w:t>Position</w:t>
            </w:r>
          </w:p>
        </w:tc>
      </w:tr>
      <w:tr>
        <w:trPr>
          <w:trHeight w:val="223"/>
        </w:trPr>
        <w:tc>
          <w:tcPr>
            <w:tcW w:w="4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Maria Palasis, Ph.D. </w:t>
            </w:r>
            <w:r>
              <w:rPr>
                <w:rFonts w:ascii="Arial" w:cs="Arial" w:eastAsia="Arial" w:hAnsi="Arial"/>
                <w:sz w:val="15"/>
                <w:szCs w:val="15"/>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56</w:t>
            </w:r>
          </w:p>
        </w:tc>
        <w:tc>
          <w:tcPr>
            <w:tcW w:w="260" w:type="dxa"/>
            <w:vAlign w:val="bottom"/>
            <w:tcBorders>
              <w:top w:val="single" w:sz="8" w:color="CFF0FC"/>
            </w:tcBorders>
            <w:shd w:val="clear" w:color="auto" w:fill="CFF0FC"/>
          </w:tcPr>
          <w:p>
            <w:pPr>
              <w:spacing w:after="0"/>
              <w:rPr>
                <w:sz w:val="19"/>
                <w:szCs w:val="19"/>
                <w:color w:val="auto"/>
              </w:rPr>
            </w:pPr>
          </w:p>
        </w:tc>
        <w:tc>
          <w:tcPr>
            <w:tcW w:w="5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 xml:space="preserve">R. Don Elsey </w:t>
            </w:r>
            <w:r>
              <w:rPr>
                <w:rFonts w:ascii="Arial" w:cs="Arial" w:eastAsia="Arial" w:hAnsi="Arial"/>
                <w:sz w:val="15"/>
                <w:szCs w:val="15"/>
                <w:color w:val="auto"/>
              </w:rPr>
              <w:t>(2)</w:t>
            </w:r>
          </w:p>
        </w:tc>
        <w:tc>
          <w:tcPr>
            <w:tcW w:w="600" w:type="dxa"/>
            <w:vAlign w:val="bottom"/>
          </w:tcPr>
          <w:p>
            <w:pPr>
              <w:jc w:val="right"/>
              <w:ind w:right="73"/>
              <w:spacing w:after="0"/>
              <w:rPr>
                <w:sz w:val="20"/>
                <w:szCs w:val="20"/>
                <w:color w:val="auto"/>
              </w:rPr>
            </w:pPr>
            <w:r>
              <w:rPr>
                <w:rFonts w:ascii="Arial" w:cs="Arial" w:eastAsia="Arial" w:hAnsi="Arial"/>
                <w:sz w:val="18"/>
                <w:szCs w:val="18"/>
                <w:color w:val="auto"/>
              </w:rPr>
              <w:t>68</w:t>
            </w:r>
          </w:p>
        </w:tc>
        <w:tc>
          <w:tcPr>
            <w:tcW w:w="5840" w:type="dxa"/>
            <w:vAlign w:val="bottom"/>
            <w:gridSpan w:val="2"/>
          </w:tcPr>
          <w:p>
            <w:pPr>
              <w:ind w:left="260"/>
              <w:spacing w:after="0"/>
              <w:rPr>
                <w:sz w:val="20"/>
                <w:szCs w:val="20"/>
                <w:color w:val="auto"/>
              </w:rPr>
            </w:pPr>
            <w:r>
              <w:rPr>
                <w:rFonts w:ascii="Arial" w:cs="Arial" w:eastAsia="Arial" w:hAnsi="Arial"/>
                <w:sz w:val="18"/>
                <w:szCs w:val="18"/>
                <w:color w:val="auto"/>
              </w:rPr>
              <w:t>Chief Financial Officer, Treasurer and Secretary</w:t>
            </w:r>
          </w:p>
        </w:tc>
      </w:tr>
      <w:tr>
        <w:trPr>
          <w:trHeight w:val="229"/>
        </w:trPr>
        <w:tc>
          <w:tcPr>
            <w:tcW w:w="4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Robert Richard, Ph.D. </w:t>
            </w:r>
            <w:r>
              <w:rPr>
                <w:rFonts w:ascii="Arial" w:cs="Arial" w:eastAsia="Arial" w:hAnsi="Arial"/>
                <w:sz w:val="15"/>
                <w:szCs w:val="15"/>
                <w:color w:val="auto"/>
              </w:rPr>
              <w:t>(3)</w:t>
            </w:r>
          </w:p>
        </w:tc>
        <w:tc>
          <w:tcPr>
            <w:tcW w:w="6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64</w:t>
            </w:r>
          </w:p>
        </w:tc>
        <w:tc>
          <w:tcPr>
            <w:tcW w:w="5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Senior Vice President of Research and Development</w:t>
            </w:r>
          </w:p>
        </w:tc>
      </w:tr>
      <w:tr>
        <w:trPr>
          <w:trHeight w:val="229"/>
        </w:trPr>
        <w:tc>
          <w:tcPr>
            <w:tcW w:w="4800" w:type="dxa"/>
            <w:vAlign w:val="bottom"/>
            <w:gridSpan w:val="2"/>
          </w:tcPr>
          <w:p>
            <w:pPr>
              <w:spacing w:after="0"/>
              <w:rPr>
                <w:sz w:val="20"/>
                <w:szCs w:val="20"/>
                <w:color w:val="auto"/>
              </w:rPr>
            </w:pPr>
            <w:r>
              <w:rPr>
                <w:rFonts w:ascii="Arial" w:cs="Arial" w:eastAsia="Arial" w:hAnsi="Arial"/>
                <w:sz w:val="18"/>
                <w:szCs w:val="18"/>
                <w:color w:val="auto"/>
              </w:rPr>
              <w:t xml:space="preserve">Pamela Nelson </w:t>
            </w:r>
            <w:r>
              <w:rPr>
                <w:rFonts w:ascii="Arial" w:cs="Arial" w:eastAsia="Arial" w:hAnsi="Arial"/>
                <w:sz w:val="15"/>
                <w:szCs w:val="15"/>
                <w:color w:val="auto"/>
              </w:rPr>
              <w:t>(4)</w:t>
            </w:r>
          </w:p>
        </w:tc>
        <w:tc>
          <w:tcPr>
            <w:tcW w:w="600" w:type="dxa"/>
            <w:vAlign w:val="bottom"/>
          </w:tcPr>
          <w:p>
            <w:pPr>
              <w:jc w:val="right"/>
              <w:ind w:right="73"/>
              <w:spacing w:after="0"/>
              <w:rPr>
                <w:sz w:val="20"/>
                <w:szCs w:val="20"/>
                <w:color w:val="auto"/>
              </w:rPr>
            </w:pPr>
            <w:r>
              <w:rPr>
                <w:rFonts w:ascii="Arial" w:cs="Arial" w:eastAsia="Arial" w:hAnsi="Arial"/>
                <w:sz w:val="18"/>
                <w:szCs w:val="18"/>
                <w:color w:val="auto"/>
              </w:rPr>
              <w:t>51</w:t>
            </w:r>
          </w:p>
        </w:tc>
        <w:tc>
          <w:tcPr>
            <w:tcW w:w="5840" w:type="dxa"/>
            <w:vAlign w:val="bottom"/>
            <w:gridSpan w:val="2"/>
          </w:tcPr>
          <w:p>
            <w:pPr>
              <w:ind w:left="260"/>
              <w:spacing w:after="0"/>
              <w:rPr>
                <w:sz w:val="20"/>
                <w:szCs w:val="20"/>
                <w:color w:val="auto"/>
              </w:rPr>
            </w:pPr>
            <w:r>
              <w:rPr>
                <w:rFonts w:ascii="Arial" w:cs="Arial" w:eastAsia="Arial" w:hAnsi="Arial"/>
                <w:sz w:val="18"/>
                <w:szCs w:val="18"/>
                <w:color w:val="auto"/>
              </w:rPr>
              <w:t>Senior Vice President of Regulatory Affairs</w:t>
            </w:r>
          </w:p>
        </w:tc>
      </w:tr>
      <w:tr>
        <w:trPr>
          <w:trHeight w:val="230"/>
        </w:trPr>
        <w:tc>
          <w:tcPr>
            <w:tcW w:w="4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Corinne Noyes </w:t>
            </w:r>
            <w:r>
              <w:rPr>
                <w:rFonts w:ascii="Arial" w:cs="Arial" w:eastAsia="Arial" w:hAnsi="Arial"/>
                <w:sz w:val="15"/>
                <w:szCs w:val="15"/>
                <w:color w:val="auto"/>
              </w:rPr>
              <w:t>(5)</w:t>
            </w:r>
          </w:p>
        </w:tc>
        <w:tc>
          <w:tcPr>
            <w:tcW w:w="6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53</w:t>
            </w:r>
          </w:p>
        </w:tc>
        <w:tc>
          <w:tcPr>
            <w:tcW w:w="5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7"/>
              </w:rPr>
              <w:t>Senior Vice President of Commercial Strategy and Market 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0972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4"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biography on page 10 of this proxy statement.</w:t>
      </w:r>
    </w:p>
    <w:p>
      <w:pPr>
        <w:spacing w:after="0" w:line="95" w:lineRule="exact"/>
        <w:rPr>
          <w:rFonts w:ascii="Arial" w:cs="Arial" w:eastAsia="Arial" w:hAnsi="Arial"/>
          <w:sz w:val="14"/>
          <w:szCs w:val="14"/>
          <w:color w:val="auto"/>
        </w:rPr>
      </w:pPr>
    </w:p>
    <w:p>
      <w:pPr>
        <w:ind w:left="440" w:right="220" w:hanging="432"/>
        <w:spacing w:after="0" w:line="255" w:lineRule="auto"/>
        <w:tabs>
          <w:tab w:leader="none" w:pos="4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 Don Elsey has served as our Chief Financial Officer since August 2019 and as our Treasurer and Secretary since October 2019. Prior to joining our company, from February 2015 to February 2019, Mr. Elsey served as Chief Financial Officer at Senseonics, Inc., a medical device company. From May 2014 until February 2015, Mr. Elsey served as Chief Financial Officer of Regado Biosciences, Inc., a biopharmaceutical company. From December 2012 to February 2014, Mr. Elsey served as Chief Financial Officer of LifeCell Corporation, a privately held regenerative medicine company. Mr. Elsey holds a B.A. in economics and an M.B.A. in finance from Michigan State University.</w:t>
      </w:r>
    </w:p>
    <w:p>
      <w:pPr>
        <w:spacing w:after="0" w:line="66" w:lineRule="exact"/>
        <w:rPr>
          <w:rFonts w:ascii="Arial" w:cs="Arial" w:eastAsia="Arial" w:hAnsi="Arial"/>
          <w:sz w:val="13"/>
          <w:szCs w:val="13"/>
          <w:color w:val="auto"/>
        </w:rPr>
      </w:pPr>
    </w:p>
    <w:p>
      <w:pPr>
        <w:ind w:left="440" w:hanging="432"/>
        <w:spacing w:after="0" w:line="229" w:lineRule="auto"/>
        <w:tabs>
          <w:tab w:leader="none" w:pos="4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Robert Richard, Ph.D., has served as our Senior Vice President of Research and Development since June 2020. Prior to joining our company, from February 2019 to May 2020, Dr. Richard served as Vice President of Research and Development at Anika Therapeutics, Inc., a therapeutics company. Prior to that, he held research and development leadership positions at Hyalex Orthopaedics, Inc., a medical device company, from November 2017 to February 2019, C.R. Bard, Inc., a medical device company, from June 2008 to November 2017, Boston Scientific Corporation, a global medical device company, from September 2000 to June 2008, and Johnson &amp; Johnson, a global medical device, pharmaceutical and consumer product company, from September 1991 to August 2000. Dr. Richard holds a B.S. in chemistry and a B.S. in biology from University of Massachusetts at Dartmouth and a Ph.D. in polymer chemistry and plastics engineering from the University of Massachusetts at Lowell.</w:t>
      </w:r>
    </w:p>
    <w:p>
      <w:pPr>
        <w:spacing w:after="0" w:line="77" w:lineRule="exact"/>
        <w:rPr>
          <w:rFonts w:ascii="Arial" w:cs="Arial" w:eastAsia="Arial" w:hAnsi="Arial"/>
          <w:sz w:val="14"/>
          <w:szCs w:val="14"/>
          <w:color w:val="auto"/>
        </w:rPr>
      </w:pPr>
    </w:p>
    <w:p>
      <w:pPr>
        <w:ind w:left="440" w:right="20" w:hanging="432"/>
        <w:spacing w:after="0" w:line="231" w:lineRule="auto"/>
        <w:tabs>
          <w:tab w:leader="none" w:pos="4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Pamela Nelson has served as our Senior Vice President of Regulatory Affairs since August 2020. Prior to joining our company, from January 2011 to July 2020, Ms. Nelson served as Vice President, Regulatory Affairs at Avedro, Inc., a medical technology company. Prior to that, she held regulatory positions at Alnara Pharmaceuticals, Inc., a biotechnology company from June 2009 to December 2010, Altus Pharmaceuticals Inc., a biopharmaceutical company from February 2006 to May 2009, Alkermes PLC, a global biopharmaceutical company, from July 1998 to January 2006 and Genzyme Corporation, a global biotechnology company, from January 1995 to June 1998. Ms. Nelson holds a B.A. in English and an M.A. in education administration from the University of Massachusetts at Amherst.</w:t>
      </w:r>
    </w:p>
    <w:p>
      <w:pPr>
        <w:spacing w:after="0" w:line="75" w:lineRule="exact"/>
        <w:rPr>
          <w:rFonts w:ascii="Arial" w:cs="Arial" w:eastAsia="Arial" w:hAnsi="Arial"/>
          <w:sz w:val="14"/>
          <w:szCs w:val="14"/>
          <w:color w:val="auto"/>
        </w:rPr>
      </w:pPr>
    </w:p>
    <w:p>
      <w:pPr>
        <w:ind w:left="440" w:hanging="432"/>
        <w:spacing w:after="0" w:line="228" w:lineRule="auto"/>
        <w:tabs>
          <w:tab w:leader="none" w:pos="4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Corinne Noyes has served as our Senior Vice President of Commercial Strategy and Market Development since September 2018. Prior to joining our company, from January 2018 to August 2018, Ms. Noyes served as an independent contractor to our Company, providing biopharmaceutical consulting services. Before that, from January 2005 to August 2018, Ms. Noyes worked as a strategic advisor and independent biopharmaceutical consultant providing commercial leadership to emerging life sciences companies, including, among others, AMAG Pharmaceuticals, Inc., Avila Therapeutics, Inc. (Celgene Corporation), Adnexus Therapeutics Inc. (Bristol-Myers Squibb Company), Constellation Pharmaceuticals, Inc. and Editas Medicine, Inc. Before that, from 1997 to 2004, Ms. Noyes held various commercial leadership positions at Biogen Inc., a biotechnology company. Prior to joining Biogen Inc., from 1992 to 1996, Ms. Noyes worked as a health care strategy consultant at Deloitte &amp; Touche LLP. Ms. Noyes holds a B.A. in Humanities and a B.B.A. in Business from St. Mary’s College of Notre Dame and an M.B.A. in finance from University of Chicago Graduate School of Business.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Our Board of Directors has adopted Corporate Governance Guidelines, a Code of Business Conduct and Ethics, and charters for our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“Governance” section of the “Investors &amp; News” page of our website located at </w:t>
      </w:r>
      <w:r>
        <w:rPr>
          <w:rFonts w:ascii="Arial" w:cs="Arial" w:eastAsia="Arial" w:hAnsi="Arial"/>
          <w:sz w:val="17"/>
          <w:szCs w:val="17"/>
          <w:i w:val="1"/>
          <w:iCs w:val="1"/>
          <w:color w:val="auto"/>
        </w:rPr>
        <w:t>www.lyratherapeutics.com</w:t>
      </w:r>
      <w:r>
        <w:rPr>
          <w:rFonts w:ascii="Arial" w:cs="Arial" w:eastAsia="Arial" w:hAnsi="Arial"/>
          <w:sz w:val="17"/>
          <w:szCs w:val="17"/>
          <w:color w:val="auto"/>
        </w:rPr>
        <w:t>, or by writing to our Secretary at our offices at 480 Arsenal Way, Watertown, Massachusetts 02472.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8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Board of Directors currently consists of seven members: Michael Altman, Edward Anderson, C. Ann Merrifield, Maria Palasis, Ph.D., Konstantin Poukalov, W. Bradford Smith and Nancy L. Snyderman, M.D., FACS. 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in voting power of the outstanding shares of our capital stock entitled to vote in the election of directors.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Board of Directors has determined that each of Michael Altman, Edward Anderson, C. Ann Merrifield, Konstantin Poukalov, W. Bradford Smith and Nancy Snyderman, M.D., FACS qualify as “independent” in accordance with the listing requirements of Nasdaq. Our Board of Directors previously determined that Robert S. Langer, Sc.D., who resigned from the board on October 26, 2020, qualified as “independent” while he served on the board,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including that Mr. Altman, Mr. Anderson and Mr. Poukalov are affiliated with certain of our significant stockholders. Maria Palasis, Ph.D. is not independent and George Whitesides, Ph.D., who resigned from the board on October 26, 2020, was not independent while he served on the Board. There are no family relationships among any of our directors or executive officers.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Candidates</w:t>
      </w:r>
    </w:p>
    <w:p>
      <w:pPr>
        <w:spacing w:after="0" w:line="20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for candidates for election as a director. Konstantin Poukalov, one of our Class I Director nominees, was initially identified as a potential director candidate by one of our shareholders, Perceptive Advisors, LLC. Edward Anderson, another one of our Class I Director nominees, was initially identified as a potential director candidate by one of our shareholders, North Bridge Venture Partners.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19" w:name="page20"/>
    <w:bookmarkEnd w:id="19"/>
    <w:p>
      <w:pPr>
        <w:ind w:right="120"/>
        <w:spacing w:after="0" w:line="287" w:lineRule="auto"/>
        <w:rPr>
          <w:sz w:val="20"/>
          <w:szCs w:val="20"/>
          <w:color w:val="auto"/>
        </w:rPr>
      </w:pPr>
      <w:r>
        <w:rPr>
          <w:rFonts w:ascii="Arial" w:cs="Arial" w:eastAsia="Arial" w:hAnsi="Arial"/>
          <w:sz w:val="16"/>
          <w:szCs w:val="16"/>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publicly held company; strong finance experience; relevant social policy concerns;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1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Lyra Therapeutics, Inc., 480 Arsenal Way, Watertown, Massachusetts 02472.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from Stockholders</w:t>
      </w:r>
    </w:p>
    <w:p>
      <w:pPr>
        <w:spacing w:after="0" w:line="18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Board will give appropriate attention to written communications that are submitted by stockholders, and will respond if and as appropriate. Our Secretary is primarily responsible for monitoring communications from stockholders and for providing copies or summaries to the directors as he considers appropriate.</w:t>
      </w:r>
    </w:p>
    <w:p>
      <w:pPr>
        <w:spacing w:after="0" w:line="14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Communications are forwarded to all directors if they relate to important substantive matters and include suggestions or comments that our Secretary and Chairperson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of Directors in writing: c/o Secretary, Lyra Therapeutics, Inc., 480 Arsenal Way, Watertown, Massachusetts 02472.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Board of Directors is currently chaired by Maria Palasis, Ph.D., our Chief Executive Officer. Our Corporate Governance Guidelines provide that, if the chairperson of the Board is a member of management or does not otherwise qualify as independent, the independent directors of the Board may elect an independent lead director. C. Ann Merrifield currently serves as our lead director. The lead director’s responsibilities include, but are not limited to: presiding over all meetings of the Board of Directors at which the chairperson is not present, including any executive sessions of the independent directors; approving Board meeting schedules and agendas; and acting as the liaison between the independent directors and the chief executive officer and chairperson of the Board. Our Corporate Governance Guidelines further provide flexibility for our Board of Directors to modify our leadership structure in the future as it deems appropriate. Our Board has determined that combining the roles of Chair of the Board and Chief Executive Officer is in the best interests of our Company and its stockholders at this time because it promotes unified leadership by Dr. Palasis and allows for a single, clear focus for management to execute the Company's strategy and business plans. For these reasons and because of the strong leadership of Dr. Palasis, our Board has concluded that our current leadership structure is appropriate at this time. However, our Board of Directors will continue to periodically review our leadership structure and may make such changes in the future as it deems appropriate.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 w:name="page21"/>
    <w:bookmarkEnd w:id="20"/>
    <w:p>
      <w:pPr>
        <w:spacing w:after="0" w:line="268" w:lineRule="auto"/>
        <w:rPr>
          <w:sz w:val="20"/>
          <w:szCs w:val="20"/>
          <w:color w:val="auto"/>
        </w:rPr>
      </w:pPr>
      <w:r>
        <w:rPr>
          <w:rFonts w:ascii="Arial" w:cs="Arial" w:eastAsia="Arial" w:hAnsi="Arial"/>
          <w:sz w:val="17"/>
          <w:szCs w:val="17"/>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Our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our Board of Directors is responsible for monitoring and assessing strategic risk exposure, including business continuity risks, such as risks relating to the COVID-19 pandemic, and our Audit Committee is responsible for overseeing our financial and cybersecurity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manages risks associated with the Company’s corporate governance framework and the Board’s leadership structure, and monitors the effectiveness of the Corporate Governance Guidelines. Our Compensation Committee oversees the management of risks relating to the Company’s executive compensation plans and arrangements. The Board does not believe that its role in the oversight of our risks affects the Board’s leadership structure.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89"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The Board has adopted a written code of business conduct, the “Code of Business Conduct and Ethics”, that applies to all of our directors, officers and employees, including our principal executive officer, principal financial officer and principal accounting officer. A copy of the code is available on our website at www.lyratherapeutics.com in the “Governance” section of the “Investors &amp; News” page. In addition, we intend to post on our website all disclosures that are required by law or The Nasdaq Stock Market LLC concerning any amendments to, or waivers from, any provision of our Code of Business Conduct and Ethics.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w:t>
      </w:r>
    </w:p>
    <w:p>
      <w:pPr>
        <w:spacing w:after="0" w:line="20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Board of Directors has adopted an Insider Trading Compliance Policy, which applies to all of our directors, officers and employees. The policy prohibits our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by Members of the Board of Directors at Meetings</w:t>
      </w:r>
    </w:p>
    <w:p>
      <w:pPr>
        <w:spacing w:after="0" w:line="18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There were seven meetings of the Board of Directors during the fiscal year ended December 31, 2020. During the fiscal year ended December 31, 2020, each director, during the period in which he or she served as a director, attended at least 75% of the aggregate of (i) all meetings of the Board of Directors and (ii) all meetings of the committees on which the director served.</w:t>
      </w:r>
    </w:p>
    <w:p>
      <w:pPr>
        <w:spacing w:after="0" w:line="15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Under our Corporate Governance Guidelines, which is available on our website at </w:t>
      </w:r>
      <w:r>
        <w:rPr>
          <w:rFonts w:ascii="Arial" w:cs="Arial" w:eastAsia="Arial" w:hAnsi="Arial"/>
          <w:sz w:val="17"/>
          <w:szCs w:val="17"/>
          <w:i w:val="1"/>
          <w:iCs w:val="1"/>
          <w:color w:val="auto"/>
        </w:rPr>
        <w:t>www.lyratherapeutics.com</w:t>
      </w:r>
      <w:r>
        <w:rPr>
          <w:rFonts w:ascii="Arial" w:cs="Arial" w:eastAsia="Arial" w:hAnsi="Arial"/>
          <w:sz w:val="17"/>
          <w:szCs w:val="17"/>
          <w:color w:val="auto"/>
        </w:rPr>
        <w:t>,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Chairperson of the Board or the Chairperson of the appropriate committee in advance of such meeting, and, whenever possible, participate in such meeting via teleconference in the case of an in-person meeting. We do not maintain a formal policy regarding director attendance at the Annual Meeting; however, it is expected that absent compelling circumstances directors will attend.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COMMITTEES OF THE BOARD</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Board has established three standing committees—Audit, Compensation and Nominating and Corporate Governance—each of which operates under a written charter that has been approved by our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each of the Board committees and committee Chairpersons are set forth in the following chart.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Nominating and</w:t>
            </w:r>
          </w:p>
        </w:tc>
        <w:tc>
          <w:tcPr>
            <w:tcW w:w="0" w:type="dxa"/>
            <w:vAlign w:val="bottom"/>
          </w:tcPr>
          <w:p>
            <w:pPr>
              <w:spacing w:after="0"/>
              <w:rPr>
                <w:sz w:val="1"/>
                <w:szCs w:val="1"/>
                <w:color w:val="auto"/>
              </w:rPr>
            </w:pPr>
          </w:p>
        </w:tc>
      </w:tr>
      <w:tr>
        <w:trPr>
          <w:trHeight w:val="148"/>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Audit</w:t>
            </w:r>
          </w:p>
        </w:tc>
        <w:tc>
          <w:tcPr>
            <w:tcW w:w="15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Compensation</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171"/>
        </w:trPr>
        <w:tc>
          <w:tcPr>
            <w:tcW w:w="664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223"/>
        </w:trPr>
        <w:tc>
          <w:tcPr>
            <w:tcW w:w="6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Edward Anderson</w:t>
            </w: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gridSpan w:val="2"/>
          </w:tcPr>
          <w:p>
            <w:pPr>
              <w:spacing w:after="0"/>
              <w:rPr>
                <w:sz w:val="20"/>
                <w:szCs w:val="20"/>
                <w:color w:val="auto"/>
              </w:rPr>
            </w:pPr>
            <w:r>
              <w:rPr>
                <w:rFonts w:ascii="Arial" w:cs="Arial" w:eastAsia="Arial" w:hAnsi="Arial"/>
                <w:sz w:val="18"/>
                <w:szCs w:val="18"/>
                <w:color w:val="auto"/>
              </w:rPr>
              <w:t>C. Ann Merrifield</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color w:val="auto"/>
              </w:rPr>
              <w:t>X</w:t>
            </w:r>
          </w:p>
        </w:tc>
        <w:tc>
          <w:tcPr>
            <w:tcW w:w="15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Chairperson</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Chairperson</w:t>
            </w:r>
          </w:p>
        </w:tc>
        <w:tc>
          <w:tcPr>
            <w:tcW w:w="0" w:type="dxa"/>
            <w:vAlign w:val="bottom"/>
          </w:tcPr>
          <w:p>
            <w:pPr>
              <w:spacing w:after="0"/>
              <w:rPr>
                <w:sz w:val="1"/>
                <w:szCs w:val="1"/>
                <w:color w:val="auto"/>
              </w:rPr>
            </w:pPr>
          </w:p>
        </w:tc>
      </w:tr>
      <w:tr>
        <w:trPr>
          <w:trHeight w:val="230"/>
        </w:trPr>
        <w:tc>
          <w:tcPr>
            <w:tcW w:w="6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 Bradford Smith</w:t>
            </w:r>
          </w:p>
        </w:tc>
        <w:tc>
          <w:tcPr>
            <w:tcW w:w="15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9"/>
              </w:rPr>
              <w:t>Chairperson</w:t>
            </w:r>
          </w:p>
        </w:tc>
        <w:tc>
          <w:tcPr>
            <w:tcW w:w="15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9"/>
              </w:rPr>
              <w:t>X</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Nancy Snyderman, M.D., FACS</w:t>
            </w: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X</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Committee’s responsibilities include, among other things:</w:t>
      </w:r>
    </w:p>
    <w:p>
      <w:pPr>
        <w:spacing w:after="0" w:line="185" w:lineRule="exact"/>
        <w:rPr>
          <w:sz w:val="20"/>
          <w:szCs w:val="20"/>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registered public accounting firm;</w:t>
      </w:r>
    </w:p>
    <w:p>
      <w:pPr>
        <w:spacing w:after="0" w:line="184" w:lineRule="exact"/>
        <w:rPr>
          <w:rFonts w:ascii="Arial" w:cs="Arial" w:eastAsia="Arial" w:hAnsi="Arial"/>
          <w:sz w:val="18"/>
          <w:szCs w:val="18"/>
          <w:color w:val="auto"/>
        </w:rPr>
      </w:pPr>
    </w:p>
    <w:p>
      <w:pPr>
        <w:ind w:left="1300" w:hanging="442"/>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overseeing the work of our registered public accounting firm, including through the receipt and consideration of reports from such firm;</w:t>
      </w:r>
    </w:p>
    <w:p>
      <w:pPr>
        <w:spacing w:after="0" w:line="207" w:lineRule="exact"/>
        <w:rPr>
          <w:rFonts w:ascii="Arial" w:cs="Arial" w:eastAsia="Arial" w:hAnsi="Arial"/>
          <w:sz w:val="16"/>
          <w:szCs w:val="16"/>
          <w:color w:val="auto"/>
        </w:rPr>
      </w:pPr>
    </w:p>
    <w:p>
      <w:pPr>
        <w:ind w:left="1300" w:right="200" w:hanging="442"/>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discussing with management and the registered public accounting firm our annual and quarterly financial statements and related disclosures;</w:t>
      </w:r>
    </w:p>
    <w:p>
      <w:pPr>
        <w:spacing w:after="0" w:line="129" w:lineRule="exact"/>
        <w:rPr>
          <w:rFonts w:ascii="Arial" w:cs="Arial" w:eastAsia="Arial" w:hAnsi="Arial"/>
          <w:sz w:val="18"/>
          <w:szCs w:val="18"/>
          <w:color w:val="auto"/>
        </w:rPr>
      </w:pPr>
    </w:p>
    <w:p>
      <w:pPr>
        <w:ind w:left="1300" w:right="320" w:hanging="442"/>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coordinating our Board of Directors’ oversight of our internal control over financial reporting, disclosure controls and procedures and code of business conduct and ethics;</w:t>
      </w:r>
    </w:p>
    <w:p>
      <w:pPr>
        <w:spacing w:after="0" w:line="129" w:lineRule="exact"/>
        <w:rPr>
          <w:rFonts w:ascii="Arial" w:cs="Arial" w:eastAsia="Arial" w:hAnsi="Arial"/>
          <w:sz w:val="18"/>
          <w:szCs w:val="18"/>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discussing our risk management policies;</w:t>
      </w:r>
    </w:p>
    <w:p>
      <w:pPr>
        <w:spacing w:after="0" w:line="184" w:lineRule="exact"/>
        <w:rPr>
          <w:rFonts w:ascii="Arial" w:cs="Arial" w:eastAsia="Arial" w:hAnsi="Arial"/>
          <w:sz w:val="18"/>
          <w:szCs w:val="18"/>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registered public accounting firm and management;</w:t>
      </w:r>
    </w:p>
    <w:p>
      <w:pPr>
        <w:spacing w:after="0" w:line="184" w:lineRule="exact"/>
        <w:rPr>
          <w:rFonts w:ascii="Arial" w:cs="Arial" w:eastAsia="Arial" w:hAnsi="Arial"/>
          <w:sz w:val="18"/>
          <w:szCs w:val="18"/>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184" w:lineRule="exact"/>
        <w:rPr>
          <w:rFonts w:ascii="Arial" w:cs="Arial" w:eastAsia="Arial" w:hAnsi="Arial"/>
          <w:sz w:val="18"/>
          <w:szCs w:val="18"/>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w:t>
      </w:r>
    </w:p>
    <w:p>
      <w:pPr>
        <w:spacing w:after="0" w:line="18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The Audit Committee charter is available on our website at </w:t>
      </w:r>
      <w:r>
        <w:rPr>
          <w:rFonts w:ascii="Arial" w:cs="Arial" w:eastAsia="Arial" w:hAnsi="Arial"/>
          <w:sz w:val="17"/>
          <w:szCs w:val="17"/>
          <w:i w:val="1"/>
          <w:iCs w:val="1"/>
          <w:color w:val="auto"/>
        </w:rPr>
        <w:t>www.lyratherapeutics.com</w:t>
      </w:r>
      <w:r>
        <w:rPr>
          <w:rFonts w:ascii="Arial" w:cs="Arial" w:eastAsia="Arial" w:hAnsi="Arial"/>
          <w:sz w:val="17"/>
          <w:szCs w:val="17"/>
          <w:color w:val="auto"/>
        </w:rPr>
        <w:t>. The members of the Audit Committee are Mr. Anderson, Ms. Merrifield and Mr. Smith. Mr. Smith serves as the Chairperson of the committee. Our Board has affirmatively determined that each of Mr. Anderson, Ms. Merrifield and Mr. Smith is independent for purposes of serving on an audit committee under Rule 10A-3 promulgated under the Securities and Exchange Act of 1934, as amended (the “Exchange Act”) and Nasdaq rules, including those related to Audit Committee membership.</w:t>
      </w:r>
    </w:p>
    <w:p>
      <w:pPr>
        <w:spacing w:after="0" w:line="144"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members of our Audit Committee meet the requirements for financial literacy under the applicable Nasdaq rules. In addition, our Board of Directors has determined that Mr. Smith qualifies as an “audit committee financial expert,” as such term is defined in Item 407(d)(5) of Regulation S-K, and under the similar Nasdaq rules requirement that the Audit Committee have a financially sophisticated member.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met seven times in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Compensation Committee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Committee’s responsibilities include, among other things:</w:t>
      </w:r>
    </w:p>
    <w:p>
      <w:pPr>
        <w:spacing w:after="0" w:line="198" w:lineRule="exact"/>
        <w:rPr>
          <w:sz w:val="20"/>
          <w:szCs w:val="20"/>
          <w:color w:val="auto"/>
        </w:rPr>
      </w:pPr>
    </w:p>
    <w:p>
      <w:pPr>
        <w:ind w:left="1300" w:right="620" w:hanging="44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modifying (as needed) and approving (or if it deems appropriate, making recommendations to our Board of Directors regarding) the overall compensation strategy and policies for the Company;</w:t>
      </w:r>
    </w:p>
    <w:p>
      <w:pPr>
        <w:spacing w:after="0" w:line="129" w:lineRule="exact"/>
        <w:rPr>
          <w:rFonts w:ascii="Arial" w:cs="Arial" w:eastAsia="Arial" w:hAnsi="Arial"/>
          <w:sz w:val="18"/>
          <w:szCs w:val="18"/>
          <w:color w:val="auto"/>
        </w:rPr>
      </w:pPr>
    </w:p>
    <w:p>
      <w:pPr>
        <w:ind w:left="1300" w:right="300" w:hanging="44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evaluating and making recommendations to our Board of Directors regarding the compensation plans and programs advisable for the Company, as well as the modification or termination of existing plans and programs;</w:t>
      </w:r>
    </w:p>
    <w:p>
      <w:pPr>
        <w:spacing w:after="0" w:line="129" w:lineRule="exact"/>
        <w:rPr>
          <w:rFonts w:ascii="Arial" w:cs="Arial" w:eastAsia="Arial" w:hAnsi="Arial"/>
          <w:sz w:val="18"/>
          <w:szCs w:val="18"/>
          <w:color w:val="auto"/>
        </w:rPr>
      </w:pPr>
    </w:p>
    <w:p>
      <w:pPr>
        <w:ind w:left="1300" w:right="240" w:hanging="44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determining and recommending to our Board for determination and approval the compensation and other terms of employment of our CEO;</w:t>
      </w:r>
    </w:p>
    <w:p>
      <w:pPr>
        <w:spacing w:after="0" w:line="129" w:lineRule="exact"/>
        <w:rPr>
          <w:rFonts w:ascii="Arial" w:cs="Arial" w:eastAsia="Arial" w:hAnsi="Arial"/>
          <w:sz w:val="18"/>
          <w:szCs w:val="18"/>
          <w:color w:val="auto"/>
        </w:rPr>
      </w:pPr>
    </w:p>
    <w:p>
      <w:pPr>
        <w:ind w:left="1300" w:hanging="44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determining and approving the compensation and other terms of employment for each executive officer;</w:t>
      </w:r>
    </w:p>
    <w:p>
      <w:pPr>
        <w:spacing w:after="0" w:line="184"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making recommendations to our Board regarding the type and amount of compensation to be paid or awarded to non-employee members of our Board;</w:t>
      </w:r>
    </w:p>
    <w:p>
      <w:pPr>
        <w:spacing w:after="0" w:line="129" w:lineRule="exact"/>
        <w:rPr>
          <w:rFonts w:ascii="Arial" w:cs="Arial" w:eastAsia="Arial" w:hAnsi="Arial"/>
          <w:sz w:val="18"/>
          <w:szCs w:val="18"/>
          <w:color w:val="auto"/>
        </w:rPr>
      </w:pPr>
    </w:p>
    <w:p>
      <w:pPr>
        <w:ind w:left="1300" w:hanging="442"/>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reviewing and discussing annually with management our “Compensation Discussion and Analysis,” to the extent required; and</w:t>
      </w:r>
    </w:p>
    <w:p>
      <w:pPr>
        <w:spacing w:after="0" w:line="196" w:lineRule="exact"/>
        <w:rPr>
          <w:rFonts w:ascii="Arial" w:cs="Arial" w:eastAsia="Arial" w:hAnsi="Arial"/>
          <w:sz w:val="17"/>
          <w:szCs w:val="17"/>
          <w:color w:val="auto"/>
        </w:rPr>
      </w:pPr>
    </w:p>
    <w:p>
      <w:pPr>
        <w:ind w:left="1300" w:hanging="44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preparing the annual compensation committee report required by SEC rules, to the extent required.</w:t>
      </w:r>
    </w:p>
    <w:p>
      <w:pPr>
        <w:spacing w:after="0" w:line="18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The Compensation Committee generally considers the Chief Executive Officer’s recommendations when making decisions regarding the compensation of non-employee directors and executive officers (other than the Chief Executive Officer). Pursuant to the Compensation Committee’s charter, which is available on our website at </w:t>
      </w:r>
      <w:r>
        <w:rPr>
          <w:rFonts w:ascii="Arial" w:cs="Arial" w:eastAsia="Arial" w:hAnsi="Arial"/>
          <w:sz w:val="17"/>
          <w:szCs w:val="17"/>
          <w:i w:val="1"/>
          <w:iCs w:val="1"/>
          <w:color w:val="auto"/>
        </w:rPr>
        <w:t>www.lyratherapeutics.com</w:t>
      </w:r>
      <w:r>
        <w:rPr>
          <w:rFonts w:ascii="Arial" w:cs="Arial" w:eastAsia="Arial" w:hAnsi="Arial"/>
          <w:sz w:val="17"/>
          <w:szCs w:val="17"/>
          <w:color w:val="auto"/>
        </w:rPr>
        <w:t>, the Compensation Committee has the authority to retain or obtain the advice of compensation consultants, legal counsel and other advisors to assist in carrying out its responsibilities. In 2020, the Compensation Committee engaged Pearl Meyer, a compensation consulting firm (“Pearl Meyer”), to assist in making decisions regarding the amount and types of compensation to provide our executive officers and non-employee directors. As part of this process, the Compensation Committee reviewed a compensation assessment provided by Pearl Meyer comparing our compensation to that of a group of peer companies within our industry and met with Pearl Meyer to discuss our executive and non-employee director compensation and to receive input and advice. Pearl Meyer reports directly to the Compensation Committee. The Compensation Committee has considered the adviser independence factors required under SEC rules as they relate to Pearl Meyer and has determined that Pearl Meyer’s work does not raise a conflict of interest.</w:t>
      </w:r>
    </w:p>
    <w:p>
      <w:pPr>
        <w:spacing w:after="0" w:line="14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Compensation Committee may delegate its authority under its charter to one or more subcommittees as it deems appropriate from time to time. The Compensation Committee may also delegate to an officer the authority to grant equity awards to certain employees, as further described in its charter and subject to the terms of our equity plans.</w:t>
      </w:r>
    </w:p>
    <w:p>
      <w:pPr>
        <w:spacing w:after="0" w:line="143"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members of our Compensation Committee are Ms. Merrifield, Mr. Smith and Dr. Snyderman. Ms. Merrifield serves as the Chairperson of the Compensation Committee. Each member of the Compensation Committee qualifies as an independent director under Nasdaq’s heightened independence standards for members of a compensation committee and as a “non-employee director” as defined in Rule 16b-3 of the Exchange Act.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met four times in 2020.</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51" w:right="4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Nominating and Corporate Governance Committee’s responsibilities include, among other things:</w:t>
      </w:r>
    </w:p>
    <w:p>
      <w:pPr>
        <w:spacing w:after="0" w:line="198" w:lineRule="exact"/>
        <w:rPr>
          <w:sz w:val="20"/>
          <w:szCs w:val="20"/>
          <w:color w:val="auto"/>
        </w:rPr>
      </w:pPr>
    </w:p>
    <w:p>
      <w:pPr>
        <w:ind w:left="1300" w:hanging="44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identifying individuals qualified to become board members;</w:t>
      </w:r>
    </w:p>
    <w:p>
      <w:pPr>
        <w:spacing w:after="0" w:line="184" w:lineRule="exact"/>
        <w:rPr>
          <w:rFonts w:ascii="Arial" w:cs="Arial" w:eastAsia="Arial" w:hAnsi="Arial"/>
          <w:sz w:val="18"/>
          <w:szCs w:val="18"/>
          <w:color w:val="auto"/>
        </w:rPr>
      </w:pPr>
    </w:p>
    <w:p>
      <w:pPr>
        <w:ind w:left="1300" w:right="660" w:hanging="44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recommending to our Board of Directors the persons to be nominated for election as directors and to be appointed to each board committee;</w:t>
      </w:r>
    </w:p>
    <w:p>
      <w:pPr>
        <w:spacing w:after="0" w:line="129" w:lineRule="exact"/>
        <w:rPr>
          <w:rFonts w:ascii="Arial" w:cs="Arial" w:eastAsia="Arial" w:hAnsi="Arial"/>
          <w:sz w:val="18"/>
          <w:szCs w:val="18"/>
          <w:color w:val="auto"/>
        </w:rPr>
      </w:pPr>
    </w:p>
    <w:p>
      <w:pPr>
        <w:ind w:left="1300" w:right="380" w:hanging="44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corporate governance guidelines, and reviewing and recommending to our Board of Directors proposed changes to our corporate governance guidelines from time to time;</w:t>
      </w:r>
    </w:p>
    <w:p>
      <w:pPr>
        <w:spacing w:after="0" w:line="129" w:lineRule="exact"/>
        <w:rPr>
          <w:rFonts w:ascii="Arial" w:cs="Arial" w:eastAsia="Arial" w:hAnsi="Arial"/>
          <w:sz w:val="18"/>
          <w:szCs w:val="18"/>
          <w:color w:val="auto"/>
        </w:rPr>
      </w:pPr>
    </w:p>
    <w:p>
      <w:pPr>
        <w:ind w:left="1300" w:hanging="44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the Board’s leadership structure; and</w:t>
      </w:r>
    </w:p>
    <w:p>
      <w:pPr>
        <w:spacing w:after="0" w:line="184" w:lineRule="exact"/>
        <w:rPr>
          <w:rFonts w:ascii="Arial" w:cs="Arial" w:eastAsia="Arial" w:hAnsi="Arial"/>
          <w:sz w:val="18"/>
          <w:szCs w:val="18"/>
          <w:color w:val="auto"/>
        </w:rPr>
      </w:pPr>
    </w:p>
    <w:p>
      <w:pPr>
        <w:ind w:left="1300" w:hanging="44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a periodic evaluation of our Board of Directors.</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The Nominating and Corporate Governance Committee charter is available on our website at </w:t>
      </w:r>
      <w:r>
        <w:rPr>
          <w:rFonts w:ascii="Arial" w:cs="Arial" w:eastAsia="Arial" w:hAnsi="Arial"/>
          <w:sz w:val="17"/>
          <w:szCs w:val="17"/>
          <w:i w:val="1"/>
          <w:iCs w:val="1"/>
          <w:color w:val="auto"/>
        </w:rPr>
        <w:t>www.lyratherapeutics.com</w:t>
      </w:r>
      <w:r>
        <w:rPr>
          <w:rFonts w:ascii="Arial" w:cs="Arial" w:eastAsia="Arial" w:hAnsi="Arial"/>
          <w:sz w:val="17"/>
          <w:szCs w:val="17"/>
          <w:color w:val="auto"/>
        </w:rPr>
        <w:t>. The members of our Nominating and Corporate Governance Committee are Ms. Merrifield and Mr. Smith. Ms. Merrifield serves as the Chairperson of the Nominating and Corporate Governance Committee. The Nominating and Corporate Governance Committee has the authority to consult with outside advisors or retain search firms to assist in the search for qualified candidates, or consider director candidates recommended by our stockholders.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and Corporate Governance Committee met two times in 2020.</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51" w:right="41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“2020 Summary Compensation Table” below. In 2020, our “named executive officers” and their positions were as follows:</w:t>
      </w:r>
    </w:p>
    <w:p>
      <w:pPr>
        <w:spacing w:after="0" w:line="170" w:lineRule="exact"/>
        <w:rPr>
          <w:sz w:val="20"/>
          <w:szCs w:val="20"/>
          <w:color w:val="auto"/>
        </w:rPr>
      </w:pPr>
    </w:p>
    <w:p>
      <w:pPr>
        <w:ind w:left="1300" w:hanging="44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Maria Palasis, Ph.D., President and Chief Executive Officer;</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 Don Elsey, Chief Financial Officer; and</w:t>
      </w:r>
    </w:p>
    <w:p>
      <w:pPr>
        <w:spacing w:after="0" w:line="225" w:lineRule="exact"/>
        <w:rPr>
          <w:rFonts w:ascii="Arial" w:cs="Arial" w:eastAsia="Arial" w:hAnsi="Arial"/>
          <w:sz w:val="18"/>
          <w:szCs w:val="18"/>
          <w:color w:val="auto"/>
        </w:rPr>
      </w:pPr>
    </w:p>
    <w:p>
      <w:pPr>
        <w:ind w:right="4440" w:firstLine="858"/>
        <w:spacing w:after="0" w:line="498" w:lineRule="auto"/>
        <w:tabs>
          <w:tab w:leader="none" w:pos="12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Robert Richard, Ph.D., Senior Vice President of Research and Development. Dr. Richard commenced employment with us effective June 22, 2020.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the compensation of our named executive officers for the years shown.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Non-Equity</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Salary</w:t>
            </w: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9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vMerge w:val="restart"/>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(1)</w:t>
            </w:r>
          </w:p>
        </w:tc>
        <w:tc>
          <w:tcPr>
            <w:tcW w:w="14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Compensation</w:t>
            </w:r>
            <w:r>
              <w:rPr>
                <w:rFonts w:ascii="Arial" w:cs="Arial" w:eastAsia="Arial" w:hAnsi="Arial"/>
                <w:sz w:val="12"/>
                <w:szCs w:val="12"/>
                <w:b w:val="1"/>
                <w:bCs w:val="1"/>
                <w:color w:val="auto"/>
                <w:w w:val="92"/>
              </w:rPr>
              <w:t>(2)</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5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Maria Palasis, Ph.D.</w:t>
            </w:r>
          </w:p>
        </w:tc>
        <w:tc>
          <w:tcPr>
            <w:tcW w:w="120" w:type="dxa"/>
            <w:vAlign w:val="bottom"/>
            <w:shd w:val="clear" w:color="auto" w:fill="CFF0FC"/>
          </w:tcPr>
          <w:p>
            <w:pPr>
              <w:spacing w:after="0"/>
              <w:rPr>
                <w:sz w:val="18"/>
                <w:szCs w:val="18"/>
                <w:color w:val="auto"/>
              </w:rPr>
            </w:pPr>
          </w:p>
        </w:tc>
        <w:tc>
          <w:tcPr>
            <w:tcW w:w="560" w:type="dxa"/>
            <w:vAlign w:val="bottom"/>
            <w:vMerge w:val="restart"/>
            <w:shd w:val="clear" w:color="auto" w:fill="CFF0FC"/>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470,520</w:t>
            </w:r>
          </w:p>
        </w:tc>
        <w:tc>
          <w:tcPr>
            <w:tcW w:w="20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3,547,671</w:t>
            </w:r>
          </w:p>
        </w:tc>
        <w:tc>
          <w:tcPr>
            <w:tcW w:w="12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275,000</w:t>
            </w:r>
          </w:p>
        </w:tc>
        <w:tc>
          <w:tcPr>
            <w:tcW w:w="22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8,550</w:t>
            </w:r>
          </w:p>
        </w:tc>
        <w:tc>
          <w:tcPr>
            <w:tcW w:w="580" w:type="dxa"/>
            <w:vAlign w:val="bottom"/>
            <w:vMerge w:val="restart"/>
            <w:shd w:val="clear" w:color="auto" w:fill="CFF0FC"/>
          </w:tcPr>
          <w:p>
            <w:pPr>
              <w:jc w:val="right"/>
              <w:ind w:right="84"/>
              <w:spacing w:after="0"/>
              <w:rPr>
                <w:sz w:val="20"/>
                <w:szCs w:val="20"/>
                <w:color w:val="auto"/>
              </w:rPr>
            </w:pPr>
            <w:r>
              <w:rPr>
                <w:rFonts w:ascii="Arial" w:cs="Arial" w:eastAsia="Arial" w:hAnsi="Arial"/>
                <w:sz w:val="15"/>
                <w:szCs w:val="15"/>
                <w:color w:val="auto"/>
              </w:rPr>
              <w:t>(3 )</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4,301,741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620" w:type="dxa"/>
            <w:vAlign w:val="bottom"/>
            <w:gridSpan w:val="2"/>
            <w:vMerge w:val="restart"/>
            <w:shd w:val="clear" w:color="auto" w:fill="CFF0FC"/>
          </w:tcPr>
          <w:p>
            <w:pPr>
              <w:ind w:left="180"/>
              <w:spacing w:after="0"/>
              <w:rPr>
                <w:sz w:val="20"/>
                <w:szCs w:val="20"/>
                <w:color w:val="auto"/>
              </w:rPr>
            </w:pPr>
            <w:r>
              <w:rPr>
                <w:rFonts w:ascii="Arial" w:cs="Arial" w:eastAsia="Arial" w:hAnsi="Arial"/>
                <w:sz w:val="18"/>
                <w:szCs w:val="18"/>
                <w:i w:val="1"/>
                <w:iCs w:val="1"/>
                <w:color w:val="auto"/>
              </w:rPr>
              <w:t>President and Chief Executive Officer</w:t>
            </w:r>
          </w:p>
        </w:tc>
        <w:tc>
          <w:tcPr>
            <w:tcW w:w="5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vMerge w:val="continue"/>
            <w:shd w:val="clear" w:color="auto" w:fill="CFF0FC"/>
          </w:tcPr>
          <w:p>
            <w:pPr>
              <w:spacing w:after="0"/>
              <w:rPr>
                <w:sz w:val="10"/>
                <w:szCs w:val="10"/>
                <w:color w:val="auto"/>
              </w:rPr>
            </w:pPr>
          </w:p>
        </w:tc>
        <w:tc>
          <w:tcPr>
            <w:tcW w:w="1240" w:type="dxa"/>
            <w:vAlign w:val="bottom"/>
            <w:gridSpan w:val="2"/>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vMerge w:val="continue"/>
            <w:shd w:val="clear" w:color="auto" w:fill="CFF0FC"/>
          </w:tcPr>
          <w:p>
            <w:pPr>
              <w:spacing w:after="0"/>
              <w:rPr>
                <w:sz w:val="10"/>
                <w:szCs w:val="10"/>
                <w:color w:val="auto"/>
              </w:rPr>
            </w:pPr>
          </w:p>
        </w:tc>
        <w:tc>
          <w:tcPr>
            <w:tcW w:w="580" w:type="dxa"/>
            <w:vAlign w:val="bottom"/>
            <w:vMerge w:val="continue"/>
            <w:shd w:val="clear" w:color="auto" w:fill="CFF0FC"/>
          </w:tcPr>
          <w:p>
            <w:pPr>
              <w:spacing w:after="0"/>
              <w:rPr>
                <w:sz w:val="10"/>
                <w:szCs w:val="10"/>
                <w:color w:val="auto"/>
              </w:rPr>
            </w:pPr>
          </w:p>
        </w:tc>
        <w:tc>
          <w:tcPr>
            <w:tcW w:w="920" w:type="dxa"/>
            <w:vAlign w:val="bottom"/>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20" w:type="dxa"/>
            <w:vAlign w:val="bottom"/>
            <w:gridSpan w:val="2"/>
            <w:vMerge w:val="continue"/>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388,025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318,850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135,809</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842,684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 Don Elsey</w:t>
            </w:r>
          </w:p>
        </w:tc>
        <w:tc>
          <w:tcPr>
            <w:tcW w:w="560" w:type="dxa"/>
            <w:vAlign w:val="bottom"/>
            <w:vMerge w:val="restart"/>
            <w:shd w:val="clear" w:color="auto" w:fill="CFF0FC"/>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362,558</w:t>
            </w:r>
          </w:p>
        </w:tc>
        <w:tc>
          <w:tcPr>
            <w:tcW w:w="20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224,350</w:t>
            </w:r>
          </w:p>
        </w:tc>
        <w:tc>
          <w:tcPr>
            <w:tcW w:w="12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23,778</w:t>
            </w:r>
          </w:p>
        </w:tc>
        <w:tc>
          <w:tcPr>
            <w:tcW w:w="580" w:type="dxa"/>
            <w:vAlign w:val="bottom"/>
            <w:vMerge w:val="restart"/>
            <w:shd w:val="clear" w:color="auto" w:fill="CFF0FC"/>
          </w:tcPr>
          <w:p>
            <w:pPr>
              <w:jc w:val="right"/>
              <w:ind w:right="84"/>
              <w:spacing w:after="0"/>
              <w:rPr>
                <w:sz w:val="20"/>
                <w:szCs w:val="20"/>
                <w:color w:val="auto"/>
              </w:rPr>
            </w:pPr>
            <w:r>
              <w:rPr>
                <w:rFonts w:ascii="Arial" w:cs="Arial" w:eastAsia="Arial" w:hAnsi="Arial"/>
                <w:sz w:val="15"/>
                <w:szCs w:val="15"/>
                <w:color w:val="auto"/>
              </w:rPr>
              <w:t>(4 )</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760,686</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620" w:type="dxa"/>
            <w:vAlign w:val="bottom"/>
            <w:gridSpan w:val="2"/>
            <w:vMerge w:val="restart"/>
            <w:shd w:val="clear" w:color="auto" w:fill="CFF0FC"/>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5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vMerge w:val="continue"/>
            <w:shd w:val="clear" w:color="auto" w:fill="CFF0FC"/>
          </w:tcPr>
          <w:p>
            <w:pPr>
              <w:spacing w:after="0"/>
              <w:rPr>
                <w:sz w:val="10"/>
                <w:szCs w:val="10"/>
                <w:color w:val="auto"/>
              </w:rPr>
            </w:pPr>
          </w:p>
        </w:tc>
        <w:tc>
          <w:tcPr>
            <w:tcW w:w="1240" w:type="dxa"/>
            <w:vAlign w:val="bottom"/>
            <w:gridSpan w:val="2"/>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vMerge w:val="continue"/>
            <w:shd w:val="clear" w:color="auto" w:fill="CFF0FC"/>
          </w:tcPr>
          <w:p>
            <w:pPr>
              <w:spacing w:after="0"/>
              <w:rPr>
                <w:sz w:val="10"/>
                <w:szCs w:val="10"/>
                <w:color w:val="auto"/>
              </w:rPr>
            </w:pPr>
          </w:p>
        </w:tc>
        <w:tc>
          <w:tcPr>
            <w:tcW w:w="580" w:type="dxa"/>
            <w:vAlign w:val="bottom"/>
            <w:vMerge w:val="continue"/>
            <w:shd w:val="clear" w:color="auto" w:fill="CFF0FC"/>
          </w:tcPr>
          <w:p>
            <w:pPr>
              <w:spacing w:after="0"/>
              <w:rPr>
                <w:sz w:val="10"/>
                <w:szCs w:val="10"/>
                <w:color w:val="auto"/>
              </w:rPr>
            </w:pPr>
          </w:p>
        </w:tc>
        <w:tc>
          <w:tcPr>
            <w:tcW w:w="920" w:type="dxa"/>
            <w:vAlign w:val="bottom"/>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20" w:type="dxa"/>
            <w:vAlign w:val="bottom"/>
            <w:gridSpan w:val="2"/>
            <w:vMerge w:val="continue"/>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130,625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501,247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41,671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64,235</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737,778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Richard, Ph.D.</w:t>
            </w:r>
            <w:r>
              <w:rPr>
                <w:rFonts w:ascii="Arial" w:cs="Arial" w:eastAsia="Arial" w:hAnsi="Arial"/>
                <w:sz w:val="15"/>
                <w:szCs w:val="15"/>
                <w:color w:val="auto"/>
              </w:rPr>
              <w:t>(5)</w:t>
            </w: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FF0FC"/>
          </w:tcPr>
          <w:p>
            <w:pPr>
              <w:ind w:left="180"/>
              <w:spacing w:after="0"/>
              <w:rPr>
                <w:sz w:val="20"/>
                <w:szCs w:val="20"/>
                <w:color w:val="auto"/>
              </w:rPr>
            </w:pPr>
            <w:r>
              <w:rPr>
                <w:rFonts w:ascii="Arial" w:cs="Arial" w:eastAsia="Arial" w:hAnsi="Arial"/>
                <w:sz w:val="18"/>
                <w:szCs w:val="18"/>
                <w:i w:val="1"/>
                <w:iCs w:val="1"/>
                <w:color w:val="auto"/>
              </w:rPr>
              <w:t>Senior Vice President of Research</w:t>
            </w:r>
          </w:p>
        </w:tc>
        <w:tc>
          <w:tcPr>
            <w:tcW w:w="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164,127</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300,043</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81,000</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4,428</w:t>
            </w:r>
          </w:p>
        </w:tc>
        <w:tc>
          <w:tcPr>
            <w:tcW w:w="58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(3 )</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549,598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FF0FC"/>
          </w:tcPr>
          <w:p>
            <w:pPr>
              <w:ind w:left="180"/>
              <w:spacing w:after="0"/>
              <w:rPr>
                <w:sz w:val="20"/>
                <w:szCs w:val="20"/>
                <w:color w:val="auto"/>
              </w:rPr>
            </w:pPr>
            <w:r>
              <w:rPr>
                <w:rFonts w:ascii="Arial" w:cs="Arial" w:eastAsia="Arial" w:hAnsi="Arial"/>
                <w:sz w:val="18"/>
                <w:szCs w:val="18"/>
                <w:i w:val="1"/>
                <w:iCs w:val="1"/>
                <w:color w:val="auto"/>
              </w:rPr>
              <w:t>and Development</w:t>
            </w: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4" w:lineRule="exact"/>
        <w:rPr>
          <w:sz w:val="20"/>
          <w:szCs w:val="20"/>
          <w:color w:val="auto"/>
        </w:rPr>
      </w:pPr>
    </w:p>
    <w:p>
      <w:pPr>
        <w:ind w:left="880" w:right="80" w:hanging="440"/>
        <w:spacing w:after="0" w:line="259"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represent the full grant date fair value of stock options granted during 2020 computed in accordance with ASC Topic 718, rather than the amounts paid to or realized by the named individual. We provide information regarding the assumptions used to calculate the value of all option awards made to named executive officers in Note 8 to the consolidated financial statements included in our Annual Report on Form 10-K filed on March 9, 2021.</w:t>
      </w:r>
    </w:p>
    <w:p>
      <w:pPr>
        <w:spacing w:after="0" w:line="92" w:lineRule="exact"/>
        <w:rPr>
          <w:rFonts w:ascii="Arial" w:cs="Arial" w:eastAsia="Arial" w:hAnsi="Arial"/>
          <w:sz w:val="18"/>
          <w:szCs w:val="18"/>
          <w:color w:val="auto"/>
        </w:rPr>
      </w:pPr>
    </w:p>
    <w:p>
      <w:pPr>
        <w:ind w:left="880" w:right="32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represent performance-based annual cash bonuses made by our Board of Directors for the named executive officers for fiscal year 2020.</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represent company 401(k) matching contributions.</w:t>
      </w:r>
    </w:p>
    <w:p>
      <w:pPr>
        <w:spacing w:after="0" w:line="117" w:lineRule="exact"/>
        <w:rPr>
          <w:rFonts w:ascii="Arial" w:cs="Arial" w:eastAsia="Arial" w:hAnsi="Arial"/>
          <w:sz w:val="18"/>
          <w:szCs w:val="18"/>
          <w:color w:val="auto"/>
        </w:rPr>
      </w:pPr>
    </w:p>
    <w:p>
      <w:pPr>
        <w:ind w:left="880" w:right="20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represents company 401(k) matching contributions and use of a corporate apartment, commuting expenses and related tax gross-ups.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 Richard commenced employment with us in June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Salaries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named executive officers receive a base salary to provide a fixed component of compensation reflecting the executive’s skill set, experience, role and responsibilities. For 2020, the initial base salaries for Dr. Palasis and Mr. Elsey were $401,606 and $329,740, respectively. In connection with our initial public offering (“IPO”), our Board of Directors approved increasing the base salaries of Dr. Palasis and Mr. Elsey to $500,000 and $375,000, respectively, effective upon the closing of the offering in May 2020. Dr. Richard’s base salary was set at $307,000 in connection with his commencement of employment with us in June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2020 Bonuses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offer our named executive officers the opportunity to earn annual cash bonuses to compensate them for attaining short-term company goals as approved by our Board of Directors. For 2020, bonuses were based entirely on attaining clinical, research and development, strategic, capital raising and financial goals. The 2020 target bonuses for each of Dr. Palasis, Mr. Elsey and Dr. Richard were 55%, 40% and 35%, respectively, of his or her annual base salary. The target bonuses for Dr. Palasis and Mr. Elsey were increased from 35% and 30%, respectively, in connection with our initial public offering, and Dr. Richard’s target bonus was set in connection with his commencement of employment with us in June 2020. Dr. Richard’s bonus for 2020 was prorated to reflect his partial year of employment. The actual annual cash bonuses awarded to each named executive officer for 2020 performance are set forth above in the 2020 Summary Compensation Table in the column titled “Non-Equity Incentive Plan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offer stock options to our employees, including our named executive officers, as the long-term incentive component of our compensation program. Our stock options generally allow employees to purchase shares of our common stock at a price equal to the fair market value of our common stock on the date of grant. With respect to grants made in connection with the commencement of employment, our stock options typically vest as to 25% of the underlying shares on the first anniversary of the vesting commencement date and in equal monthly installments over the following three years, subject to the holder’s continued service with us. From time to time, our Board of Directors may also construct alternate vesting schedules as it determines are appropriate to motivate particular employees. Historically, our stock options have been intended to qualify as “incentive stock options” to the extent permitted under the Internal Revenue Code.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stock options granted to our named executive officers in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2020 Stock</w:t>
            </w:r>
          </w:p>
        </w:tc>
        <w:tc>
          <w:tcPr>
            <w:tcW w:w="0" w:type="dxa"/>
            <w:vAlign w:val="bottom"/>
          </w:tcPr>
          <w:p>
            <w:pPr>
              <w:spacing w:after="0"/>
              <w:rPr>
                <w:sz w:val="1"/>
                <w:szCs w:val="1"/>
                <w:color w:val="auto"/>
              </w:rPr>
            </w:pPr>
          </w:p>
        </w:tc>
      </w:tr>
      <w:tr>
        <w:trPr>
          <w:trHeight w:val="171"/>
        </w:trPr>
        <w:tc>
          <w:tcPr>
            <w:tcW w:w="9260" w:type="dxa"/>
            <w:vAlign w:val="bottom"/>
            <w:gridSpan w:val="2"/>
            <w:vMerge w:val="continue"/>
          </w:tcPr>
          <w:p>
            <w:pPr>
              <w:spacing w:after="0"/>
              <w:rPr>
                <w:sz w:val="14"/>
                <w:szCs w:val="14"/>
                <w:color w:val="auto"/>
              </w:rPr>
            </w:pPr>
          </w:p>
        </w:tc>
        <w:tc>
          <w:tcPr>
            <w:tcW w:w="1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Options Granted</w:t>
            </w:r>
          </w:p>
        </w:tc>
        <w:tc>
          <w:tcPr>
            <w:tcW w:w="0" w:type="dxa"/>
            <w:vAlign w:val="bottom"/>
          </w:tcPr>
          <w:p>
            <w:pPr>
              <w:spacing w:after="0"/>
              <w:rPr>
                <w:sz w:val="1"/>
                <w:szCs w:val="1"/>
                <w:color w:val="auto"/>
              </w:rPr>
            </w:pPr>
          </w:p>
        </w:tc>
      </w:tr>
      <w:tr>
        <w:trPr>
          <w:trHeight w:val="223"/>
        </w:trPr>
        <w:tc>
          <w:tcPr>
            <w:tcW w:w="9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Maria Palasis, Ph.D.</w:t>
            </w:r>
          </w:p>
        </w:tc>
        <w:tc>
          <w:tcPr>
            <w:tcW w:w="220" w:type="dxa"/>
            <w:vAlign w:val="bottom"/>
            <w:tcBorders>
              <w:top w:val="single" w:sz="8" w:color="CFF0FC"/>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326,303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gridSpan w:val="2"/>
          </w:tcPr>
          <w:p>
            <w:pPr>
              <w:spacing w:after="0"/>
              <w:rPr>
                <w:sz w:val="20"/>
                <w:szCs w:val="20"/>
                <w:color w:val="auto"/>
              </w:rPr>
            </w:pPr>
            <w:r>
              <w:rPr>
                <w:rFonts w:ascii="Arial" w:cs="Arial" w:eastAsia="Arial" w:hAnsi="Arial"/>
                <w:sz w:val="18"/>
                <w:szCs w:val="18"/>
                <w:color w:val="auto"/>
              </w:rPr>
              <w:t>R. Don Elsey</w:t>
            </w:r>
          </w:p>
        </w:tc>
        <w:tc>
          <w:tcPr>
            <w:tcW w:w="1880" w:type="dxa"/>
            <w:vAlign w:val="bottom"/>
          </w:tcPr>
          <w:p>
            <w:pPr>
              <w:jc w:val="right"/>
              <w:spacing w:after="0"/>
              <w:rPr>
                <w:sz w:val="20"/>
                <w:szCs w:val="20"/>
                <w:color w:val="auto"/>
              </w:rPr>
            </w:pPr>
            <w:r>
              <w:rPr>
                <w:rFonts w:ascii="Arial" w:cs="Arial" w:eastAsia="Arial" w:hAnsi="Arial"/>
                <w:sz w:val="18"/>
                <w:szCs w:val="18"/>
                <w:color w:val="auto"/>
              </w:rPr>
              <w:t>20,635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Richard, Ph.D.</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stock option awards to Dr. Palasis and Mr. Elsey were made in connection with the initial public offering effective April 2020 and vest in 48 equal monthly installments following the effective date of grant, subject to the continued service of the applicable named executive officer. The stock option award to Dr. Richard was made in June 2020 in connection with his commencement of employment with us and is subject to our standard vesting schedule for grants made in connection with the commencement of employment described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Plan</w:t>
      </w:r>
    </w:p>
    <w:p>
      <w:pPr>
        <w:spacing w:after="0" w:line="225" w:lineRule="exact"/>
        <w:rPr>
          <w:sz w:val="20"/>
          <w:szCs w:val="20"/>
          <w:color w:val="auto"/>
        </w:rPr>
      </w:pPr>
    </w:p>
    <w:p>
      <w:pPr>
        <w:jc w:val="both"/>
        <w:ind w:right="140"/>
        <w:spacing w:after="0" w:line="275" w:lineRule="auto"/>
        <w:rPr>
          <w:sz w:val="20"/>
          <w:szCs w:val="20"/>
          <w:color w:val="auto"/>
        </w:rPr>
      </w:pPr>
      <w:r>
        <w:rPr>
          <w:rFonts w:ascii="Arial" w:cs="Arial" w:eastAsia="Arial" w:hAnsi="Arial"/>
          <w:sz w:val="17"/>
          <w:szCs w:val="17"/>
          <w:color w:val="auto"/>
        </w:rPr>
        <w:t>We maintain a 401(k) retirement savings plan for our employees, including our named executive officers, who satisfy certain eligibility requirements. Our named executive officers are eligible to participate in the 401(k) plan on the same terms as other full-time employees.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 For 2020, we made matching contributions of 50% of the first 6% of eligible compensation contributed under our 401(k) plan.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Employee Benefits and Perquisites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All of our full-time employees, including our named executive officers, are eligible to participate in our employee benefit plans and programs, including medical, dental, and vision benefits, health spending accounts, and short- and long-term disability, accidental death and dismemberment, and life insurance, to the same extent as our other full-time employees, subject to the terms and eligibility requirements of those plans.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summarizes the number of shares of common stock underlying outstanding equity incentive plan awards for each named executive officer as of December 31,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Incentive</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Plan</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Number of</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Vesting</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Options (#)</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Options (#)</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Unearned</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Price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4660" w:type="dxa"/>
            <w:vAlign w:val="bottom"/>
            <w:gridSpan w:val="2"/>
            <w:vMerge w:val="continue"/>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Exercisable</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Unexercisable</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Options (#)</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23"/>
        </w:trPr>
        <w:tc>
          <w:tcPr>
            <w:tcW w:w="4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Maria Palasis, Ph.D.</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11/16/2011</w:t>
            </w:r>
          </w:p>
        </w:tc>
        <w:tc>
          <w:tcPr>
            <w:tcW w:w="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22,793</w:t>
            </w: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11/16/2021</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2/26/2013</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24,358</w:t>
            </w:r>
          </w:p>
        </w:tc>
        <w:tc>
          <w:tcPr>
            <w:tcW w:w="2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21.73</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6/26/2023</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1/1/2015</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94,287</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22.76</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9/23/2025</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6/13/2017</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31,429</w:t>
            </w:r>
          </w:p>
        </w:tc>
        <w:tc>
          <w:tcPr>
            <w:tcW w:w="24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31,429</w:t>
            </w:r>
            <w:r>
              <w:rPr>
                <w:rFonts w:ascii="Arial" w:cs="Arial" w:eastAsia="Arial" w:hAnsi="Arial"/>
                <w:sz w:val="15"/>
                <w:szCs w:val="15"/>
                <w:color w:val="auto"/>
              </w:rPr>
              <w:t>(2)</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6/13/2027</w:t>
            </w:r>
          </w:p>
        </w:tc>
        <w:tc>
          <w:tcPr>
            <w:tcW w:w="0" w:type="dxa"/>
            <w:vAlign w:val="bottom"/>
          </w:tcPr>
          <w:p>
            <w:pPr>
              <w:spacing w:after="0"/>
              <w:rPr>
                <w:sz w:val="1"/>
                <w:szCs w:val="1"/>
                <w:color w:val="auto"/>
              </w:rPr>
            </w:pPr>
          </w:p>
        </w:tc>
      </w:tr>
      <w:tr>
        <w:trPr>
          <w:trHeight w:val="243"/>
        </w:trPr>
        <w:tc>
          <w:tcPr>
            <w:tcW w:w="45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3/6/2019</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74,573</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95,882</w:t>
            </w:r>
            <w:r>
              <w:rPr>
                <w:rFonts w:ascii="Arial" w:cs="Arial" w:eastAsia="Arial" w:hAnsi="Arial"/>
                <w:sz w:val="15"/>
                <w:szCs w:val="15"/>
                <w:color w:val="auto"/>
              </w:rPr>
              <w:t>(1)</w:t>
            </w: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3/6/2029</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4/30/2020</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54,383</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271,920</w:t>
            </w:r>
            <w:r>
              <w:rPr>
                <w:rFonts w:ascii="Arial" w:cs="Arial" w:eastAsia="Arial" w:hAnsi="Arial"/>
                <w:sz w:val="15"/>
                <w:szCs w:val="15"/>
                <w:color w:val="auto"/>
              </w:rPr>
              <w:t>(1)</w:t>
            </w:r>
          </w:p>
        </w:tc>
        <w:tc>
          <w:tcPr>
            <w:tcW w:w="2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16.00</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4/29/2030</w:t>
            </w:r>
          </w:p>
        </w:tc>
        <w:tc>
          <w:tcPr>
            <w:tcW w:w="0" w:type="dxa"/>
            <w:vAlign w:val="bottom"/>
          </w:tcPr>
          <w:p>
            <w:pPr>
              <w:spacing w:after="0"/>
              <w:rPr>
                <w:sz w:val="1"/>
                <w:szCs w:val="1"/>
                <w:color w:val="auto"/>
              </w:rPr>
            </w:pPr>
          </w:p>
        </w:tc>
      </w:tr>
      <w:tr>
        <w:trPr>
          <w:trHeight w:val="243"/>
        </w:trPr>
        <w:tc>
          <w:tcPr>
            <w:tcW w:w="4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 Don Elsey</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7/29/2019</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26,485</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48,298</w:t>
            </w:r>
            <w:r>
              <w:rPr>
                <w:rFonts w:ascii="Arial" w:cs="Arial" w:eastAsia="Arial" w:hAnsi="Arial"/>
                <w:sz w:val="15"/>
                <w:szCs w:val="15"/>
                <w:color w:val="auto"/>
              </w:rPr>
              <w:t>(3)</w:t>
            </w: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9/24/2029</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4/30/2020</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3,439</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17,196</w:t>
            </w:r>
            <w:r>
              <w:rPr>
                <w:rFonts w:ascii="Arial" w:cs="Arial" w:eastAsia="Arial" w:hAnsi="Arial"/>
                <w:sz w:val="15"/>
                <w:szCs w:val="15"/>
                <w:color w:val="auto"/>
              </w:rPr>
              <w:t>(1)</w:t>
            </w:r>
          </w:p>
        </w:tc>
        <w:tc>
          <w:tcPr>
            <w:tcW w:w="2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16.00</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4/29/2030</w:t>
            </w:r>
          </w:p>
        </w:tc>
        <w:tc>
          <w:tcPr>
            <w:tcW w:w="0" w:type="dxa"/>
            <w:vAlign w:val="bottom"/>
          </w:tcPr>
          <w:p>
            <w:pPr>
              <w:spacing w:after="0"/>
              <w:rPr>
                <w:sz w:val="1"/>
                <w:szCs w:val="1"/>
                <w:color w:val="auto"/>
              </w:rPr>
            </w:pPr>
          </w:p>
        </w:tc>
      </w:tr>
      <w:tr>
        <w:trPr>
          <w:trHeight w:val="243"/>
        </w:trPr>
        <w:tc>
          <w:tcPr>
            <w:tcW w:w="4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Richard, Ph.D.</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6/24/2020</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r>
              <w:rPr>
                <w:rFonts w:ascii="Arial" w:cs="Arial" w:eastAsia="Arial" w:hAnsi="Arial"/>
                <w:sz w:val="15"/>
                <w:szCs w:val="15"/>
                <w:color w:val="auto"/>
              </w:rPr>
              <w:t>(3)</w:t>
            </w: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0"/>
          <w:szCs w:val="20"/>
          <w:color w:val="auto"/>
        </w:rPr>
      </w:pPr>
    </w:p>
    <w:p>
      <w:pPr>
        <w:ind w:left="880" w:right="24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Options vest and become exercisable in equal monthly installments over four years following the vesting commencement date, subject to the named executive officer’s continued service with us on each applicable vesting date.</w:t>
      </w:r>
    </w:p>
    <w:p>
      <w:pPr>
        <w:spacing w:after="0" w:line="62" w:lineRule="exact"/>
        <w:rPr>
          <w:rFonts w:ascii="Arial" w:cs="Arial" w:eastAsia="Arial" w:hAnsi="Arial"/>
          <w:sz w:val="18"/>
          <w:szCs w:val="18"/>
          <w:color w:val="auto"/>
        </w:rPr>
      </w:pPr>
    </w:p>
    <w:p>
      <w:pPr>
        <w:ind w:left="880" w:right="20" w:hanging="440"/>
        <w:spacing w:after="0" w:line="279"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Options vest and become exercisable at the end of any given three-month period occurring prior to six years from the vesting commencement date in which we recognize revenue from the commercial sale of an FDA-approved product each month and in amounts, with respect to the second and third months of such period that increase from the revenue recognized from such product sales in the immediately preceding month, subject to Dr. Palasis’ continued employment with us on each applicable vesting date.</w:t>
      </w:r>
    </w:p>
    <w:p>
      <w:pPr>
        <w:spacing w:after="0" w:line="63" w:lineRule="exact"/>
        <w:rPr>
          <w:rFonts w:ascii="Arial" w:cs="Arial" w:eastAsia="Arial" w:hAnsi="Arial"/>
          <w:sz w:val="17"/>
          <w:szCs w:val="17"/>
          <w:color w:val="auto"/>
        </w:rPr>
      </w:pPr>
    </w:p>
    <w:p>
      <w:pPr>
        <w:ind w:left="880" w:right="180" w:hanging="440"/>
        <w:spacing w:after="0" w:line="263"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Options vest and become exercisable as to 25% of the underlying shares on the first anniversary of the vesting commencement date and in 36 equal monthly installments over the following three years, subject to the named executive officer’s continued service with us on each applicable vesting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entered into new employment agreements with Dr. Palasis and Mr. Elsey in connection with our initial public offering that superseded their prior employment arrangements with us, and we entered into an employment agreement with Dr. Richard in connection with his commencement of employment with us in June 2020. The employment agreements provide for the annual base salaries and annual target bonus opportunities described above under the headings “—Annual Base Salaries” and “—Target Bonuses”. Through December 31, 2020, and subject to renewal by our Board of Directors thereafter, Mr. Elsey is also entitled to (i) reimbursement of reasonable travel expenses from his home to our offices in Massachusetts, (ii) use of a corporate apartment while working in Massachusetts and (iii) reimbursement for income and employment taxes incurred by Mr. Elsey as a result of these commuting payments and benefits. The total amount for (i) through (iii) may not exceed $75,000.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7" w:name="page28"/>
    <w:bookmarkEnd w:id="27"/>
    <w:p>
      <w:pPr>
        <w:spacing w:after="0" w:line="286" w:lineRule="auto"/>
        <w:rPr>
          <w:sz w:val="20"/>
          <w:szCs w:val="20"/>
          <w:color w:val="auto"/>
        </w:rPr>
      </w:pPr>
      <w:r>
        <w:rPr>
          <w:rFonts w:ascii="Arial" w:cs="Arial" w:eastAsia="Arial" w:hAnsi="Arial"/>
          <w:sz w:val="16"/>
          <w:szCs w:val="16"/>
          <w:color w:val="auto"/>
        </w:rPr>
        <w:t>Under the employment agreements, if we terminate the employment of Dr. Palasis, Mr. Elsey or Dr. Richard without “cause” or the executive resigns for “good reason” (each as defined below), subject to the executive’s timely execution of a release of claims and continued compliance with a separate restrictive covenant agreement (described below), the executive is entitled to receive (i) base salary continuation for a period of 12 months for Dr. Palasis, 9 months for Mr. Elsey and 6 months for Dr. Richard; (ii) payment of any annual bonus for the prior year earned but unpaid as of the date of termination and</w:t>
      </w:r>
    </w:p>
    <w:p>
      <w:pPr>
        <w:spacing w:after="0" w:line="1" w:lineRule="exact"/>
        <w:rPr>
          <w:sz w:val="20"/>
          <w:szCs w:val="20"/>
          <w:color w:val="auto"/>
        </w:rPr>
      </w:pPr>
    </w:p>
    <w:p>
      <w:pPr>
        <w:ind w:right="260" w:firstLine="8"/>
        <w:spacing w:after="0" w:line="277" w:lineRule="auto"/>
        <w:tabs>
          <w:tab w:leader="none" w:pos="3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direct payment of or reimbursement for continued medical, dental or vision coverage pursuant to COBRA for up to 12 months for Dr. Palasis, 9 months for Mr. Elsey and 6 months for Dr. Richard, less the amount each named executive officer would have had to pay to receive such coverage as an active employee based on the cost sharing levels in effect on the named executive officer’s termination date.</w:t>
      </w:r>
    </w:p>
    <w:p>
      <w:pPr>
        <w:spacing w:after="0" w:line="17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If we terminate Dr. Palasis, Mr. Elsey or Dr. Richard without “cause” or the executive resigns for “good reason,” in either case, on or within three months prior to or 12 months following a change in control, then, in lieu of the severance benefits described above, subject to the executive’s timely execution of a release of claims, the executive is entitled to receive (i) an amount equal in cash equal to 1.5 times for Dr. Palasis, one times for Mr. Elsey and 0.75 times for Dr. Richard the sum of the named executive officer’s annual base salary plus target annual bonus for the year of termination, (ii) payment of any annual bonus for the prior year earned but unpaid as of the date of termination, (iii) direct payment of or reimbursement for continued medical, dental or vision coverage pursuant to COBRA for up to 18 months for Dr. Palasis, 12 months for Mr. Elsey and 9 months for Dr. Richard, less the amount each named executive officer would have had to pay to receive such coverage as an active employee based on the cost sharing levels in effect on the named executive officer’s termination date, and (iv) accelerated vesting of all unvested equity or equity-based awards held by the named executive officer that vest solely based on the passage of time, with any such awards that vest based on the attainment of performance-vesting conditions being governed by the terms of the applicable award agreement.</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Each of our named executive officers has agreed to refrain from competing with us while employed and following his or her termination of employment for any reason for a period of one year and to refrain from soliciting our employees or customers while employed and following his or her termination of employment for any reason for a period of two years in the case of Dr. Palasis and Mr. Elsey and one year in the case of Dr. Richard.</w:t>
      </w:r>
    </w:p>
    <w:p>
      <w:pPr>
        <w:spacing w:after="0" w:line="16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For purposes of the employment agreements, “cause” generally means the named executive officer’s refusal to substantially perform the duties associated with his or her position with our company or to carry out the reasonable and lawful instructions of our Board of Directors concerning duties or actions consistent with his or her position, his or her breach of a material provision of the employment agreement which remains uncured (to the extent capable of cure) for a period of 30 days following written notice from our company, his or her conviction, plea of no contest or nolo contendere or imposition of unadjudicated probation for any felony or crime involving moral turpitude, his or her unlawful use (including being under the influence) or possession of illegal drugs on our premises or while performing his or her duties and responsibilities under the employment agreement, or his or her commission of any act of fraud, embezzlement, misappropriation, willful misconduct, or breach of fiduciary duty against us.</w:t>
      </w:r>
    </w:p>
    <w:p>
      <w:pPr>
        <w:spacing w:after="0" w:line="17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For purposes of the employment agreements, “good reason” generally means, subject to certain cure rights, the named executive officer’s termination of employment due to a reduction in salary or target bonus (other than a reduction of 20% or less of the named executive officer’s base salary implemented as part of an across the board, proportionate reduction of base salaries for other members of our management team), a material decrease in authority or areas of responsibility, our company’s breach of any one or more of the material provisions of the employment agreement, or a relocation by our company of the named executive officer’s primary office to a location more than 50 miles from the named executive officer’s primary office on the date of the agreement.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Director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Fees Earned</w:t>
            </w: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or</w:t>
            </w: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Paid in Cash</w:t>
            </w: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4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40" w:type="dxa"/>
            <w:vAlign w:val="bottom"/>
          </w:tcPr>
          <w:p>
            <w:pPr>
              <w:spacing w:after="0"/>
              <w:rPr>
                <w:sz w:val="14"/>
                <w:szCs w:val="14"/>
                <w:color w:val="auto"/>
              </w:rPr>
            </w:pPr>
          </w:p>
        </w:tc>
        <w:tc>
          <w:tcPr>
            <w:tcW w:w="1160" w:type="dxa"/>
            <w:vAlign w:val="bottom"/>
          </w:tcPr>
          <w:p>
            <w:pPr>
              <w:jc w:val="right"/>
              <w:ind w:right="41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Robert Langer Sc.D.</w:t>
            </w:r>
            <w:r>
              <w:rPr>
                <w:rFonts w:ascii="Arial" w:cs="Arial" w:eastAsia="Arial" w:hAnsi="Arial"/>
                <w:sz w:val="15"/>
                <w:szCs w:val="15"/>
                <w:color w:val="auto"/>
              </w:rPr>
              <w:t>(2)</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19,355</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George Whitesides Ph.D.</w:t>
            </w:r>
            <w:r>
              <w:rPr>
                <w:rFonts w:ascii="Arial" w:cs="Arial" w:eastAsia="Arial" w:hAnsi="Arial"/>
                <w:sz w:val="15"/>
                <w:szCs w:val="15"/>
                <w:color w:val="auto"/>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19,355</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314,576</w:t>
            </w:r>
          </w:p>
        </w:tc>
        <w:tc>
          <w:tcPr>
            <w:tcW w:w="2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333,931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Michael Altman</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26,667</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156,163</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C. Ann Merrifield</w:t>
            </w:r>
          </w:p>
        </w:tc>
        <w:tc>
          <w:tcPr>
            <w:tcW w:w="1140" w:type="dxa"/>
            <w:vAlign w:val="bottom"/>
          </w:tcPr>
          <w:p>
            <w:pPr>
              <w:jc w:val="right"/>
              <w:spacing w:after="0"/>
              <w:rPr>
                <w:sz w:val="20"/>
                <w:szCs w:val="20"/>
                <w:color w:val="auto"/>
              </w:rPr>
            </w:pPr>
            <w:r>
              <w:rPr>
                <w:rFonts w:ascii="Arial" w:cs="Arial" w:eastAsia="Arial" w:hAnsi="Arial"/>
                <w:sz w:val="18"/>
                <w:szCs w:val="18"/>
                <w:color w:val="auto"/>
              </w:rPr>
              <w:t>70,333</w:t>
            </w:r>
          </w:p>
        </w:tc>
        <w:tc>
          <w:tcPr>
            <w:tcW w:w="2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56,264</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Edward Anderson</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31,667</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156,163</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W. Bradford Smith</w:t>
            </w:r>
          </w:p>
        </w:tc>
        <w:tc>
          <w:tcPr>
            <w:tcW w:w="1140" w:type="dxa"/>
            <w:vAlign w:val="bottom"/>
          </w:tcPr>
          <w:p>
            <w:pPr>
              <w:jc w:val="right"/>
              <w:spacing w:after="0"/>
              <w:rPr>
                <w:sz w:val="20"/>
                <w:szCs w:val="20"/>
                <w:color w:val="auto"/>
              </w:rPr>
            </w:pPr>
            <w:r>
              <w:rPr>
                <w:rFonts w:ascii="Arial" w:cs="Arial" w:eastAsia="Arial" w:hAnsi="Arial"/>
                <w:sz w:val="18"/>
                <w:szCs w:val="18"/>
                <w:color w:val="auto"/>
              </w:rPr>
              <w:t>52,667</w:t>
            </w:r>
          </w:p>
        </w:tc>
        <w:tc>
          <w:tcPr>
            <w:tcW w:w="2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76,110</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128,777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Konstantin Poukalov</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26,667</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156,163</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Nancy Snyderman, M.D.</w:t>
            </w:r>
            <w:r>
              <w:rPr>
                <w:rFonts w:ascii="Arial" w:cs="Arial" w:eastAsia="Arial" w:hAnsi="Arial"/>
                <w:sz w:val="15"/>
                <w:szCs w:val="15"/>
                <w:color w:val="auto"/>
              </w:rPr>
              <w:t>(3)</w:t>
            </w:r>
          </w:p>
        </w:tc>
        <w:tc>
          <w:tcPr>
            <w:tcW w:w="1140" w:type="dxa"/>
            <w:vAlign w:val="bottom"/>
          </w:tcPr>
          <w:p>
            <w:pPr>
              <w:jc w:val="right"/>
              <w:spacing w:after="0"/>
              <w:rPr>
                <w:sz w:val="20"/>
                <w:szCs w:val="20"/>
                <w:color w:val="auto"/>
              </w:rPr>
            </w:pPr>
            <w:r>
              <w:rPr>
                <w:rFonts w:ascii="Arial" w:cs="Arial" w:eastAsia="Arial" w:hAnsi="Arial"/>
                <w:sz w:val="18"/>
                <w:szCs w:val="18"/>
                <w:color w:val="auto"/>
              </w:rPr>
              <w:t>7,519</w:t>
            </w:r>
          </w:p>
        </w:tc>
        <w:tc>
          <w:tcPr>
            <w:tcW w:w="24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118,264</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125,783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p>
      <w:pPr>
        <w:ind w:left="880" w:right="160" w:hanging="440"/>
        <w:spacing w:after="0" w:line="259"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reflect the full grant-date fair value of stock awards and stock options granted during 2020 computed in accordance with ASC Topic 718, rather than the amounts paid to or realized by the named individual. We provide information regarding the assumptions used to calculate the value of all stock awards and option awards made to our directors in Note 8 to the consolidated financial statements included in in our Annual Report on Form 10-K filed on March 9, 2021.</w:t>
      </w:r>
    </w:p>
    <w:p>
      <w:pPr>
        <w:spacing w:after="0" w:line="78"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 Langer and Dr. Whitesides resigned from our Board of Directors on October 26, 2020.</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 Snyderman was appointed to our Board of Directors on October 27, 2020.</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table below shows the aggregate numbers of option awards (exercisable and unexercisable) held as of December 31, 2020 by each non-employee director. None of our non-employee directors held unvested stock awards as of December 31,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Options</w:t>
            </w:r>
          </w:p>
        </w:tc>
        <w:tc>
          <w:tcPr>
            <w:tcW w:w="0" w:type="dxa"/>
            <w:vAlign w:val="bottom"/>
          </w:tcPr>
          <w:p>
            <w:pPr>
              <w:spacing w:after="0"/>
              <w:rPr>
                <w:sz w:val="1"/>
                <w:szCs w:val="1"/>
                <w:color w:val="auto"/>
              </w:rPr>
            </w:pPr>
          </w:p>
        </w:tc>
      </w:tr>
      <w:tr>
        <w:trPr>
          <w:trHeight w:val="148"/>
        </w:trPr>
        <w:tc>
          <w:tcPr>
            <w:tcW w:w="9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48"/>
        </w:trPr>
        <w:tc>
          <w:tcPr>
            <w:tcW w:w="9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at Fiscal Year</w:t>
            </w:r>
          </w:p>
        </w:tc>
        <w:tc>
          <w:tcPr>
            <w:tcW w:w="0" w:type="dxa"/>
            <w:vAlign w:val="bottom"/>
          </w:tcPr>
          <w:p>
            <w:pPr>
              <w:spacing w:after="0"/>
              <w:rPr>
                <w:sz w:val="1"/>
                <w:szCs w:val="1"/>
                <w:color w:val="auto"/>
              </w:rPr>
            </w:pPr>
          </w:p>
        </w:tc>
      </w:tr>
      <w:tr>
        <w:trPr>
          <w:trHeight w:val="171"/>
        </w:trPr>
        <w:tc>
          <w:tcPr>
            <w:tcW w:w="9260" w:type="dxa"/>
            <w:vAlign w:val="bottom"/>
            <w:gridSpan w:val="2"/>
            <w:vMerge w:val="continue"/>
          </w:tcPr>
          <w:p>
            <w:pPr>
              <w:spacing w:after="0"/>
              <w:rPr>
                <w:sz w:val="14"/>
                <w:szCs w:val="14"/>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End</w:t>
            </w:r>
          </w:p>
        </w:tc>
        <w:tc>
          <w:tcPr>
            <w:tcW w:w="0" w:type="dxa"/>
            <w:vAlign w:val="bottom"/>
          </w:tcPr>
          <w:p>
            <w:pPr>
              <w:spacing w:after="0"/>
              <w:rPr>
                <w:sz w:val="1"/>
                <w:szCs w:val="1"/>
                <w:color w:val="auto"/>
              </w:rPr>
            </w:pPr>
          </w:p>
        </w:tc>
      </w:tr>
      <w:tr>
        <w:trPr>
          <w:trHeight w:val="223"/>
        </w:trPr>
        <w:tc>
          <w:tcPr>
            <w:tcW w:w="9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Robert Langer Sc.D.</w:t>
            </w:r>
          </w:p>
        </w:tc>
        <w:tc>
          <w:tcPr>
            <w:tcW w:w="220" w:type="dxa"/>
            <w:vAlign w:val="bottom"/>
            <w:tcBorders>
              <w:top w:val="single" w:sz="8" w:color="CFF0FC"/>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121,584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George Whitesides Ph.D.</w:t>
            </w:r>
          </w:p>
        </w:tc>
        <w:tc>
          <w:tcPr>
            <w:tcW w:w="1880" w:type="dxa"/>
            <w:vAlign w:val="bottom"/>
          </w:tcPr>
          <w:p>
            <w:pPr>
              <w:jc w:val="right"/>
              <w:spacing w:after="0"/>
              <w:rPr>
                <w:sz w:val="20"/>
                <w:szCs w:val="20"/>
                <w:color w:val="auto"/>
              </w:rPr>
            </w:pPr>
            <w:r>
              <w:rPr>
                <w:rFonts w:ascii="Arial" w:cs="Arial" w:eastAsia="Arial" w:hAnsi="Arial"/>
                <w:sz w:val="18"/>
                <w:szCs w:val="18"/>
                <w:color w:val="auto"/>
              </w:rPr>
              <w:t>107,085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Michael Altman</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gridSpan w:val="2"/>
          </w:tcPr>
          <w:p>
            <w:pPr>
              <w:spacing w:after="0"/>
              <w:rPr>
                <w:sz w:val="20"/>
                <w:szCs w:val="20"/>
                <w:color w:val="auto"/>
              </w:rPr>
            </w:pPr>
            <w:r>
              <w:rPr>
                <w:rFonts w:ascii="Arial" w:cs="Arial" w:eastAsia="Arial" w:hAnsi="Arial"/>
                <w:sz w:val="18"/>
                <w:szCs w:val="18"/>
                <w:color w:val="auto"/>
              </w:rPr>
              <w:t>C. Ann Merrifield</w:t>
            </w:r>
          </w:p>
        </w:tc>
        <w:tc>
          <w:tcPr>
            <w:tcW w:w="1880" w:type="dxa"/>
            <w:vAlign w:val="bottom"/>
          </w:tcPr>
          <w:p>
            <w:pPr>
              <w:jc w:val="right"/>
              <w:spacing w:after="0"/>
              <w:rPr>
                <w:sz w:val="20"/>
                <w:szCs w:val="20"/>
                <w:color w:val="auto"/>
              </w:rPr>
            </w:pPr>
            <w:r>
              <w:rPr>
                <w:rFonts w:ascii="Arial" w:cs="Arial" w:eastAsia="Arial" w:hAnsi="Arial"/>
                <w:sz w:val="18"/>
                <w:szCs w:val="18"/>
                <w:color w:val="auto"/>
              </w:rPr>
              <w:t>13,288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Edward Anderson</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W. Bradford Smith</w:t>
            </w:r>
          </w:p>
        </w:tc>
        <w:tc>
          <w:tcPr>
            <w:tcW w:w="1880" w:type="dxa"/>
            <w:vAlign w:val="bottom"/>
          </w:tcPr>
          <w:p>
            <w:pPr>
              <w:jc w:val="right"/>
              <w:spacing w:after="0"/>
              <w:rPr>
                <w:sz w:val="20"/>
                <w:szCs w:val="20"/>
                <w:color w:val="auto"/>
              </w:rPr>
            </w:pPr>
            <w:r>
              <w:rPr>
                <w:rFonts w:ascii="Arial" w:cs="Arial" w:eastAsia="Arial" w:hAnsi="Arial"/>
                <w:sz w:val="18"/>
                <w:szCs w:val="18"/>
                <w:color w:val="auto"/>
              </w:rPr>
              <w:t>13,289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Konstantin Poukalov</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Nancy Snyderman, M.D.</w:t>
            </w:r>
          </w:p>
        </w:tc>
        <w:tc>
          <w:tcPr>
            <w:tcW w:w="1880" w:type="dxa"/>
            <w:vAlign w:val="bottom"/>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Compensation Program</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connection with our initial public offering, we adopted, and our stockholders approved, a compensation program for our non-employee directors under which each non-employee director receives the following amounts for their services on our Board of Directors:</w:t>
      </w:r>
    </w:p>
    <w:p>
      <w:pPr>
        <w:spacing w:after="0" w:line="265" w:lineRule="exact"/>
        <w:rPr>
          <w:sz w:val="20"/>
          <w:szCs w:val="20"/>
          <w:color w:val="auto"/>
        </w:rPr>
      </w:pPr>
    </w:p>
    <w:p>
      <w:pPr>
        <w:ind w:left="1300" w:hanging="442"/>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Upon the director’s initial election or appointment to our Board of Directors, an option to purchase 14,500 shares of our common stock;</w:t>
      </w:r>
    </w:p>
    <w:p>
      <w:pPr>
        <w:spacing w:after="0" w:line="248" w:lineRule="exact"/>
        <w:rPr>
          <w:rFonts w:ascii="Arial" w:cs="Arial" w:eastAsia="Arial" w:hAnsi="Arial"/>
          <w:sz w:val="16"/>
          <w:szCs w:val="16"/>
          <w:color w:val="auto"/>
        </w:rPr>
      </w:pPr>
    </w:p>
    <w:p>
      <w:pPr>
        <w:jc w:val="both"/>
        <w:ind w:left="1300" w:hanging="442"/>
        <w:spacing w:after="0" w:line="263"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director has served on our Board of Directors for at least six months as of the date of an annual meeting of stockholders and will continue to serve as a director immediately following such meeting, an option to purchase 7,250 shares of our common stock on the date of the annual meeting;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9" w:name="page30"/>
    <w:bookmarkEnd w:id="29"/>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annual director fee of $40,000;</w:t>
      </w:r>
    </w:p>
    <w:p>
      <w:pPr>
        <w:spacing w:after="0" w:line="225"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director serves as lead independent director or chair or on a committee of our Board of Directors, an additional annual fee as follows:</w:t>
      </w:r>
    </w:p>
    <w:p>
      <w:pPr>
        <w:spacing w:after="0" w:line="170" w:lineRule="exact"/>
        <w:rPr>
          <w:rFonts w:ascii="Arial" w:cs="Arial" w:eastAsia="Arial" w:hAnsi="Arial"/>
          <w:sz w:val="18"/>
          <w:szCs w:val="18"/>
          <w:color w:val="auto"/>
        </w:rPr>
      </w:pPr>
    </w:p>
    <w:p>
      <w:pPr>
        <w:ind w:left="1740" w:hanging="436"/>
        <w:spacing w:after="0"/>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Chair of the board or lead independent director: $25,000;</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Chair of the audit committee: $20,000;</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Audit committee member other than the chair, $7,500;</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Chair of the compensation committee, $15,000;</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Compensation committee member other than the chair, $5,000;</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Chair of the nominating and corporate governance committee, $8,000; and</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Nominating and corporate governance committee member other than the chair, $4,000.</w:t>
      </w:r>
    </w:p>
    <w:p>
      <w:pPr>
        <w:spacing w:after="0" w:line="22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Director fees under the program are payable in arrears in four equal quarterly installments not later than the fifteenth day following the final day of each calendar quarter, provided that the amount of each payment is prorated for any portion of a quarter that a director is not serving on our Board of Directors and no fee was payable in respect of any period prior to the effective date of the registration statement relating to our initial public offering.</w:t>
      </w:r>
    </w:p>
    <w:p>
      <w:pPr>
        <w:spacing w:after="0" w:line="14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Stock options granted to our non-employee directors under the program have an exercise price equal to the fair market value of our common stock on the date of grant and expire not later than ten years after the date of grant. The stock options granted upon a director’s initial election or appointment vest in 36 substantially equal monthly installments following the date of grant. The stock options granted annually to directors vest in a single installment on the earlier of the day before the next annual meeting or the first anniversary of the date of grant. In addition, all unvested stock options vest in full upon the occurrence of a change in control.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IPO Grants to Non-Employee Directors under the 2020 Plan</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connection with our initial public offering, our Board of Directors approved the grant to each of Michael Altman, Edward Anderson, Robert Langer, Sc.D., Konstantin Poukalov and George Whitesides, Ph.D. of an option to purchase 14,500 shares of our common stock at an exercise price per share equal to the initial public offering price per share of our common stock. Each option vests in 36 substantially equal monthly installments following the date of grant, subject to such director’s continued service through each applicable vesting date and accelerated vesting upon a change in control.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Whitesides Stock Award</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connection with our initial public offering, our Board of Directors granted to Dr. Whitesides an award of 19,661 vested shares of our common stock, effective as of May 1, 2020, the date of effectiveness of the registration statement on Form S-8 registering the issuance of the shares subject to the award.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by (i) each person or group of affiliated persons known by us to beneficially own more than 5% of our common stock and (ii) each of our named executive officers, each of our directors and all of our current executive officers and directors as a group as of April 9, 2021, unless otherwise indicated.</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number of shares beneficially owned by each stockholder is determined under rules issued by the SEC. Under these rules, beneficial ownership includes any shares as to which the individual or entity has sole or shared voting power or investment power. Applicable percentage ownership is based on 12,962,768 shares of common stock outstanding as of April 9, 2021. In computing the number of shares beneficially owned by an individual or entity and the percentage ownership of that person, shares of common stock subject to options held by such person that are currently exercisable or will become exercisable within 60 days of April 9, 2021 are considered outstanding, although these shares are not considered outstanding for purposes of computing the percentage ownership of any other person. Unless noted otherwise, the address of all listed stockholders is 480 Arsenal Way, Watertown, MA 02472. Each of the stockholders listed has sole voting and investment power with respect to the shares beneficially owned by the stockholder unless noted otherwise, subject to community property laws where applicable.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Shares of Common</w:t>
            </w: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Stock Beneficially</w:t>
            </w:r>
          </w:p>
        </w:tc>
        <w:tc>
          <w:tcPr>
            <w:tcW w:w="19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7280" w:type="dxa"/>
            <w:vAlign w:val="bottom"/>
            <w:gridSpan w:val="3"/>
            <w:vMerge w:val="continue"/>
          </w:tcPr>
          <w:p>
            <w:pPr>
              <w:spacing w:after="0"/>
              <w:rPr>
                <w:sz w:val="14"/>
                <w:szCs w:val="14"/>
                <w:color w:val="auto"/>
              </w:rPr>
            </w:pPr>
          </w:p>
        </w:tc>
        <w:tc>
          <w:tcPr>
            <w:tcW w:w="2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Owned</w:t>
            </w:r>
          </w:p>
        </w:tc>
        <w:tc>
          <w:tcPr>
            <w:tcW w:w="1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1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5% or Greater Stockholders</w:t>
            </w:r>
          </w:p>
        </w:tc>
        <w:tc>
          <w:tcPr>
            <w:tcW w:w="16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gridSpan w:val="3"/>
          </w:tcPr>
          <w:p>
            <w:pPr>
              <w:spacing w:after="0"/>
              <w:rPr>
                <w:sz w:val="20"/>
                <w:szCs w:val="20"/>
                <w:color w:val="auto"/>
              </w:rPr>
            </w:pPr>
            <w:r>
              <w:rPr>
                <w:rFonts w:ascii="Arial" w:cs="Arial" w:eastAsia="Arial" w:hAnsi="Arial"/>
                <w:sz w:val="18"/>
                <w:szCs w:val="18"/>
                <w:color w:val="auto"/>
              </w:rPr>
              <w:t>Entities Affiliated with Perceptive Advisors, LLC</w:t>
            </w:r>
            <w:r>
              <w:rPr>
                <w:rFonts w:ascii="Arial" w:cs="Arial" w:eastAsia="Arial" w:hAnsi="Arial"/>
                <w:sz w:val="15"/>
                <w:szCs w:val="15"/>
                <w:color w:val="auto"/>
              </w:rPr>
              <w:t>(1)</w:t>
            </w:r>
          </w:p>
        </w:tc>
        <w:tc>
          <w:tcPr>
            <w:tcW w:w="1760" w:type="dxa"/>
            <w:vAlign w:val="bottom"/>
          </w:tcPr>
          <w:p>
            <w:pPr>
              <w:jc w:val="right"/>
              <w:spacing w:after="0"/>
              <w:rPr>
                <w:sz w:val="20"/>
                <w:szCs w:val="20"/>
                <w:color w:val="auto"/>
              </w:rPr>
            </w:pPr>
            <w:r>
              <w:rPr>
                <w:rFonts w:ascii="Arial" w:cs="Arial" w:eastAsia="Arial" w:hAnsi="Arial"/>
                <w:sz w:val="18"/>
                <w:szCs w:val="18"/>
                <w:color w:val="auto"/>
              </w:rPr>
              <w:t>3,222,561</w:t>
            </w:r>
          </w:p>
        </w:tc>
        <w:tc>
          <w:tcPr>
            <w:tcW w:w="260" w:type="dxa"/>
            <w:vAlign w:val="bottom"/>
          </w:tcPr>
          <w:p>
            <w:pPr>
              <w:spacing w:after="0"/>
              <w:rPr>
                <w:sz w:val="19"/>
                <w:szCs w:val="19"/>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9"/>
        </w:trPr>
        <w:tc>
          <w:tcPr>
            <w:tcW w:w="72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Entities Affiliated with North Bridge Venture Partners</w:t>
            </w:r>
            <w:r>
              <w:rPr>
                <w:rFonts w:ascii="Arial" w:cs="Arial" w:eastAsia="Arial" w:hAnsi="Arial"/>
                <w:sz w:val="15"/>
                <w:szCs w:val="15"/>
                <w:color w:val="auto"/>
              </w:rPr>
              <w:t>(2)</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1,713,333</w:t>
            </w:r>
          </w:p>
        </w:tc>
        <w:tc>
          <w:tcPr>
            <w:tcW w:w="26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rPr>
                <w:sz w:val="20"/>
                <w:szCs w:val="20"/>
                <w:color w:val="auto"/>
              </w:rPr>
            </w:pPr>
            <w:r>
              <w:rPr>
                <w:rFonts w:ascii="Arial" w:cs="Arial" w:eastAsia="Arial" w:hAnsi="Arial"/>
                <w:sz w:val="18"/>
                <w:szCs w:val="18"/>
                <w:color w:val="auto"/>
              </w:rPr>
              <w:t>Entities Affiliated with Polaris Venture Partners</w:t>
            </w:r>
            <w:r>
              <w:rPr>
                <w:rFonts w:ascii="Arial" w:cs="Arial" w:eastAsia="Arial" w:hAnsi="Arial"/>
                <w:sz w:val="15"/>
                <w:szCs w:val="15"/>
                <w:color w:val="auto"/>
              </w:rPr>
              <w:t>(3)</w:t>
            </w:r>
          </w:p>
        </w:tc>
        <w:tc>
          <w:tcPr>
            <w:tcW w:w="1760" w:type="dxa"/>
            <w:vAlign w:val="bottom"/>
          </w:tcPr>
          <w:p>
            <w:pPr>
              <w:jc w:val="right"/>
              <w:spacing w:after="0"/>
              <w:rPr>
                <w:sz w:val="20"/>
                <w:szCs w:val="20"/>
                <w:color w:val="auto"/>
              </w:rPr>
            </w:pPr>
            <w:r>
              <w:rPr>
                <w:rFonts w:ascii="Arial" w:cs="Arial" w:eastAsia="Arial" w:hAnsi="Arial"/>
                <w:sz w:val="18"/>
                <w:szCs w:val="18"/>
                <w:color w:val="auto"/>
              </w:rPr>
              <w:t>1,423,772</w:t>
            </w:r>
          </w:p>
        </w:tc>
        <w:tc>
          <w:tcPr>
            <w:tcW w:w="260" w:type="dxa"/>
            <w:vAlign w:val="bottom"/>
          </w:tcPr>
          <w:p>
            <w:pPr>
              <w:spacing w:after="0"/>
              <w:rPr>
                <w:sz w:val="19"/>
                <w:szCs w:val="19"/>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72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RA Capital Healthcare Fund, L.P.</w:t>
            </w:r>
            <w:r>
              <w:rPr>
                <w:rFonts w:ascii="Arial" w:cs="Arial" w:eastAsia="Arial" w:hAnsi="Arial"/>
                <w:sz w:val="15"/>
                <w:szCs w:val="15"/>
                <w:color w:val="auto"/>
              </w:rPr>
              <w:t>(4)</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815,849</w:t>
            </w:r>
          </w:p>
        </w:tc>
        <w:tc>
          <w:tcPr>
            <w:tcW w:w="26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rPr>
                <w:sz w:val="20"/>
                <w:szCs w:val="20"/>
                <w:color w:val="auto"/>
              </w:rPr>
            </w:pPr>
            <w:r>
              <w:rPr>
                <w:rFonts w:ascii="Arial" w:cs="Arial" w:eastAsia="Arial" w:hAnsi="Arial"/>
                <w:sz w:val="18"/>
                <w:szCs w:val="18"/>
                <w:color w:val="auto"/>
              </w:rPr>
              <w:t>Ikarian Capital, LLC</w:t>
            </w:r>
            <w:r>
              <w:rPr>
                <w:rFonts w:ascii="Arial" w:cs="Arial" w:eastAsia="Arial" w:hAnsi="Arial"/>
                <w:sz w:val="15"/>
                <w:szCs w:val="15"/>
                <w:color w:val="auto"/>
              </w:rPr>
              <w:t>(5)</w:t>
            </w:r>
          </w:p>
        </w:tc>
        <w:tc>
          <w:tcPr>
            <w:tcW w:w="1760" w:type="dxa"/>
            <w:vAlign w:val="bottom"/>
          </w:tcPr>
          <w:p>
            <w:pPr>
              <w:jc w:val="right"/>
              <w:spacing w:after="0"/>
              <w:rPr>
                <w:sz w:val="20"/>
                <w:szCs w:val="20"/>
                <w:color w:val="auto"/>
              </w:rPr>
            </w:pPr>
            <w:r>
              <w:rPr>
                <w:rFonts w:ascii="Arial" w:cs="Arial" w:eastAsia="Arial" w:hAnsi="Arial"/>
                <w:sz w:val="18"/>
                <w:szCs w:val="18"/>
                <w:color w:val="auto"/>
              </w:rPr>
              <w:t>815,364</w:t>
            </w:r>
          </w:p>
        </w:tc>
        <w:tc>
          <w:tcPr>
            <w:tcW w:w="260" w:type="dxa"/>
            <w:vAlign w:val="bottom"/>
          </w:tcPr>
          <w:p>
            <w:pPr>
              <w:spacing w:after="0"/>
              <w:rPr>
                <w:sz w:val="19"/>
                <w:szCs w:val="19"/>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72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Intersouth Partners VII, L.P.</w:t>
            </w:r>
            <w:r>
              <w:rPr>
                <w:rFonts w:ascii="Arial" w:cs="Arial" w:eastAsia="Arial" w:hAnsi="Arial"/>
                <w:sz w:val="15"/>
                <w:szCs w:val="15"/>
                <w:color w:val="auto"/>
              </w:rPr>
              <w:t>(6)</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738,203</w:t>
            </w:r>
          </w:p>
        </w:tc>
        <w:tc>
          <w:tcPr>
            <w:tcW w:w="26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7280" w:type="dxa"/>
            <w:vAlign w:val="bottom"/>
            <w:gridSpan w:val="3"/>
          </w:tcPr>
          <w:p>
            <w:pPr>
              <w:spacing w:after="0"/>
              <w:rPr>
                <w:sz w:val="20"/>
                <w:szCs w:val="20"/>
                <w:color w:val="auto"/>
              </w:rPr>
            </w:pPr>
            <w:r>
              <w:rPr>
                <w:rFonts w:ascii="Arial" w:cs="Arial" w:eastAsia="Arial" w:hAnsi="Arial"/>
                <w:sz w:val="18"/>
                <w:szCs w:val="18"/>
                <w:color w:val="auto"/>
              </w:rPr>
              <w:t>Arrowmark Colorado Holdings, LLC</w:t>
            </w:r>
            <w:r>
              <w:rPr>
                <w:rFonts w:ascii="Arial" w:cs="Arial" w:eastAsia="Arial" w:hAnsi="Arial"/>
                <w:sz w:val="15"/>
                <w:szCs w:val="15"/>
                <w:color w:val="auto"/>
              </w:rPr>
              <w:t>(7)</w:t>
            </w:r>
          </w:p>
        </w:tc>
        <w:tc>
          <w:tcPr>
            <w:tcW w:w="1760" w:type="dxa"/>
            <w:vAlign w:val="bottom"/>
          </w:tcPr>
          <w:p>
            <w:pPr>
              <w:jc w:val="right"/>
              <w:spacing w:after="0"/>
              <w:rPr>
                <w:sz w:val="20"/>
                <w:szCs w:val="20"/>
                <w:color w:val="auto"/>
              </w:rPr>
            </w:pPr>
            <w:r>
              <w:rPr>
                <w:rFonts w:ascii="Arial" w:cs="Arial" w:eastAsia="Arial" w:hAnsi="Arial"/>
                <w:sz w:val="18"/>
                <w:szCs w:val="18"/>
                <w:color w:val="auto"/>
              </w:rPr>
              <w:t>648,321</w:t>
            </w:r>
          </w:p>
        </w:tc>
        <w:tc>
          <w:tcPr>
            <w:tcW w:w="260" w:type="dxa"/>
            <w:vAlign w:val="bottom"/>
          </w:tcPr>
          <w:p>
            <w:pPr>
              <w:spacing w:after="0"/>
              <w:rPr>
                <w:sz w:val="19"/>
                <w:szCs w:val="19"/>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728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gridSpan w:val="3"/>
          </w:tcPr>
          <w:p>
            <w:pPr>
              <w:spacing w:after="0"/>
              <w:rPr>
                <w:sz w:val="20"/>
                <w:szCs w:val="20"/>
                <w:color w:val="auto"/>
              </w:rPr>
            </w:pPr>
            <w:r>
              <w:rPr>
                <w:rFonts w:ascii="Arial" w:cs="Arial" w:eastAsia="Arial" w:hAnsi="Arial"/>
                <w:sz w:val="18"/>
                <w:szCs w:val="18"/>
                <w:color w:val="auto"/>
              </w:rPr>
              <w:t>Maria Palasis, Ph.D.</w:t>
            </w:r>
            <w:r>
              <w:rPr>
                <w:rFonts w:ascii="Arial" w:cs="Arial" w:eastAsia="Arial" w:hAnsi="Arial"/>
                <w:sz w:val="15"/>
                <w:szCs w:val="15"/>
                <w:color w:val="auto"/>
              </w:rPr>
              <w:t>(8)</w:t>
            </w:r>
          </w:p>
        </w:tc>
        <w:tc>
          <w:tcPr>
            <w:tcW w:w="1760" w:type="dxa"/>
            <w:vAlign w:val="bottom"/>
          </w:tcPr>
          <w:p>
            <w:pPr>
              <w:jc w:val="right"/>
              <w:spacing w:after="0"/>
              <w:rPr>
                <w:sz w:val="20"/>
                <w:szCs w:val="20"/>
                <w:color w:val="auto"/>
              </w:rPr>
            </w:pPr>
            <w:r>
              <w:rPr>
                <w:rFonts w:ascii="Arial" w:cs="Arial" w:eastAsia="Arial" w:hAnsi="Arial"/>
                <w:sz w:val="18"/>
                <w:szCs w:val="18"/>
                <w:color w:val="auto"/>
              </w:rPr>
              <w:t>367,120</w:t>
            </w:r>
          </w:p>
        </w:tc>
        <w:tc>
          <w:tcPr>
            <w:tcW w:w="260" w:type="dxa"/>
            <w:vAlign w:val="bottom"/>
          </w:tcPr>
          <w:p>
            <w:pPr>
              <w:spacing w:after="0"/>
              <w:rPr>
                <w:sz w:val="19"/>
                <w:szCs w:val="19"/>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2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 Don Elsey</w:t>
            </w:r>
            <w:r>
              <w:rPr>
                <w:rFonts w:ascii="Arial" w:cs="Arial" w:eastAsia="Arial" w:hAnsi="Arial"/>
                <w:sz w:val="15"/>
                <w:szCs w:val="15"/>
                <w:color w:val="auto"/>
              </w:rPr>
              <w:t>(9)</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43,613</w:t>
            </w: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rPr>
                <w:sz w:val="20"/>
                <w:szCs w:val="20"/>
                <w:color w:val="auto"/>
              </w:rPr>
            </w:pPr>
            <w:r>
              <w:rPr>
                <w:rFonts w:ascii="Arial" w:cs="Arial" w:eastAsia="Arial" w:hAnsi="Arial"/>
                <w:sz w:val="18"/>
                <w:szCs w:val="18"/>
                <w:color w:val="auto"/>
              </w:rPr>
              <w:t>Robert Richard, Ph.D.</w:t>
            </w:r>
            <w:r>
              <w:rPr>
                <w:rFonts w:ascii="Arial" w:cs="Arial" w:eastAsia="Arial" w:hAnsi="Arial"/>
                <w:sz w:val="15"/>
                <w:szCs w:val="15"/>
                <w:color w:val="auto"/>
              </w:rPr>
              <w:t>(10)</w:t>
            </w:r>
          </w:p>
        </w:tc>
        <w:tc>
          <w:tcPr>
            <w:tcW w:w="1760" w:type="dxa"/>
            <w:vAlign w:val="bottom"/>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Edward Anderson</w:t>
            </w:r>
            <w:r>
              <w:rPr>
                <w:rFonts w:ascii="Arial" w:cs="Arial" w:eastAsia="Arial" w:hAnsi="Arial"/>
                <w:sz w:val="15"/>
                <w:szCs w:val="15"/>
                <w:color w:val="auto"/>
              </w:rPr>
              <w:t>(2)</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1,718,569</w:t>
            </w:r>
          </w:p>
        </w:tc>
        <w:tc>
          <w:tcPr>
            <w:tcW w:w="26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rPr>
                <w:sz w:val="20"/>
                <w:szCs w:val="20"/>
                <w:color w:val="auto"/>
              </w:rPr>
            </w:pPr>
            <w:r>
              <w:rPr>
                <w:rFonts w:ascii="Arial" w:cs="Arial" w:eastAsia="Arial" w:hAnsi="Arial"/>
                <w:sz w:val="18"/>
                <w:szCs w:val="18"/>
                <w:color w:val="auto"/>
              </w:rPr>
              <w:t>Michael Altman</w:t>
            </w:r>
            <w:r>
              <w:rPr>
                <w:rFonts w:ascii="Arial" w:cs="Arial" w:eastAsia="Arial" w:hAnsi="Arial"/>
                <w:sz w:val="15"/>
                <w:szCs w:val="15"/>
                <w:color w:val="auto"/>
              </w:rPr>
              <w:t>(1)</w:t>
            </w:r>
          </w:p>
        </w:tc>
        <w:tc>
          <w:tcPr>
            <w:tcW w:w="1760" w:type="dxa"/>
            <w:vAlign w:val="bottom"/>
          </w:tcPr>
          <w:p>
            <w:pPr>
              <w:jc w:val="right"/>
              <w:spacing w:after="0"/>
              <w:rPr>
                <w:sz w:val="20"/>
                <w:szCs w:val="20"/>
                <w:color w:val="auto"/>
              </w:rPr>
            </w:pPr>
            <w:r>
              <w:rPr>
                <w:rFonts w:ascii="Arial" w:cs="Arial" w:eastAsia="Arial" w:hAnsi="Arial"/>
                <w:sz w:val="18"/>
                <w:szCs w:val="18"/>
                <w:color w:val="auto"/>
              </w:rPr>
              <w:t>5,236</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 Ann Merrifield</w:t>
            </w:r>
            <w:r>
              <w:rPr>
                <w:rFonts w:ascii="Arial" w:cs="Arial" w:eastAsia="Arial" w:hAnsi="Arial"/>
                <w:sz w:val="15"/>
                <w:szCs w:val="15"/>
                <w:color w:val="auto"/>
              </w:rPr>
              <w:t>(11)</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7,478</w:t>
            </w: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rPr>
                <w:sz w:val="20"/>
                <w:szCs w:val="20"/>
                <w:color w:val="auto"/>
              </w:rPr>
            </w:pPr>
            <w:r>
              <w:rPr>
                <w:rFonts w:ascii="Arial" w:cs="Arial" w:eastAsia="Arial" w:hAnsi="Arial"/>
                <w:sz w:val="18"/>
                <w:szCs w:val="18"/>
                <w:color w:val="auto"/>
              </w:rPr>
              <w:t>Nancy Snyderman, M.D., FACS</w:t>
            </w:r>
            <w:r>
              <w:rPr>
                <w:rFonts w:ascii="Arial" w:cs="Arial" w:eastAsia="Arial" w:hAnsi="Arial"/>
                <w:sz w:val="15"/>
                <w:szCs w:val="15"/>
                <w:color w:val="auto"/>
              </w:rPr>
              <w:t>(12)</w:t>
            </w:r>
          </w:p>
        </w:tc>
        <w:tc>
          <w:tcPr>
            <w:tcW w:w="1760" w:type="dxa"/>
            <w:vAlign w:val="bottom"/>
          </w:tcPr>
          <w:p>
            <w:pPr>
              <w:jc w:val="right"/>
              <w:spacing w:after="0"/>
              <w:rPr>
                <w:sz w:val="20"/>
                <w:szCs w:val="20"/>
                <w:color w:val="auto"/>
              </w:rPr>
            </w:pPr>
            <w:r>
              <w:rPr>
                <w:rFonts w:ascii="Arial" w:cs="Arial" w:eastAsia="Arial" w:hAnsi="Arial"/>
                <w:sz w:val="18"/>
                <w:szCs w:val="18"/>
                <w:color w:val="auto"/>
              </w:rPr>
              <w:t>3,844</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W. Bradford Smith</w:t>
            </w:r>
            <w:r>
              <w:rPr>
                <w:rFonts w:ascii="Arial" w:cs="Arial" w:eastAsia="Arial" w:hAnsi="Arial"/>
                <w:sz w:val="15"/>
                <w:szCs w:val="15"/>
                <w:color w:val="auto"/>
              </w:rPr>
              <w:t>(13)</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6,644</w:t>
            </w: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rPr>
                <w:sz w:val="20"/>
                <w:szCs w:val="20"/>
                <w:color w:val="auto"/>
              </w:rPr>
            </w:pPr>
            <w:r>
              <w:rPr>
                <w:rFonts w:ascii="Arial" w:cs="Arial" w:eastAsia="Arial" w:hAnsi="Arial"/>
                <w:sz w:val="18"/>
                <w:szCs w:val="18"/>
                <w:color w:val="auto"/>
              </w:rPr>
              <w:t>Konstantin Poukalov</w:t>
            </w:r>
            <w:r>
              <w:rPr>
                <w:rFonts w:ascii="Arial" w:cs="Arial" w:eastAsia="Arial" w:hAnsi="Arial"/>
                <w:sz w:val="15"/>
                <w:szCs w:val="15"/>
                <w:color w:val="auto"/>
              </w:rPr>
              <w:t>(1)</w:t>
            </w:r>
          </w:p>
        </w:tc>
        <w:tc>
          <w:tcPr>
            <w:tcW w:w="1760" w:type="dxa"/>
            <w:vAlign w:val="bottom"/>
          </w:tcPr>
          <w:p>
            <w:pPr>
              <w:jc w:val="right"/>
              <w:spacing w:after="0"/>
              <w:rPr>
                <w:sz w:val="20"/>
                <w:szCs w:val="20"/>
                <w:color w:val="auto"/>
              </w:rPr>
            </w:pPr>
            <w:r>
              <w:rPr>
                <w:rFonts w:ascii="Arial" w:cs="Arial" w:eastAsia="Arial" w:hAnsi="Arial"/>
                <w:sz w:val="18"/>
                <w:szCs w:val="18"/>
                <w:color w:val="auto"/>
              </w:rPr>
              <w:t>5,236</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All current executive officers and directors as a group (11 persons)</w:t>
            </w:r>
            <w:r>
              <w:rPr>
                <w:rFonts w:ascii="Arial" w:cs="Arial" w:eastAsia="Arial" w:hAnsi="Arial"/>
                <w:sz w:val="15"/>
                <w:szCs w:val="15"/>
                <w:color w:val="auto"/>
              </w:rPr>
              <w:t>(14)</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2,202,939</w:t>
            </w:r>
          </w:p>
        </w:tc>
        <w:tc>
          <w:tcPr>
            <w:tcW w:w="26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135"/>
        </w:trPr>
        <w:tc>
          <w:tcPr>
            <w:tcW w:w="1400" w:type="dxa"/>
            <w:vAlign w:val="bottom"/>
            <w:tcBorders>
              <w:bottom w:val="single" w:sz="8" w:color="auto"/>
            </w:tcBorders>
          </w:tcPr>
          <w:p>
            <w:pPr>
              <w:spacing w:after="0"/>
              <w:rPr>
                <w:sz w:val="11"/>
                <w:szCs w:val="11"/>
                <w:color w:val="auto"/>
              </w:rPr>
            </w:pPr>
          </w:p>
        </w:tc>
        <w:tc>
          <w:tcPr>
            <w:tcW w:w="5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17" w:lineRule="exact"/>
        <w:rPr>
          <w:sz w:val="20"/>
          <w:szCs w:val="20"/>
          <w:color w:val="auto"/>
        </w:rPr>
      </w:pPr>
    </w:p>
    <w:p>
      <w:pPr>
        <w:ind w:left="880" w:hanging="440"/>
        <w:spacing w:after="0" w:line="269"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Pursuant to a Schedule 13D filed with the SEC on June 1, 2020, Perceptive Life Sciences Master Fund, Ltd. (“Perceptive Life”) reported shared voting power and shared dispositive power over 1,934,115 shares of common stock; Perceptive LS (A), LLC (“Perceptive LS”) reported shared voting power and shared dispositive power over 1,288,446 shares of common stock; Joseph Edelman reported shared voting power and shared dispositive power over 3,223,561 shares of common stock; and Perceptive Advisors LLC reported shared voting power and shared dispositive power over 3,223,561 shares of common stock. Perceptive Advisors LLC serves as the investment advisor to Perceptive Life. Perceptive LS GP, LLC is the manager of Perceptive LS. Joseph Edelman is the managing member of Perceptive Advisors LLC and the sole member of Perceptive LS GP, LLC. Michael Altman and Konstantin Poukalov, two of our directors, are Managing Directors at Perceptive Advisors LLC. Messrs. Altman and Poukalov each have sole voting power and sole dispositive power over 5,236 shares of common stock that are or will be immediately exercisable within 60 days of April 9, 2021. The address of the aforementioned individuals and entities is c/o Perceptive Advisors, LLC, 51 Astor Place, 10th Floor, New York, New York 10003.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1" w:name="page32"/>
    <w:bookmarkEnd w:id="31"/>
    <w:p>
      <w:pPr>
        <w:ind w:left="440" w:right="40" w:hanging="440"/>
        <w:spacing w:after="0" w:line="268" w:lineRule="auto"/>
        <w:tabs>
          <w:tab w:leader="none" w:pos="4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Pursuant to a Schedule 13D filed with the SEC on May 15, 2020, North Bridge Venture Partners V-A, L.P. (“NBVP V-A”) reported shared voting power and shared dispositive power over 778,592 shares of common stock; North Bridge Venture Partners V-B, L.P. (“NBVP V-B”) reported shared voting power and shared dispositive power over 381,618 shares of common stock; and North Bridge Venture Partners VI, L.P. (“NBVP VI”) reported shared voting power and shared dispositive power over 553,123 shares of common stock. North Bridge Venture Management V, L.P. (“NBVM V”), is the sole General Partner of NBVP V-A and NBVP V-B and may be deemed to have voting and dispositive power with respect to the shares held by those entities. NBVM GP, LLC, the General Partner of NBVM V, may be deemed to have voting and dispositive power over the shares held of record by NBVP VA and NBVP V-B. Shared voting and dispositive power of such shares are vested in Edward T. Anderson and Richard A. D’Amore. North Bridge Venture Management VI, L.P. (“NBVM VI”), is the sole General Partner of NBVP VI. NBVM GP, LLC, the General Partner of NBVM VI, and may be deemed to have voting and dispositive power over the shares held of record by NBVP VI. Shared voting and dispositive power of such shares are vested in Edward T. Anderson and Richard A. D’Amore. Mr. Anderson, a member of our Board of Directors and a manager of NBVM GP, LLC, disclaims beneficial ownership over such shares, except to the extent of his pecuniary interest therein. Mr. Anderson has sole voting power and sole dispositive power over 5,236 shares of common stock that are or will be immediately exercisable within 60 days of April 9, 2021. The address of all entities affiliated with North Bridge Venture Partners is 60 William Street, Suite 350, Wellesley, MA 02481.</w:t>
      </w:r>
    </w:p>
    <w:p>
      <w:pPr>
        <w:spacing w:after="0" w:line="76" w:lineRule="exact"/>
        <w:rPr>
          <w:rFonts w:ascii="Arial" w:cs="Arial" w:eastAsia="Arial" w:hAnsi="Arial"/>
          <w:sz w:val="17"/>
          <w:szCs w:val="17"/>
          <w:color w:val="auto"/>
        </w:rPr>
      </w:pPr>
    </w:p>
    <w:p>
      <w:pPr>
        <w:ind w:left="440" w:hanging="440"/>
        <w:spacing w:after="0" w:line="285" w:lineRule="auto"/>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Pursuant to a Schedule 13G filed with the SEC on February 12, 2021, Polaris Venture Partners IV, L.P. (“PVP IV”) reported shared voting power and shared dispositive power over 316,980 shares of common stock; Polaris Venture Partners Entrepreneurs’ Fund IV, L.P. (“PVPEF IV” and, together with PVP IV, the “Polaris IV Funds”) reported shared voting power and shared dispositive power over 5,940 shares of common stock; Polaris Venture Partners V, L.P. (“PVP V”) reported shared voting power and shared dispositive power over 1,062,259 shares of common stock; Polaris Venture Partners Entrepreneurs’ Fund V, L.P. (“PVPEF V”) reported shared voting power and shared dispositive power over 20,701 shares of common stock; Polaris Venture Partners Founders’ Fund V, L.P. (“PVPFF V”) reported shared voting power and shared dispositive power over 7,274 shares of common stock; Polaris Venture Partners Special Founders’ Fund V, L.P. (“PVPSFF V,” and together with PVP V, PVPEF V and PVPFF V, the “Polaris V Funds” and the Polaris V Funds, together with the Polaris IV Funds, the “Polaris Funds”) reported shared voting power and shared dispositive power over 10,618 shares of common stock; Polaris Venture Management Co., IV, L.L.C. (“PVM IV”) reported shared voting power and shared dispositive power over 1,100,852 shares of common stock; and Polaris Venture Management Co. IV, L.L.C.. reported shared voting power and shared dispositive power over 322,920 shares of common stock. PVM IV is the sole general partner of each of the Polaris IV Funds and may be deemed to have sole voting and dispositive power with respect to the shares held by each of the Polaris IV Funds. Polaris Venture Management Co. V, L.L.C. (“PVM V”) is the sole general partner of each of the Polaris V Funds and may be deemed to have sole voting and dispositive power with respect to the shares held by each of the Polaris V Funds. Jonathan A. Flint and Terrance G. McGuire are the managing members of each of PVM V and PVM IV. Each of Messrs. Flint and McGuire, as managing members of each of PVM V and PVM IV, may be deemed to have shared voting and dispositive power with respect to the shares held by each of the Polaris Funds. Each of PVM IV, PVM V and Messrs. Flint and McGuire expressly disclaim beneficial ownership of the shares held by the each of the Polaris Funds, except to the extent of their respective pecuniary interests therein, if any. The mailing address of the aforementioned individuals and entities is One Marina Park Drive, 10th Floor, Boston, MA 02210.</w:t>
      </w:r>
    </w:p>
    <w:p>
      <w:pPr>
        <w:spacing w:after="0" w:line="60" w:lineRule="exact"/>
        <w:rPr>
          <w:rFonts w:ascii="Arial" w:cs="Arial" w:eastAsia="Arial" w:hAnsi="Arial"/>
          <w:sz w:val="16"/>
          <w:szCs w:val="16"/>
          <w:color w:val="auto"/>
        </w:rPr>
      </w:pPr>
    </w:p>
    <w:p>
      <w:pPr>
        <w:ind w:left="440" w:right="40" w:hanging="440"/>
        <w:spacing w:after="0" w:line="273" w:lineRule="auto"/>
        <w:tabs>
          <w:tab w:leader="none" w:pos="4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Pursuant to a Schedule 13G filed with the SEC on February 16, 2021, each of RA Capital Management, L.P., R.A. Capital Healthcare Fund, L.P. (“RA Capital”), Peter Kolchinsky and Rajeev Shah reported shared voting power and shared dispositive power over 815,849 shares of common stock. RA Capital Management, L.P., is the investment advisor (“Adviser”) of RA Capital and RA Capital Management GP, LLC (“Adviser GP”) is the general partner of the Adviser. Dr. Kolchinsky and Rajeev Shah are the controlling persons of the Adviser GP. The Adviser, Dr. Kolchinsky, and Mr. Shah may be deemed to beneficially own the shares held by RA Capital. The address of RA Capital is c/o RA Capital Management, L.P., 200 Berkeley Street, 18th Floor, Boston, Massachusetts 02116.</w:t>
      </w:r>
    </w:p>
    <w:p>
      <w:pPr>
        <w:spacing w:after="0" w:line="17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463" w:right="339" w:bottom="1440" w:gutter="0" w:footer="0" w:header="0"/>
        </w:sectPr>
      </w:pPr>
    </w:p>
    <w:bookmarkStart w:id="32" w:name="page33"/>
    <w:bookmarkEnd w:id="32"/>
    <w:p>
      <w:pPr>
        <w:ind w:left="440" w:hanging="440"/>
        <w:spacing w:after="0" w:line="286" w:lineRule="auto"/>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Pursuant to a Schedule 13G/A filed with the SEC on February 16, 2021, Ikarian Capital, LLC (“Ikarian Capital”) reported shared voting power and shared dispositive power over 815,364 shares of common stock; each of Ikarian Healthcare Master Fund, L.P. (the “Fund”) and Ikarian Healthcare Fund GP, L.P. (the “Ikarian GP”) reported shared voting power and shared dispositive power over 654,626 shares of common stock; and each of Chart Westcott and Neil Shahrestani reported shared voting power and shared dispositive power over 815,364 shares of common stock. Ikarian Capital is the investment manager of, and may be deemed to indirectly beneficially own securities owned by, the Fund. Ikarian GP is the general partner of, and may be deemed to indirectly beneficially own securities owned by, the Fund. Ikarian Capital is also the general partner of, and may be deemed to indirectly beneficially own, securities beneficially owned by Ikarian GP. Ikarian Capital is a sub-advisor for certain separate managed accounts (collectively, the “Managed Accounts”) and may be deemed to indirectly beneficially own securities owned by the Managed Accounts. Ikarian Capital is ultimately owned and controlled by Chart Westcott Living Trust, of which Mr. Westcott serves as the sole trustee (the “Trust”), and indirectly by Mr. Shahrestani. Accordingly, each of Mr. Westcott, as sole trustee of the Trust, and Mr. Shahrestani may be deemed to indirectly beneficially own securities beneficially owned by Ikarian Capital. The Fund disclaims beneficial ownership of the shares held by the Managed Accounts. The address of the principal business office of each of the aforementioned individuals and entities is c/o Ikarian Capital, LLC, 100 Crescent Court, Suite 1620, Dallas, Texas 75201.</w:t>
      </w:r>
    </w:p>
    <w:p>
      <w:pPr>
        <w:spacing w:after="0" w:line="65" w:lineRule="exact"/>
        <w:rPr>
          <w:rFonts w:ascii="Arial" w:cs="Arial" w:eastAsia="Arial" w:hAnsi="Arial"/>
          <w:sz w:val="16"/>
          <w:szCs w:val="16"/>
          <w:color w:val="auto"/>
        </w:rPr>
      </w:pPr>
    </w:p>
    <w:p>
      <w:pPr>
        <w:ind w:left="440" w:right="140" w:hanging="440"/>
        <w:spacing w:after="0" w:line="270" w:lineRule="auto"/>
        <w:tabs>
          <w:tab w:leader="none" w:pos="4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Pursuant to a Schedule 13G filed with the SEC on February 12, 2021, each of Intersouth Partners VII, L.P. (“ISP VII”), Intersouth Associates VII, LLC (“ISA VII, LLC”), Dennis Dougherty and Mitch Mumma reported shared voting power and shared dispositive power over 738,203 shares of common stock. ISA VII directly beneficially owns 738,203 shares of common stock. ISA VII, LLC, as the general partner of ISP VII, may be deemed to beneficially own the securities owned by ISP VII. Messrs. Dougherty and Mumma, as Member Managers of ISA VII, LLC, may be deemed to indirectly beneficially own the securities owned by ISP VII. Each of (i) ISP VII, (ii) ISP VII, LLC and (iii) Messrs. Dougherty and Mumma, may be deemed to share the power to vote or direct the voting of, and to dispose or direct the disposition of, the securities that are directly beneficially owned by ISP VII. Each of Messrs. Dougherty and Mumma disclaims beneficial ownership of all securities other than those he owns by virtue of his indirect pro rata interest as a member of ISA VII, LLC. The mailing address of the aforementioned individuals and entities is 4711 Hope Valley Road, Suite 4F-632, Durham NC 27707.</w:t>
      </w:r>
    </w:p>
    <w:p>
      <w:pPr>
        <w:spacing w:after="0" w:line="72" w:lineRule="exact"/>
        <w:rPr>
          <w:rFonts w:ascii="Arial" w:cs="Arial" w:eastAsia="Arial" w:hAnsi="Arial"/>
          <w:sz w:val="17"/>
          <w:szCs w:val="17"/>
          <w:color w:val="auto"/>
        </w:rPr>
      </w:pPr>
    </w:p>
    <w:p>
      <w:pPr>
        <w:jc w:val="both"/>
        <w:ind w:left="440" w:right="240" w:hanging="440"/>
        <w:spacing w:after="0" w:line="263"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Pursuant to a Schedule 13G filed with the SEC on February 16, 2021, ArrowMark Colorado Holdings, LLC reported sole voting power over 648,321 shares of common stock. The address of ArrowMark Colorado Holdings, LLC is 100 Fillmore Street, Suite 325, Denver, Colorado, 80206.</w:t>
      </w:r>
    </w:p>
    <w:p>
      <w:pPr>
        <w:spacing w:after="0" w:line="75" w:lineRule="exact"/>
        <w:rPr>
          <w:rFonts w:ascii="Arial" w:cs="Arial" w:eastAsia="Arial" w:hAnsi="Arial"/>
          <w:sz w:val="18"/>
          <w:szCs w:val="18"/>
          <w:color w:val="auto"/>
        </w:rPr>
      </w:pPr>
    </w:p>
    <w:p>
      <w:pPr>
        <w:ind w:left="440" w:hanging="440"/>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Consists of options to purchase 367,120 shares of common stock that are or will be immediately exercisable within 60 days of April 9, 2021.</w:t>
      </w:r>
    </w:p>
    <w:p>
      <w:pPr>
        <w:spacing w:after="0" w:line="140" w:lineRule="exact"/>
        <w:rPr>
          <w:rFonts w:ascii="Arial" w:cs="Arial" w:eastAsia="Arial" w:hAnsi="Arial"/>
          <w:sz w:val="16"/>
          <w:szCs w:val="16"/>
          <w:color w:val="auto"/>
        </w:rPr>
      </w:pPr>
    </w:p>
    <w:p>
      <w:pPr>
        <w:ind w:left="440" w:hanging="440"/>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Consists of options to purchase 43,613 shares of common stock that are or will be immediately exercisable within 60 days of April 9, 2021.</w:t>
      </w:r>
    </w:p>
    <w:p>
      <w:pPr>
        <w:spacing w:after="0" w:line="140" w:lineRule="exact"/>
        <w:rPr>
          <w:rFonts w:ascii="Arial" w:cs="Arial" w:eastAsia="Arial" w:hAnsi="Arial"/>
          <w:sz w:val="16"/>
          <w:szCs w:val="16"/>
          <w:color w:val="auto"/>
        </w:rPr>
      </w:pPr>
    </w:p>
    <w:p>
      <w:pPr>
        <w:ind w:left="440" w:hanging="440"/>
        <w:spacing w:after="0"/>
        <w:tabs>
          <w:tab w:leader="none" w:pos="4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Consists of options to purchase 1,500 shares of common stock that are or will be immediately exercisable within 60 days of April 9, 2021.</w:t>
      </w:r>
    </w:p>
    <w:p>
      <w:pPr>
        <w:spacing w:after="0" w:line="128" w:lineRule="exact"/>
        <w:rPr>
          <w:rFonts w:ascii="Arial" w:cs="Arial" w:eastAsia="Arial" w:hAnsi="Arial"/>
          <w:sz w:val="17"/>
          <w:szCs w:val="17"/>
          <w:color w:val="auto"/>
        </w:rPr>
      </w:pPr>
    </w:p>
    <w:p>
      <w:pPr>
        <w:ind w:left="440" w:hanging="440"/>
        <w:spacing w:after="0"/>
        <w:tabs>
          <w:tab w:leader="none" w:pos="4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Consists of options to purchase 7,478 shares of common stock that are or will be immediately exercisable within 60 days of April 9, 2021.</w:t>
      </w:r>
    </w:p>
    <w:p>
      <w:pPr>
        <w:spacing w:after="0" w:line="128" w:lineRule="exact"/>
        <w:rPr>
          <w:rFonts w:ascii="Arial" w:cs="Arial" w:eastAsia="Arial" w:hAnsi="Arial"/>
          <w:sz w:val="17"/>
          <w:szCs w:val="17"/>
          <w:color w:val="auto"/>
        </w:rPr>
      </w:pPr>
    </w:p>
    <w:p>
      <w:pPr>
        <w:ind w:left="440" w:right="220" w:hanging="440"/>
        <w:spacing w:after="0" w:line="277"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1,025 shares of common stock and 2,819 options to purchase shares of common stock that are or will be immediately exercisable within 60 days of April 9, 2021.</w:t>
      </w:r>
    </w:p>
    <w:p>
      <w:pPr>
        <w:spacing w:after="0" w:line="62" w:lineRule="exact"/>
        <w:rPr>
          <w:rFonts w:ascii="Arial" w:cs="Arial" w:eastAsia="Arial" w:hAnsi="Arial"/>
          <w:sz w:val="18"/>
          <w:szCs w:val="18"/>
          <w:color w:val="auto"/>
        </w:rPr>
      </w:pPr>
    </w:p>
    <w:p>
      <w:pPr>
        <w:ind w:left="440" w:hanging="440"/>
        <w:spacing w:after="0"/>
        <w:tabs>
          <w:tab w:leader="none" w:pos="4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Consists of options to purchase 6,644 shares of common stock that are or will be immediately exercisable within 60 days of April 9, 2021.</w:t>
      </w:r>
    </w:p>
    <w:p>
      <w:pPr>
        <w:spacing w:after="0" w:line="128" w:lineRule="exact"/>
        <w:rPr>
          <w:rFonts w:ascii="Arial" w:cs="Arial" w:eastAsia="Arial" w:hAnsi="Arial"/>
          <w:sz w:val="17"/>
          <w:szCs w:val="17"/>
          <w:color w:val="auto"/>
        </w:rPr>
      </w:pPr>
    </w:p>
    <w:p>
      <w:pPr>
        <w:ind w:left="440" w:right="580" w:hanging="440"/>
        <w:spacing w:after="0" w:line="277"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1,714,358 shares of common stock and 488,581 options to purchase shares of common stock that are or will be immediately exercisable within 60 days of April 9, 2021.</w:t>
      </w:r>
    </w:p>
    <w:p>
      <w:pPr>
        <w:spacing w:after="0" w:line="17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463"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Board of Directors recognizes the fact that transactions with related persons present a heightened risk of conflicts of interests (or the perception thereof) and has adopted a written related person transactions policy to comply with Section 404 of the Exchange Act. Under the policy, our finance team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In addition, any potential related person transaction that is proposed to be entered into by the Company must be reported to the Company’s Chief Financial Officer, by both the related person and the person at the Company responsible for such potential related person transaction.</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our finance team determines that a transaction or relationship is a related person transaction requiring compliance with the policy, our Chief Financial Officer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w:t>
      </w:r>
    </w:p>
    <w:p>
      <w:pPr>
        <w:spacing w:after="0" w:line="172"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are certain transactions, arrangements and relationships with our directors, executive officers and stockholders owning 5% or more of our outstanding common stock, or any member of the immediate family of any of the foregoing persons, since January 1, 2019.</w:t>
      </w:r>
    </w:p>
    <w:p>
      <w:pPr>
        <w:spacing w:after="0" w:line="16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 xml:space="preserve">Series C Preferred Stock Financing. </w:t>
      </w:r>
      <w:r>
        <w:rPr>
          <w:rFonts w:ascii="Arial" w:cs="Arial" w:eastAsia="Arial" w:hAnsi="Arial"/>
          <w:sz w:val="16"/>
          <w:szCs w:val="16"/>
          <w:color w:val="auto"/>
        </w:rPr>
        <w:t>At various closings between January 10, 2020 and January 31, 2020, we issued and sold to investors an aggregate of</w:t>
      </w:r>
      <w:r>
        <w:rPr>
          <w:rFonts w:ascii="Arial" w:cs="Arial" w:eastAsia="Arial" w:hAnsi="Arial"/>
          <w:sz w:val="16"/>
          <w:szCs w:val="16"/>
          <w:b w:val="1"/>
          <w:bCs w:val="1"/>
          <w:color w:val="auto"/>
        </w:rPr>
        <w:t xml:space="preserve"> </w:t>
      </w:r>
      <w:r>
        <w:rPr>
          <w:rFonts w:ascii="Arial" w:cs="Arial" w:eastAsia="Arial" w:hAnsi="Arial"/>
          <w:sz w:val="16"/>
          <w:szCs w:val="16"/>
          <w:color w:val="auto"/>
        </w:rPr>
        <w:t>78,306,611 shares of our Series C preferred stock at a price per share of $0.38811, for aggregate consideration of approximately $30.4 million. We also issued to such investors warrants to purchase up to an aggregate of 681,256 shares of common stock, at an exercise price per share equal to the fair market value of our common stock following January 10, 2020 (as determined by our Board of Directors, in good faith, based on the most recent independent third party valuation of our company available following January 10, 2020 performed pursuant to Section 409A of the Internal Revenue Code, and taking into account any changes to our business between the date of such third party valuation and January 10, 2020). In accordance with such terms, on February 6, 2020, our Board of Directors determined such fair market value of our common stock to be $8.63 per share. Certain holders of 5% or more of our common stock at the time of the transactions, on an as-converted basis, including entities affiliated with Polaris Venture Partners, North Bridge Venture Partners, Intersouth Partners VII, L.P., Perceptive Advisors, LLC, RA Capital Healthcare Fund, L.P., ArrowMark Partners and Soleus Private Equity Fund I, L.P., participated in the Series C preferred stock financing, including the issuance of the warrants to purchase common stock.</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4" w:name="page35"/>
    <w:bookmarkEnd w:id="34"/>
    <w:p>
      <w:pPr>
        <w:jc w:val="both"/>
        <w:ind w:right="160"/>
        <w:spacing w:after="0" w:line="286" w:lineRule="auto"/>
        <w:rPr>
          <w:sz w:val="20"/>
          <w:szCs w:val="20"/>
          <w:color w:val="auto"/>
        </w:rPr>
      </w:pPr>
      <w:r>
        <w:rPr>
          <w:rFonts w:ascii="Arial" w:cs="Arial" w:eastAsia="Arial" w:hAnsi="Arial"/>
          <w:sz w:val="17"/>
          <w:szCs w:val="17"/>
          <w:color w:val="auto"/>
        </w:rPr>
        <w:t>The following table sets forth the aggregate number of shares of our capital stock acquired by beneficial owners of more than 5% of our common stock at the time of the Series C preferred stock financing transaction described above. Each share of our Series C preferred stock identified in the following table converted into 0.0289998 shares of common stock immediately prior to the closing of our initial public offering.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Series C</w:t>
            </w: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Warrants to</w:t>
            </w:r>
          </w:p>
        </w:tc>
        <w:tc>
          <w:tcPr>
            <w:tcW w:w="0" w:type="dxa"/>
            <w:vAlign w:val="bottom"/>
          </w:tcPr>
          <w:p>
            <w:pPr>
              <w:spacing w:after="0"/>
              <w:rPr>
                <w:sz w:val="1"/>
                <w:szCs w:val="1"/>
                <w:color w:val="auto"/>
              </w:rPr>
            </w:pPr>
          </w:p>
        </w:tc>
      </w:tr>
      <w:tr>
        <w:trPr>
          <w:trHeight w:val="148"/>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Participants</w:t>
            </w:r>
          </w:p>
        </w:tc>
        <w:tc>
          <w:tcPr>
            <w:tcW w:w="1840" w:type="dxa"/>
            <w:vAlign w:val="bottom"/>
            <w:gridSpan w:val="2"/>
            <w:vMerge w:val="continue"/>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1"/>
        </w:trPr>
        <w:tc>
          <w:tcPr>
            <w:tcW w:w="7720" w:type="dxa"/>
            <w:vAlign w:val="bottom"/>
            <w:gridSpan w:val="2"/>
            <w:vMerge w:val="continue"/>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Preferred Stock</w:t>
            </w: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5% or Greater Stockholders</w:t>
            </w:r>
            <w:r>
              <w:rPr>
                <w:rFonts w:ascii="Arial" w:cs="Arial" w:eastAsia="Arial" w:hAnsi="Arial"/>
                <w:sz w:val="15"/>
                <w:szCs w:val="15"/>
                <w:b w:val="1"/>
                <w:bCs w:val="1"/>
                <w:color w:val="auto"/>
              </w:rPr>
              <w:t>(1)</w:t>
            </w:r>
          </w:p>
        </w:tc>
        <w:tc>
          <w:tcPr>
            <w:tcW w:w="16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Entities affiliated with Polaris Venture Partners</w:t>
            </w:r>
            <w:r>
              <w:rPr>
                <w:rFonts w:ascii="Arial" w:cs="Arial" w:eastAsia="Arial" w:hAnsi="Arial"/>
                <w:sz w:val="15"/>
                <w:szCs w:val="15"/>
                <w:color w:val="auto"/>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2,061,271</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17,932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Intersouth Partners VII, L.P.</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1,030,635</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Entities affiliated with North Bridge Venture Partners</w:t>
            </w:r>
            <w:r>
              <w:rPr>
                <w:rFonts w:ascii="Arial" w:cs="Arial" w:eastAsia="Arial" w:hAnsi="Arial"/>
                <w:sz w:val="15"/>
                <w:szCs w:val="15"/>
                <w:color w:val="auto"/>
              </w:rPr>
              <w:t>(3)</w:t>
            </w:r>
          </w:p>
        </w:tc>
        <w:tc>
          <w:tcPr>
            <w:tcW w:w="1560" w:type="dxa"/>
            <w:vAlign w:val="bottom"/>
          </w:tcPr>
          <w:p>
            <w:pPr>
              <w:jc w:val="right"/>
              <w:spacing w:after="0"/>
              <w:rPr>
                <w:sz w:val="20"/>
                <w:szCs w:val="20"/>
                <w:color w:val="auto"/>
              </w:rPr>
            </w:pPr>
            <w:r>
              <w:rPr>
                <w:rFonts w:ascii="Arial" w:cs="Arial" w:eastAsia="Arial" w:hAnsi="Arial"/>
                <w:sz w:val="18"/>
                <w:szCs w:val="18"/>
                <w:color w:val="auto"/>
              </w:rPr>
              <w:t>5,153,178</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44,831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Entities affiliated with Perceptive Advisors, LLC</w:t>
            </w:r>
            <w:r>
              <w:rPr>
                <w:rFonts w:ascii="Arial" w:cs="Arial" w:eastAsia="Arial" w:hAnsi="Arial"/>
                <w:sz w:val="15"/>
                <w:szCs w:val="15"/>
                <w:color w:val="auto"/>
              </w:rPr>
              <w:t>(4)</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55,267,836</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480,825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RA Capital Healthcare Fund, L.P.</w:t>
            </w:r>
          </w:p>
        </w:tc>
        <w:tc>
          <w:tcPr>
            <w:tcW w:w="1560" w:type="dxa"/>
            <w:vAlign w:val="bottom"/>
          </w:tcPr>
          <w:p>
            <w:pPr>
              <w:jc w:val="right"/>
              <w:spacing w:after="0"/>
              <w:rPr>
                <w:sz w:val="20"/>
                <w:szCs w:val="20"/>
                <w:color w:val="auto"/>
              </w:rPr>
            </w:pPr>
            <w:r>
              <w:rPr>
                <w:rFonts w:ascii="Arial" w:cs="Arial" w:eastAsia="Arial" w:hAnsi="Arial"/>
                <w:sz w:val="18"/>
                <w:szCs w:val="18"/>
                <w:color w:val="auto"/>
              </w:rPr>
              <w:t>1,288,294</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11,208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Entities Affiliated with ArrowMark Partners</w:t>
            </w:r>
            <w:r>
              <w:rPr>
                <w:rFonts w:ascii="Arial" w:cs="Arial" w:eastAsia="Arial" w:hAnsi="Arial"/>
                <w:sz w:val="15"/>
                <w:szCs w:val="15"/>
                <w:color w:val="auto"/>
              </w:rPr>
              <w:t>(5)</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3,864,883</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Soleus Private Equity Fund I, L.P.</w:t>
            </w:r>
          </w:p>
        </w:tc>
        <w:tc>
          <w:tcPr>
            <w:tcW w:w="1560" w:type="dxa"/>
            <w:vAlign w:val="bottom"/>
          </w:tcPr>
          <w:p>
            <w:pPr>
              <w:jc w:val="right"/>
              <w:spacing w:after="0"/>
              <w:rPr>
                <w:sz w:val="20"/>
                <w:szCs w:val="20"/>
                <w:color w:val="auto"/>
              </w:rPr>
            </w:pPr>
            <w:r>
              <w:rPr>
                <w:rFonts w:ascii="Arial" w:cs="Arial" w:eastAsia="Arial" w:hAnsi="Arial"/>
                <w:sz w:val="18"/>
                <w:szCs w:val="18"/>
                <w:color w:val="auto"/>
              </w:rPr>
              <w:t>3,607,224</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31,382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8826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154" w:lineRule="exact"/>
        <w:rPr>
          <w:sz w:val="20"/>
          <w:szCs w:val="20"/>
          <w:color w:val="auto"/>
        </w:rPr>
      </w:pPr>
    </w:p>
    <w:p>
      <w:pPr>
        <w:ind w:left="880" w:right="480" w:hanging="440"/>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 details regarding certain of these stockholders and their equity holdings are provided in this proxy statement under the caption “Security Ownership of Certain Beneficial Owners and Management.”</w:t>
      </w:r>
    </w:p>
    <w:p>
      <w:pPr>
        <w:spacing w:after="0" w:line="62" w:lineRule="exact"/>
        <w:rPr>
          <w:rFonts w:ascii="Arial" w:cs="Arial" w:eastAsia="Arial" w:hAnsi="Arial"/>
          <w:sz w:val="18"/>
          <w:szCs w:val="18"/>
          <w:color w:val="auto"/>
        </w:rPr>
      </w:pPr>
    </w:p>
    <w:p>
      <w:pPr>
        <w:ind w:left="880" w:right="400" w:hanging="440"/>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securities acquired by (i) Polaris Venture Partners Entrepreneurs’ Fund V, L.P., (ii) Polaris Venture Partners V, L.P., (iii) Polaris Venture Partners Founders’ Fund V, L.P. and (iv) Polaris Venture Partners Special Founders’ Fund V, L.P.</w:t>
      </w:r>
    </w:p>
    <w:p>
      <w:pPr>
        <w:spacing w:after="0" w:line="62" w:lineRule="exact"/>
        <w:rPr>
          <w:rFonts w:ascii="Arial" w:cs="Arial" w:eastAsia="Arial" w:hAnsi="Arial"/>
          <w:sz w:val="18"/>
          <w:szCs w:val="18"/>
          <w:color w:val="auto"/>
        </w:rPr>
      </w:pPr>
    </w:p>
    <w:p>
      <w:pPr>
        <w:ind w:left="880" w:right="460" w:hanging="440"/>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securities acquired by (i) North Bridge Venture Partners V-A, L.P., (ii) North Bridge Venture Partners V-B, L.P. and (iii) North Bridge Venture Partners VI, L.P.</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securities acquired by (i) Perceptive Life Sciences Master Fund, Ltd. and (ii) Perceptive LS (A), LLC.</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securities acquired by (i) ArrowMark Fundamental Opportunity Fund, L.P. and (ii) Meridian Small Cap Growth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Some of our directors are associated with our principal stockholders as indicated in the table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6040" w:type="dxa"/>
            <w:vAlign w:val="bottom"/>
          </w:tcPr>
          <w:p>
            <w:pPr>
              <w:ind w:left="2340"/>
              <w:spacing w:after="0"/>
              <w:rPr>
                <w:sz w:val="20"/>
                <w:szCs w:val="20"/>
                <w:color w:val="auto"/>
              </w:rPr>
            </w:pPr>
            <w:r>
              <w:rPr>
                <w:rFonts w:ascii="Arial" w:cs="Arial" w:eastAsia="Arial" w:hAnsi="Arial"/>
                <w:sz w:val="14"/>
                <w:szCs w:val="14"/>
                <w:b w:val="1"/>
                <w:bCs w:val="1"/>
                <w:color w:val="auto"/>
              </w:rPr>
              <w:t>Principal Stockholder</w:t>
            </w:r>
          </w:p>
        </w:tc>
      </w:tr>
      <w:tr>
        <w:trPr>
          <w:trHeight w:val="223"/>
        </w:trPr>
        <w:tc>
          <w:tcPr>
            <w:tcW w:w="5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Michael Altman</w:t>
            </w:r>
          </w:p>
        </w:tc>
        <w:tc>
          <w:tcPr>
            <w:tcW w:w="180" w:type="dxa"/>
            <w:vAlign w:val="bottom"/>
            <w:tcBorders>
              <w:top w:val="single" w:sz="8" w:color="CFF0FC"/>
            </w:tcBorders>
            <w:shd w:val="clear" w:color="auto" w:fill="CFF0FC"/>
          </w:tcPr>
          <w:p>
            <w:pPr>
              <w:spacing w:after="0"/>
              <w:rPr>
                <w:sz w:val="19"/>
                <w:szCs w:val="19"/>
                <w:color w:val="auto"/>
              </w:rPr>
            </w:pPr>
          </w:p>
        </w:tc>
        <w:tc>
          <w:tcPr>
            <w:tcW w:w="6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Entities affiliated with Perceptive Advisors, LLC</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Edward Anderson</w:t>
            </w:r>
          </w:p>
        </w:tc>
        <w:tc>
          <w:tcPr>
            <w:tcW w:w="6040" w:type="dxa"/>
            <w:vAlign w:val="bottom"/>
          </w:tcPr>
          <w:p>
            <w:pPr>
              <w:spacing w:after="0"/>
              <w:rPr>
                <w:sz w:val="20"/>
                <w:szCs w:val="20"/>
                <w:color w:val="auto"/>
              </w:rPr>
            </w:pPr>
            <w:r>
              <w:rPr>
                <w:rFonts w:ascii="Arial" w:cs="Arial" w:eastAsia="Arial" w:hAnsi="Arial"/>
                <w:sz w:val="18"/>
                <w:szCs w:val="18"/>
                <w:color w:val="auto"/>
              </w:rPr>
              <w:t>Entities affiliated with North Bridge Venture Partners</w:t>
            </w:r>
          </w:p>
        </w:tc>
      </w:tr>
      <w:tr>
        <w:trPr>
          <w:trHeight w:val="229"/>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Langer Sc.D.</w:t>
            </w:r>
            <w:r>
              <w:rPr>
                <w:rFonts w:ascii="Arial" w:cs="Arial" w:eastAsia="Arial" w:hAnsi="Arial"/>
                <w:sz w:val="15"/>
                <w:szCs w:val="15"/>
                <w:color w:val="auto"/>
              </w:rPr>
              <w:t>(1)</w:t>
            </w: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Entities affiliated with Polaris Venture Partners</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Konstantin Poukalov</w:t>
            </w:r>
          </w:p>
        </w:tc>
        <w:tc>
          <w:tcPr>
            <w:tcW w:w="6040" w:type="dxa"/>
            <w:vAlign w:val="bottom"/>
          </w:tcPr>
          <w:p>
            <w:pPr>
              <w:spacing w:after="0"/>
              <w:rPr>
                <w:sz w:val="20"/>
                <w:szCs w:val="20"/>
                <w:color w:val="auto"/>
              </w:rPr>
            </w:pPr>
            <w:r>
              <w:rPr>
                <w:rFonts w:ascii="Arial" w:cs="Arial" w:eastAsia="Arial" w:hAnsi="Arial"/>
                <w:sz w:val="18"/>
                <w:szCs w:val="18"/>
                <w:color w:val="auto"/>
              </w:rPr>
              <w:t>Entities affiliated with Perceptive Advisors,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8826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35" w:lineRule="exact"/>
        <w:rPr>
          <w:sz w:val="20"/>
          <w:szCs w:val="20"/>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Robert S. Langer Sc.D. resigned as a director on October 26,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Arsenal</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2011, we entered into a Collaboration Agreement, a Technology License Agreement, a Trademark Coexistence Agreement and a Transition Services Agreement with Arsenal Medical, Inc., or Arsenal, a company in which certain of our principal stockholders are stockholders. In October 2018, we entered an Acknowledgment and Release Agreement with Arsenal with respect to the expiration of the Collaboration Agreement and certain other intellectual property matters. In November 2019, we entered into an amendment to the Acknowledgement and Release Agreement, which clarifies our and Arsenal’s rights to each of our and Arsenal’s respective patents and patent applications, including patents and patent applications existing as of the effective date of the Collaboration Agreement, the Technology License Agreement, the Trademark Coexistence Agreement and the Transition Services Agreement. The amendment to the Acknowledgment and Release Agreement also provides for a mutual release of all claims arising under such patents and patent applications. The Technology License Agreement is a non-exclusive in-license agreement covering certain intellectual property regarding in situ forming foam and nanofiber, which is unrelated to our current and future expected product candidates. The Technology License Agreement provides for no future payments by us and remains in effect. In addition, the Trademark Coexistence Agreement relates to certain trademarks around our previous corporate name, which we no longer use. The Transition Services Agreement expired in June 2019.</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Consulting Agreement with George Whitesides, Ph.D.</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October 2005, we entered into a consulting agreement with George Whitesides, Ph.D., who was one of our directors between October 2005 and October 2020, pursuant to which Dr. Whitesides agreed to provide us certain consulting and advisory services. The agreement was subsequently amended in March 2006, February 2012, January 2015 and January 2017. Pursuant to the terms of the agreement, as amended, the agreement expired on January 1, 2019. In lieu of all compensation payable by us under the agreement, upon consummation of our IPO on May 5, 2020, we granted to Dr. Whitesides an award of 19,661 fully vested shares of common stock under our 2020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January 10, 2020, we entered into an Eighth Amended and Restated Investor Rights Agreement with the holders of our then-outstanding preferred stock, including Perceptive Advisers, LLC, North Bridge Venture Partners, and Polaris Venture Partners, which are 5% or greater holders of our common stock and entities with which certain of our directors are related. The agreement provides for certain rights relating to the registration of such holders’ common stock and a right of first refusal to purchase future securities sold by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have entered into indemnification agreements with each of our directors and executive officers. These agreements, among other things,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67" w:right="419" w:bottom="1440" w:gutter="0" w:footer="0" w:header="0"/>
        </w:sectPr>
      </w:pPr>
    </w:p>
    <w:bookmarkStart w:id="36" w:name="page37"/>
    <w:bookmarkEnd w:id="36"/>
    <w:p>
      <w:pPr>
        <w:jc w:val="center"/>
        <w:ind w:right="-79"/>
        <w:spacing w:after="0"/>
        <w:rPr>
          <w:sz w:val="20"/>
          <w:szCs w:val="20"/>
          <w:color w:val="auto"/>
        </w:rPr>
      </w:pPr>
      <w:r>
        <w:rPr>
          <w:rFonts w:ascii="Arial" w:cs="Arial" w:eastAsia="Arial" w:hAnsi="Arial"/>
          <w:sz w:val="18"/>
          <w:szCs w:val="18"/>
          <w:b w:val="1"/>
          <w:bCs w:val="1"/>
          <w:color w:val="auto"/>
        </w:rPr>
        <w:t>STOCKHOLDERS’ PROPOSALS</w:t>
      </w:r>
    </w:p>
    <w:p>
      <w:pPr>
        <w:spacing w:after="0" w:line="18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Stockholders who intend to have a proposal considered for inclusion in our proxy materials for presentation at our 2022 Annual Meeting of Stockholders pursuant to Rule 14a-8 under the Exchange Act must submit the proposal to our Secretary at our offices at 480 Arsenal Way, Watertown, Massachusetts 02472 in writing not later than December 15, 2021.</w:t>
      </w:r>
    </w:p>
    <w:p>
      <w:pPr>
        <w:spacing w:after="0" w:line="1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Stockholders intending to present a proposal at the 2022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Secretary receive written notice from the stockholder of record of their intent to present such proposal or nomination not less than 90 days nor more than 120 days prior to the first anniversary of the preceding year’s annual meeting. Therefore, we must receive notice of such a proposal or nomination for the 2022 Annual Meeting of Stockholders no earlier than January 26, 2022 and no later than February 25, 2022. The notice must contain the information required by the Amended and Restated Bylaws, a copy of which is available upon request to our Secretary. In the event that the date of the 2022 Annual Meeting of Stockholders is more than 30 days before or more than 60 days after May 26, 2022, then our Secretary must receive such written notice not earlier than the close of business on the 120th day prior to the 2022 Annual Meeting and not later than the later of the close of business on the 90th day prior to the 2022 Annual Meeting and the close of business on 10th day following the day on which public disclosure of the date of such meeting is first made by us.</w:t>
      </w:r>
    </w:p>
    <w:p>
      <w:pPr>
        <w:spacing w:after="0" w:line="14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MATTERS</w:t>
      </w:r>
    </w:p>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Board of Directors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SOLICITATION OF PROXIES</w:t>
      </w:r>
    </w:p>
    <w:p>
      <w:pPr>
        <w:spacing w:after="0" w:line="18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accompanying proxy is solicited by and on behalf of our Board of Directors, whose Notice of Annual Meeting is attached to this proxy statement, and the entire cost of our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w:t>
      </w:r>
    </w:p>
    <w:p>
      <w:pPr>
        <w:spacing w:after="0" w:line="13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51" w:right="419" w:bottom="1440" w:gutter="0" w:footer="0" w:header="0"/>
        </w:sectPr>
      </w:pPr>
    </w:p>
    <w:bookmarkStart w:id="37" w:name="page38"/>
    <w:bookmarkEnd w:id="37"/>
    <w:p>
      <w:pPr>
        <w:jc w:val="center"/>
        <w:ind w:right="-79"/>
        <w:spacing w:after="0"/>
        <w:rPr>
          <w:sz w:val="20"/>
          <w:szCs w:val="20"/>
          <w:color w:val="auto"/>
        </w:rPr>
      </w:pPr>
      <w:r>
        <w:rPr>
          <w:rFonts w:ascii="Arial" w:cs="Arial" w:eastAsia="Arial" w:hAnsi="Arial"/>
          <w:sz w:val="18"/>
          <w:szCs w:val="18"/>
          <w:b w:val="1"/>
          <w:bCs w:val="1"/>
          <w:color w:val="auto"/>
        </w:rPr>
        <w:t>LYRA’S ANNUAL REPORT ON FORM 10-K</w:t>
      </w:r>
    </w:p>
    <w:p>
      <w:pPr>
        <w:spacing w:after="0" w:line="18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 copy of Lyra’s Annual Report on Form 10-K for the fiscal year ended December 31, 2020, including financial statements and schedules thereto but not including exhibits, as filed with the SEC, will be sent to any stockholder of record on April 9, 2021 without charge upon written request addressed to:</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Lyra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480 Arsenal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Watertown, Massachusetts 02472</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 xml:space="preserve">A reasonable fee will be charged for copies of exhibits. You also may access this proxy statement and our Annual Report on Form 10-K at </w:t>
      </w:r>
      <w:r>
        <w:rPr>
          <w:rFonts w:ascii="Arial" w:cs="Arial" w:eastAsia="Arial" w:hAnsi="Arial"/>
          <w:sz w:val="16"/>
          <w:szCs w:val="16"/>
          <w:i w:val="1"/>
          <w:iCs w:val="1"/>
          <w:color w:val="auto"/>
        </w:rPr>
        <w:t>www.proxyvote.com</w:t>
      </w:r>
      <w:r>
        <w:rPr>
          <w:rFonts w:ascii="Arial" w:cs="Arial" w:eastAsia="Arial" w:hAnsi="Arial"/>
          <w:sz w:val="16"/>
          <w:szCs w:val="16"/>
          <w:color w:val="auto"/>
        </w:rPr>
        <w:t>. You also may access our Annual Report on Form 10-K for the fiscal year ended December 31, 2020 at</w:t>
      </w:r>
      <w:r>
        <w:rPr>
          <w:rFonts w:ascii="Arial" w:cs="Arial" w:eastAsia="Arial" w:hAnsi="Arial"/>
          <w:sz w:val="16"/>
          <w:szCs w:val="16"/>
          <w:i w:val="1"/>
          <w:iCs w:val="1"/>
          <w:color w:val="auto"/>
        </w:rPr>
        <w:t xml:space="preserve"> www.lyratherapeutics.com</w:t>
      </w:r>
      <w:r>
        <w:rPr>
          <w:rFonts w:ascii="Arial" w:cs="Arial" w:eastAsia="Arial" w:hAnsi="Arial"/>
          <w:sz w:val="16"/>
          <w:szCs w:val="16"/>
          <w:color w:val="auto"/>
        </w:rPr>
        <w:t>.</w:t>
      </w:r>
    </w:p>
    <w:p>
      <w:pPr>
        <w:spacing w:after="0" w:line="7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WHETHER OR NOT YOU PLAN TO ATTEND THE ANNUAL MEETING ONLINE,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R. Don Elsey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 Don Elsey, Chief Financial Officer, Treasurer and Secretary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Watertown,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51" w:right="399" w:bottom="1440"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74865" cy="74453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7445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243205</wp:posOffset>
            </wp:positionV>
            <wp:extent cx="5332095" cy="6900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332095" cy="69005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lvl w:ilvl="1">
      <w:lvlJc w:val="left"/>
      <w:lvlText w:val="(%2)"/>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lowerRoman"/>
      <w:start w:val="3"/>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lvl w:ilvl="1">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2"/>
    </w:lvl>
  </w:abstractNum>
  <w:abstractNum w:abstractNumId="23">
    <w:nsid w:val="79838CB2"/>
    <w:multiLevelType w:val="hybridMultilevel"/>
    <w:lvl w:ilvl="0">
      <w:lvlJc w:val="left"/>
      <w:lvlText w:val="(%1)"/>
      <w:numFmt w:val="decimal"/>
      <w:start w:val="5"/>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2021-04-14T07:23:57Z</dcterms:created>
  <dcterms:modified xsi:type="dcterms:W3CDTF">2021-04-14T07:23:57Z</dcterms:modified>
</cp:coreProperties>
</file>