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25,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333-264864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83185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1</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FORM S-3</w:t>
      </w: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 NO. 333-264864</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Lyra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8"/>
                <w:szCs w:val="18"/>
                <w:b w:val="1"/>
                <w:bCs w:val="1"/>
                <w:color w:val="auto"/>
              </w:rPr>
              <w:t>81-1700838</w:t>
            </w:r>
          </w:p>
        </w:tc>
      </w:tr>
      <w:tr>
        <w:trPr>
          <w:trHeight w:val="149"/>
        </w:trPr>
        <w:tc>
          <w:tcPr>
            <w:tcW w:w="3840" w:type="dxa"/>
            <w:vAlign w:val="bottom"/>
          </w:tcPr>
          <w:p>
            <w:pPr>
              <w:jc w:val="center"/>
              <w:ind w:right="1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480 Arsenal 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Watertown, Massachusetts 02472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393-4600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Maria Palasis, Ph.D.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480 Arsenal 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Watertown, Massachusetts 02472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393-4600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Peter N. Handrinos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Wesley C. Holmes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&amp; Watkins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 Clarendon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 02116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948-6000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 Not applicable</w:t>
      </w:r>
    </w:p>
    <w:p>
      <w:pPr>
        <w:spacing w:after="0" w:line="229" w:lineRule="exact"/>
        <w:rPr>
          <w:sz w:val="24"/>
          <w:szCs w:val="24"/>
          <w:color w:val="auto"/>
        </w:rPr>
      </w:pPr>
    </w:p>
    <w:p>
      <w:pPr>
        <w:ind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22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24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72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20"/>
          </w:cols>
          <w:pgMar w:left="440" w:top="225" w:right="439" w:bottom="0" w:gutter="0" w:footer="0" w:header="0"/>
        </w:sectPr>
      </w:pPr>
    </w:p>
    <w:bookmarkStart w:id="1" w:name="page2"/>
    <w:bookmarkEnd w:id="1"/>
    <w:p>
      <w:pPr>
        <w:ind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12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196850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0"/>
          </w:cols>
          <w:pgMar w:left="440" w:top="121" w:right="4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07"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This Post-Effective Amendment (the “Post-Effective Amendment”) filed by Lyra Therapeutics, Inc., a Delaware corporation (the “Registrant”), deregisters all securities remaining unsold or otherwise unissued under the Registration Statement on Form S-3 (No. 333-264864) (the “Registration Statement”), which was filed with the U.S. Securities and Exchange Commission (the “SEC”) on May 11, 2022, registering up to 15,521,322 shares by selling securityholders.</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On February 2, 2026, the Registrant received a letter (the “Staff Determination Letter”) from the Listing Qualifications Department of The Nasdaq Stock Market LLC (“Nasdaq”) notifying the Registrant that Nasdaq had determined to delist the Registrant’s common stock from The Nasdaq Stock Market. In the Staff Determination Letter, Nasdaq stated that, pursuant to Listing Rule 5101, it believes the Registrant is a “public shell” and that the continued listing of its securities is no longer warranted. Trading of the Registrant’s common stock was suspended at the open of trading on March 17, 2026.</w:t>
      </w:r>
    </w:p>
    <w:p>
      <w:pPr>
        <w:spacing w:after="0" w:line="183"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As a result of the foregoing, and Nasdaq’s determination that the Registrant’s Common Stock is no longer suitable for listing pursuant to certain Nasdaq rules, Nasdaq plans to file a Form 25 with the SEC to remove the Registrant’s common stock from listing and registration on the Nasdaq. The Registrant has terminated any and all offerings of its securities pursuant to the Registration Statement. Accordingly, the Registrant hereby terminates the effectiveness of the Registration Statement and, in accordance with an undertaking made by the Registrant in Part II of the Registration Statement to remove from registration, by means of post-effective amendment, any securities that had been registered for issuance but remain unsold at the termination of the offering, removes from registration any and all securities of the Registrant registered but unsold under the Registration Statement as of the date hereof.</w:t>
      </w:r>
    </w:p>
    <w:p>
      <w:pPr>
        <w:sectPr>
          <w:pgSz w:w="11900" w:h="16838" w:orient="portrait"/>
          <w:cols w:equalWidth="0" w:num="1">
            <w:col w:w="11000"/>
          </w:cols>
          <w:pgMar w:left="440" w:top="266" w:right="459" w:bottom="1440" w:gutter="0" w:footer="0" w:header="0"/>
        </w:sectPr>
      </w:pPr>
    </w:p>
    <w:bookmarkStart w:id="3" w:name="page4"/>
    <w:bookmarkEnd w:id="3"/>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Watertown, Commonwealth of Massachusetts, on this 25 day of March,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Lyra Therapeutics,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Jason Cavalier</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Jason Cavalier</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other person is required to sign this Post-Effective Amendment in reliance upon Rule 478 under the Securities Act of 1933, as amended.</w:t>
      </w:r>
    </w:p>
    <w:sectPr>
      <w:pgSz w:w="11900" w:h="16838" w:orient="portrait"/>
      <w:cols w:equalWidth="0" w:num="1">
        <w:col w:w="10820"/>
      </w:cols>
      <w:pgMar w:left="440" w:top="266"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2026-03-26T05:03:01Z</dcterms:created>
  <dcterms:modified xsi:type="dcterms:W3CDTF">2026-03-26T05:03:01Z</dcterms:modified>
</cp:coreProperties>
</file>