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4"/>
          <w:szCs w:val="24"/>
          <w:color w:val="auto"/>
        </w:rPr>
      </w:pPr>
    </w:p>
    <w:p>
      <w:pPr>
        <w:ind w:left="3400"/>
        <w:spacing w:after="0"/>
        <w:rPr>
          <w:sz w:val="20"/>
          <w:szCs w:val="20"/>
          <w:color w:val="auto"/>
        </w:rPr>
      </w:pPr>
      <w:r>
        <w:rPr>
          <w:rFonts w:ascii="Arial" w:cs="Arial" w:eastAsia="Arial" w:hAnsi="Arial"/>
          <w:sz w:val="15"/>
          <w:szCs w:val="15"/>
          <w:color w:val="auto"/>
        </w:rPr>
        <w:t>As filed with the Securities and Exchange Commission on April 27, 2020</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333-236962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wp:posOffset>
            </wp:positionH>
            <wp:positionV relativeFrom="paragraph">
              <wp:posOffset>60325</wp:posOffset>
            </wp:positionV>
            <wp:extent cx="650430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4305" cy="2413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116205</wp:posOffset>
            </wp:positionV>
            <wp:extent cx="6504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4305" cy="8255"/>
                    </a:xfrm>
                    <a:prstGeom prst="rect">
                      <a:avLst/>
                    </a:prstGeom>
                    <a:noFill/>
                  </pic:spPr>
                </pic:pic>
              </a:graphicData>
            </a:graphic>
          </wp:anchor>
        </w:drawing>
      </w:r>
    </w:p>
    <w:p>
      <w:pPr>
        <w:spacing w:after="0" w:line="212" w:lineRule="exact"/>
        <w:rPr>
          <w:sz w:val="24"/>
          <w:szCs w:val="24"/>
          <w:color w:val="auto"/>
        </w:rPr>
      </w:pPr>
    </w:p>
    <w:p>
      <w:pPr>
        <w:jc w:val="center"/>
        <w:ind w:right="-499"/>
        <w:spacing w:after="0"/>
        <w:rPr>
          <w:sz w:val="20"/>
          <w:szCs w:val="20"/>
          <w:color w:val="auto"/>
        </w:rPr>
      </w:pPr>
      <w:r>
        <w:rPr>
          <w:rFonts w:ascii="Arial" w:cs="Arial" w:eastAsia="Arial" w:hAnsi="Arial"/>
          <w:sz w:val="23"/>
          <w:szCs w:val="23"/>
          <w:b w:val="1"/>
          <w:bCs w:val="1"/>
          <w:color w:val="auto"/>
        </w:rPr>
        <w:t>UNITED STATES</w:t>
      </w:r>
    </w:p>
    <w:p>
      <w:pPr>
        <w:spacing w:after="0" w:line="18" w:lineRule="exact"/>
        <w:rPr>
          <w:sz w:val="24"/>
          <w:szCs w:val="24"/>
          <w:color w:val="auto"/>
        </w:rPr>
      </w:pPr>
    </w:p>
    <w:p>
      <w:pPr>
        <w:jc w:val="center"/>
        <w:ind w:right="-499"/>
        <w:spacing w:after="0"/>
        <w:rPr>
          <w:sz w:val="20"/>
          <w:szCs w:val="20"/>
          <w:color w:val="auto"/>
        </w:rPr>
      </w:pPr>
      <w:r>
        <w:rPr>
          <w:rFonts w:ascii="Arial" w:cs="Arial" w:eastAsia="Arial" w:hAnsi="Arial"/>
          <w:sz w:val="23"/>
          <w:szCs w:val="23"/>
          <w:b w:val="1"/>
          <w:bCs w:val="1"/>
          <w:color w:val="auto"/>
        </w:rPr>
        <w:t>SECURITIES AND EXCHANGE COMMISSION</w:t>
      </w:r>
    </w:p>
    <w:p>
      <w:pPr>
        <w:ind w:left="488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11"/>
          <w:szCs w:val="11"/>
          <w:b w:val="1"/>
          <w:bCs w:val="1"/>
          <w:color w:val="auto"/>
        </w:rPr>
        <w:t>ASHINGTON</w:t>
      </w:r>
      <w:r>
        <w:rPr>
          <w:rFonts w:ascii="Arial" w:cs="Arial" w:eastAsia="Arial" w:hAnsi="Arial"/>
          <w:sz w:val="13"/>
          <w:szCs w:val="13"/>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108585</wp:posOffset>
            </wp:positionV>
            <wp:extent cx="1307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5" w:lineRule="exact"/>
        <w:rPr>
          <w:sz w:val="24"/>
          <w:szCs w:val="24"/>
          <w:color w:val="auto"/>
        </w:rPr>
      </w:pPr>
    </w:p>
    <w:p>
      <w:pPr>
        <w:jc w:val="center"/>
        <w:ind w:right="-499"/>
        <w:spacing w:after="0"/>
        <w:rPr>
          <w:sz w:val="20"/>
          <w:szCs w:val="20"/>
          <w:color w:val="auto"/>
        </w:rPr>
      </w:pPr>
      <w:r>
        <w:rPr>
          <w:rFonts w:ascii="Arial" w:cs="Arial" w:eastAsia="Arial" w:hAnsi="Arial"/>
          <w:sz w:val="23"/>
          <w:szCs w:val="23"/>
          <w:b w:val="1"/>
          <w:bCs w:val="1"/>
          <w:color w:val="auto"/>
        </w:rPr>
        <w:t>AMENDMENT NO. 1 TO</w:t>
      </w:r>
    </w:p>
    <w:p>
      <w:pPr>
        <w:spacing w:after="0" w:line="38" w:lineRule="exact"/>
        <w:rPr>
          <w:sz w:val="24"/>
          <w:szCs w:val="24"/>
          <w:color w:val="auto"/>
        </w:rPr>
      </w:pPr>
    </w:p>
    <w:p>
      <w:pPr>
        <w:jc w:val="center"/>
        <w:ind w:right="-499"/>
        <w:spacing w:after="0"/>
        <w:rPr>
          <w:sz w:val="20"/>
          <w:szCs w:val="20"/>
          <w:color w:val="auto"/>
        </w:rPr>
      </w:pPr>
      <w:r>
        <w:rPr>
          <w:rFonts w:ascii="Arial" w:cs="Arial" w:eastAsia="Arial" w:hAnsi="Arial"/>
          <w:sz w:val="23"/>
          <w:szCs w:val="23"/>
          <w:b w:val="1"/>
          <w:bCs w:val="1"/>
          <w:color w:val="auto"/>
        </w:rPr>
        <w:t>FORM S-1</w:t>
      </w:r>
    </w:p>
    <w:p>
      <w:pPr>
        <w:spacing w:after="0" w:line="12" w:lineRule="exact"/>
        <w:rPr>
          <w:sz w:val="24"/>
          <w:szCs w:val="24"/>
          <w:color w:val="auto"/>
        </w:rPr>
      </w:pPr>
    </w:p>
    <w:p>
      <w:pPr>
        <w:jc w:val="center"/>
        <w:ind w:right="-499"/>
        <w:spacing w:after="0"/>
        <w:rPr>
          <w:sz w:val="20"/>
          <w:szCs w:val="20"/>
          <w:color w:val="auto"/>
        </w:rPr>
      </w:pPr>
      <w:r>
        <w:rPr>
          <w:rFonts w:ascii="Arial" w:cs="Arial" w:eastAsia="Arial" w:hAnsi="Arial"/>
          <w:sz w:val="23"/>
          <w:szCs w:val="23"/>
          <w:b w:val="1"/>
          <w:bCs w:val="1"/>
          <w:color w:val="auto"/>
        </w:rPr>
        <w:t>REGISTRATION STATEMENT</w:t>
      </w:r>
    </w:p>
    <w:p>
      <w:pPr>
        <w:spacing w:after="0" w:line="11"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UNDER</w:t>
      </w:r>
    </w:p>
    <w:p>
      <w:pPr>
        <w:spacing w:after="0" w:line="6"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125730</wp:posOffset>
            </wp:positionV>
            <wp:extent cx="1307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36" w:lineRule="exact"/>
        <w:rPr>
          <w:sz w:val="24"/>
          <w:szCs w:val="24"/>
          <w:color w:val="auto"/>
        </w:rPr>
      </w:pPr>
    </w:p>
    <w:p>
      <w:pPr>
        <w:ind w:left="4280"/>
        <w:spacing w:after="0"/>
        <w:rPr>
          <w:sz w:val="20"/>
          <w:szCs w:val="20"/>
          <w:color w:val="auto"/>
        </w:rPr>
      </w:pPr>
      <w:r>
        <w:rPr>
          <w:rFonts w:ascii="Arial" w:cs="Arial" w:eastAsia="Arial" w:hAnsi="Arial"/>
          <w:sz w:val="27"/>
          <w:szCs w:val="27"/>
          <w:b w:val="1"/>
          <w:bCs w:val="1"/>
          <w:color w:val="auto"/>
        </w:rPr>
        <w:t>Lyra Therapeutics, Inc.</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3"/>
          <w:szCs w:val="13"/>
          <w:color w:val="auto"/>
        </w:rPr>
        <w:t>(Exact name of registrant as specified in its charter)</w:t>
      </w:r>
    </w:p>
    <w:p>
      <w:pPr>
        <w:spacing w:after="0" w:line="58" w:lineRule="exact"/>
        <w:rPr>
          <w:sz w:val="24"/>
          <w:szCs w:val="24"/>
          <w:color w:val="auto"/>
        </w:rPr>
      </w:pPr>
    </w:p>
    <w:tbl>
      <w:tblPr>
        <w:tblLayout w:type="fixed"/>
        <w:tblInd w:w="1400" w:type="dxa"/>
        <w:tblCellMar>
          <w:top w:w="0" w:type="dxa"/>
          <w:left w:w="0" w:type="dxa"/>
          <w:bottom w:w="0" w:type="dxa"/>
          <w:right w:w="0" w:type="dxa"/>
        </w:tblCellMar>
      </w:tblPr>
      <w:tr>
        <w:trPr>
          <w:trHeight w:val="182"/>
        </w:trPr>
        <w:tc>
          <w:tcPr>
            <w:tcW w:w="2540" w:type="dxa"/>
            <w:vAlign w:val="bottom"/>
          </w:tcPr>
          <w:p>
            <w:pPr>
              <w:jc w:val="center"/>
              <w:ind w:right="870"/>
              <w:spacing w:after="0"/>
              <w:rPr>
                <w:sz w:val="20"/>
                <w:szCs w:val="20"/>
                <w:color w:val="auto"/>
              </w:rPr>
            </w:pPr>
            <w:r>
              <w:rPr>
                <w:rFonts w:ascii="Arial" w:cs="Arial" w:eastAsia="Arial" w:hAnsi="Arial"/>
                <w:sz w:val="15"/>
                <w:szCs w:val="15"/>
                <w:b w:val="1"/>
                <w:bCs w:val="1"/>
                <w:color w:val="auto"/>
                <w:w w:val="91"/>
              </w:rPr>
              <w:t>Delaware</w:t>
            </w:r>
          </w:p>
        </w:tc>
        <w:tc>
          <w:tcPr>
            <w:tcW w:w="3600" w:type="dxa"/>
            <w:vAlign w:val="bottom"/>
          </w:tcPr>
          <w:p>
            <w:pPr>
              <w:jc w:val="center"/>
              <w:ind w:right="50"/>
              <w:spacing w:after="0"/>
              <w:rPr>
                <w:sz w:val="20"/>
                <w:szCs w:val="20"/>
                <w:color w:val="auto"/>
              </w:rPr>
            </w:pPr>
            <w:r>
              <w:rPr>
                <w:rFonts w:ascii="Arial" w:cs="Arial" w:eastAsia="Arial" w:hAnsi="Arial"/>
                <w:sz w:val="15"/>
                <w:szCs w:val="15"/>
                <w:b w:val="1"/>
                <w:bCs w:val="1"/>
                <w:color w:val="auto"/>
                <w:w w:val="95"/>
              </w:rPr>
              <w:t>3841</w:t>
            </w:r>
          </w:p>
        </w:tc>
        <w:tc>
          <w:tcPr>
            <w:tcW w:w="2060" w:type="dxa"/>
            <w:vAlign w:val="bottom"/>
          </w:tcPr>
          <w:p>
            <w:pPr>
              <w:jc w:val="center"/>
              <w:ind w:left="1010"/>
              <w:spacing w:after="0"/>
              <w:rPr>
                <w:sz w:val="20"/>
                <w:szCs w:val="20"/>
                <w:color w:val="auto"/>
              </w:rPr>
            </w:pPr>
            <w:r>
              <w:rPr>
                <w:rFonts w:ascii="Arial" w:cs="Arial" w:eastAsia="Arial" w:hAnsi="Arial"/>
                <w:sz w:val="15"/>
                <w:szCs w:val="15"/>
                <w:b w:val="1"/>
                <w:bCs w:val="1"/>
                <w:color w:val="auto"/>
                <w:w w:val="92"/>
              </w:rPr>
              <w:t>84-1700838</w:t>
            </w:r>
          </w:p>
        </w:tc>
      </w:tr>
      <w:tr>
        <w:trPr>
          <w:trHeight w:val="138"/>
        </w:trPr>
        <w:tc>
          <w:tcPr>
            <w:tcW w:w="2540" w:type="dxa"/>
            <w:vAlign w:val="bottom"/>
          </w:tcPr>
          <w:p>
            <w:pPr>
              <w:jc w:val="center"/>
              <w:ind w:right="870"/>
              <w:spacing w:after="0" w:line="138" w:lineRule="exact"/>
              <w:rPr>
                <w:sz w:val="20"/>
                <w:szCs w:val="20"/>
                <w:color w:val="auto"/>
              </w:rPr>
            </w:pPr>
            <w:r>
              <w:rPr>
                <w:rFonts w:ascii="Arial" w:cs="Arial" w:eastAsia="Arial" w:hAnsi="Arial"/>
                <w:sz w:val="13"/>
                <w:szCs w:val="13"/>
                <w:color w:val="auto"/>
                <w:w w:val="95"/>
              </w:rPr>
              <w:t>(State or other jurisdiction of</w:t>
            </w:r>
          </w:p>
        </w:tc>
        <w:tc>
          <w:tcPr>
            <w:tcW w:w="3600" w:type="dxa"/>
            <w:vAlign w:val="bottom"/>
          </w:tcPr>
          <w:p>
            <w:pPr>
              <w:jc w:val="center"/>
              <w:ind w:right="50"/>
              <w:spacing w:after="0" w:line="138" w:lineRule="exact"/>
              <w:rPr>
                <w:sz w:val="20"/>
                <w:szCs w:val="20"/>
                <w:color w:val="auto"/>
              </w:rPr>
            </w:pPr>
            <w:r>
              <w:rPr>
                <w:rFonts w:ascii="Arial" w:cs="Arial" w:eastAsia="Arial" w:hAnsi="Arial"/>
                <w:sz w:val="13"/>
                <w:szCs w:val="13"/>
                <w:color w:val="auto"/>
                <w:w w:val="93"/>
              </w:rPr>
              <w:t>(Primary Standard Industrial</w:t>
            </w:r>
          </w:p>
        </w:tc>
        <w:tc>
          <w:tcPr>
            <w:tcW w:w="2060" w:type="dxa"/>
            <w:vAlign w:val="bottom"/>
          </w:tcPr>
          <w:p>
            <w:pPr>
              <w:jc w:val="center"/>
              <w:ind w:left="1010"/>
              <w:spacing w:after="0" w:line="138" w:lineRule="exact"/>
              <w:rPr>
                <w:sz w:val="20"/>
                <w:szCs w:val="20"/>
                <w:color w:val="auto"/>
              </w:rPr>
            </w:pPr>
            <w:r>
              <w:rPr>
                <w:rFonts w:ascii="Arial" w:cs="Arial" w:eastAsia="Arial" w:hAnsi="Arial"/>
                <w:sz w:val="13"/>
                <w:szCs w:val="13"/>
                <w:color w:val="auto"/>
                <w:w w:val="94"/>
              </w:rPr>
              <w:t>(I.R.S. Employer</w:t>
            </w:r>
          </w:p>
        </w:tc>
      </w:tr>
      <w:tr>
        <w:trPr>
          <w:trHeight w:val="171"/>
        </w:trPr>
        <w:tc>
          <w:tcPr>
            <w:tcW w:w="2540" w:type="dxa"/>
            <w:vAlign w:val="bottom"/>
          </w:tcPr>
          <w:p>
            <w:pPr>
              <w:jc w:val="center"/>
              <w:ind w:right="870"/>
              <w:spacing w:after="0"/>
              <w:rPr>
                <w:sz w:val="20"/>
                <w:szCs w:val="20"/>
                <w:color w:val="auto"/>
              </w:rPr>
            </w:pPr>
            <w:r>
              <w:rPr>
                <w:rFonts w:ascii="Arial" w:cs="Arial" w:eastAsia="Arial" w:hAnsi="Arial"/>
                <w:sz w:val="13"/>
                <w:szCs w:val="13"/>
                <w:color w:val="auto"/>
                <w:w w:val="94"/>
              </w:rPr>
              <w:t>incorporation or organization)</w:t>
            </w:r>
          </w:p>
        </w:tc>
        <w:tc>
          <w:tcPr>
            <w:tcW w:w="3600" w:type="dxa"/>
            <w:vAlign w:val="bottom"/>
          </w:tcPr>
          <w:p>
            <w:pPr>
              <w:jc w:val="center"/>
              <w:ind w:right="50"/>
              <w:spacing w:after="0"/>
              <w:rPr>
                <w:sz w:val="20"/>
                <w:szCs w:val="20"/>
                <w:color w:val="auto"/>
              </w:rPr>
            </w:pPr>
            <w:r>
              <w:rPr>
                <w:rFonts w:ascii="Arial" w:cs="Arial" w:eastAsia="Arial" w:hAnsi="Arial"/>
                <w:sz w:val="13"/>
                <w:szCs w:val="13"/>
                <w:color w:val="auto"/>
                <w:w w:val="94"/>
              </w:rPr>
              <w:t>Classification Code Number)</w:t>
            </w:r>
          </w:p>
        </w:tc>
        <w:tc>
          <w:tcPr>
            <w:tcW w:w="2060" w:type="dxa"/>
            <w:vAlign w:val="bottom"/>
          </w:tcPr>
          <w:p>
            <w:pPr>
              <w:jc w:val="center"/>
              <w:ind w:left="990"/>
              <w:spacing w:after="0"/>
              <w:rPr>
                <w:sz w:val="20"/>
                <w:szCs w:val="20"/>
                <w:color w:val="auto"/>
              </w:rPr>
            </w:pPr>
            <w:r>
              <w:rPr>
                <w:rFonts w:ascii="Arial" w:cs="Arial" w:eastAsia="Arial" w:hAnsi="Arial"/>
                <w:sz w:val="13"/>
                <w:szCs w:val="13"/>
                <w:color w:val="auto"/>
                <w:w w:val="98"/>
              </w:rPr>
              <w:t>Identification No.)</w:t>
            </w:r>
          </w:p>
        </w:tc>
      </w:tr>
    </w:tbl>
    <w:p>
      <w:pPr>
        <w:spacing w:after="0" w:line="48"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480 Arsenal Way</w:t>
      </w:r>
    </w:p>
    <w:p>
      <w:pPr>
        <w:spacing w:after="0" w:line="22"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Watertown, MA 02472</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(617) 393-4600</w:t>
      </w:r>
    </w:p>
    <w:p>
      <w:pPr>
        <w:spacing w:after="0" w:line="16" w:lineRule="exact"/>
        <w:rPr>
          <w:sz w:val="24"/>
          <w:szCs w:val="24"/>
          <w:color w:val="auto"/>
        </w:rPr>
      </w:pPr>
    </w:p>
    <w:p>
      <w:pPr>
        <w:ind w:left="2520"/>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108585</wp:posOffset>
            </wp:positionV>
            <wp:extent cx="1307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14"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Maria Palasis, Ph.D.</w:t>
      </w:r>
    </w:p>
    <w:p>
      <w:pPr>
        <w:spacing w:after="0" w:line="22"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President and Chief Executive Officer</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Lyra Therapeutics, Inc.</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480 Arsenal Way</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Watertown, MA 02472</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(617) 393-4600</w:t>
      </w:r>
    </w:p>
    <w:p>
      <w:pPr>
        <w:spacing w:after="0" w:line="16" w:lineRule="exact"/>
        <w:rPr>
          <w:sz w:val="24"/>
          <w:szCs w:val="24"/>
          <w:color w:val="auto"/>
        </w:rPr>
      </w:pPr>
    </w:p>
    <w:p>
      <w:pPr>
        <w:ind w:left="2920"/>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108585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20" w:lineRule="exact"/>
        <w:rPr>
          <w:sz w:val="24"/>
          <w:szCs w:val="24"/>
          <w:color w:val="auto"/>
        </w:rPr>
      </w:pPr>
    </w:p>
    <w:tbl>
      <w:tblPr>
        <w:tblLayout w:type="fixed"/>
        <w:tblInd w:w="24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460" w:type="dxa"/>
            <w:vAlign w:val="bottom"/>
          </w:tcPr>
          <w:p>
            <w:pPr>
              <w:ind w:left="760"/>
              <w:spacing w:after="0"/>
              <w:rPr>
                <w:sz w:val="20"/>
                <w:szCs w:val="20"/>
                <w:color w:val="auto"/>
              </w:rPr>
            </w:pPr>
            <w:r>
              <w:rPr>
                <w:rFonts w:ascii="Arial" w:cs="Arial" w:eastAsia="Arial" w:hAnsi="Arial"/>
                <w:sz w:val="13"/>
                <w:szCs w:val="13"/>
                <w:i w:val="1"/>
                <w:iCs w:val="1"/>
                <w:color w:val="auto"/>
              </w:rPr>
              <w:t>Copies to:</w:t>
            </w:r>
          </w:p>
        </w:tc>
      </w:tr>
      <w:tr>
        <w:trPr>
          <w:trHeight w:val="178"/>
        </w:trPr>
        <w:tc>
          <w:tcPr>
            <w:tcW w:w="216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Peter N. Handrinos</w:t>
            </w:r>
          </w:p>
        </w:tc>
        <w:tc>
          <w:tcPr>
            <w:tcW w:w="4460" w:type="dxa"/>
            <w:vAlign w:val="bottom"/>
          </w:tcPr>
          <w:p>
            <w:pPr>
              <w:jc w:val="center"/>
              <w:ind w:left="2913"/>
              <w:spacing w:after="0"/>
              <w:rPr>
                <w:sz w:val="20"/>
                <w:szCs w:val="20"/>
                <w:color w:val="auto"/>
              </w:rPr>
            </w:pPr>
            <w:r>
              <w:rPr>
                <w:rFonts w:ascii="Arial" w:cs="Arial" w:eastAsia="Arial" w:hAnsi="Arial"/>
                <w:sz w:val="13"/>
                <w:szCs w:val="13"/>
                <w:b w:val="1"/>
                <w:bCs w:val="1"/>
                <w:color w:val="auto"/>
              </w:rPr>
              <w:t>Ilir Mujalovic</w:t>
            </w:r>
          </w:p>
        </w:tc>
      </w:tr>
      <w:tr>
        <w:trPr>
          <w:trHeight w:val="138"/>
        </w:trPr>
        <w:tc>
          <w:tcPr>
            <w:tcW w:w="2160" w:type="dxa"/>
            <w:vAlign w:val="bottom"/>
          </w:tcPr>
          <w:p>
            <w:pPr>
              <w:jc w:val="center"/>
              <w:ind w:right="693"/>
              <w:spacing w:after="0" w:line="138" w:lineRule="exact"/>
              <w:rPr>
                <w:sz w:val="20"/>
                <w:szCs w:val="20"/>
                <w:color w:val="auto"/>
              </w:rPr>
            </w:pPr>
            <w:r>
              <w:rPr>
                <w:rFonts w:ascii="Arial" w:cs="Arial" w:eastAsia="Arial" w:hAnsi="Arial"/>
                <w:sz w:val="13"/>
                <w:szCs w:val="13"/>
                <w:b w:val="1"/>
                <w:bCs w:val="1"/>
                <w:color w:val="auto"/>
                <w:w w:val="92"/>
              </w:rPr>
              <w:t>Wesley C. Holmes</w:t>
            </w:r>
          </w:p>
        </w:tc>
        <w:tc>
          <w:tcPr>
            <w:tcW w:w="4460" w:type="dxa"/>
            <w:vAlign w:val="bottom"/>
          </w:tcPr>
          <w:p>
            <w:pPr>
              <w:jc w:val="center"/>
              <w:ind w:left="2893"/>
              <w:spacing w:after="0" w:line="138" w:lineRule="exact"/>
              <w:rPr>
                <w:sz w:val="20"/>
                <w:szCs w:val="20"/>
                <w:color w:val="auto"/>
              </w:rPr>
            </w:pPr>
            <w:r>
              <w:rPr>
                <w:rFonts w:ascii="Arial" w:cs="Arial" w:eastAsia="Arial" w:hAnsi="Arial"/>
                <w:sz w:val="13"/>
                <w:szCs w:val="13"/>
                <w:b w:val="1"/>
                <w:bCs w:val="1"/>
                <w:color w:val="auto"/>
                <w:w w:val="96"/>
              </w:rPr>
              <w:t>Shearman &amp; Sterling LLP</w:t>
            </w:r>
          </w:p>
        </w:tc>
      </w:tr>
      <w:tr>
        <w:trPr>
          <w:trHeight w:val="138"/>
        </w:trPr>
        <w:tc>
          <w:tcPr>
            <w:tcW w:w="2160" w:type="dxa"/>
            <w:vAlign w:val="bottom"/>
          </w:tcPr>
          <w:p>
            <w:pPr>
              <w:jc w:val="center"/>
              <w:ind w:right="693"/>
              <w:spacing w:after="0" w:line="138" w:lineRule="exact"/>
              <w:rPr>
                <w:sz w:val="20"/>
                <w:szCs w:val="20"/>
                <w:color w:val="auto"/>
              </w:rPr>
            </w:pPr>
            <w:r>
              <w:rPr>
                <w:rFonts w:ascii="Arial" w:cs="Arial" w:eastAsia="Arial" w:hAnsi="Arial"/>
                <w:sz w:val="13"/>
                <w:szCs w:val="13"/>
                <w:b w:val="1"/>
                <w:bCs w:val="1"/>
                <w:color w:val="auto"/>
                <w:w w:val="99"/>
              </w:rPr>
              <w:t>Latham &amp; Watkins LLP</w:t>
            </w:r>
          </w:p>
        </w:tc>
        <w:tc>
          <w:tcPr>
            <w:tcW w:w="4460" w:type="dxa"/>
            <w:vAlign w:val="bottom"/>
          </w:tcPr>
          <w:p>
            <w:pPr>
              <w:jc w:val="center"/>
              <w:ind w:left="2893"/>
              <w:spacing w:after="0" w:line="138" w:lineRule="exact"/>
              <w:rPr>
                <w:sz w:val="20"/>
                <w:szCs w:val="20"/>
                <w:color w:val="auto"/>
              </w:rPr>
            </w:pPr>
            <w:r>
              <w:rPr>
                <w:rFonts w:ascii="Arial" w:cs="Arial" w:eastAsia="Arial" w:hAnsi="Arial"/>
                <w:sz w:val="13"/>
                <w:szCs w:val="13"/>
                <w:b w:val="1"/>
                <w:bCs w:val="1"/>
                <w:color w:val="auto"/>
                <w:w w:val="91"/>
              </w:rPr>
              <w:t>599 Lexington Avenue</w:t>
            </w:r>
          </w:p>
        </w:tc>
      </w:tr>
      <w:tr>
        <w:trPr>
          <w:trHeight w:val="138"/>
        </w:trPr>
        <w:tc>
          <w:tcPr>
            <w:tcW w:w="2160" w:type="dxa"/>
            <w:vAlign w:val="bottom"/>
          </w:tcPr>
          <w:p>
            <w:pPr>
              <w:jc w:val="center"/>
              <w:ind w:right="693"/>
              <w:spacing w:after="0" w:line="138" w:lineRule="exact"/>
              <w:rPr>
                <w:sz w:val="20"/>
                <w:szCs w:val="20"/>
                <w:color w:val="auto"/>
              </w:rPr>
            </w:pPr>
            <w:r>
              <w:rPr>
                <w:rFonts w:ascii="Arial" w:cs="Arial" w:eastAsia="Arial" w:hAnsi="Arial"/>
                <w:sz w:val="13"/>
                <w:szCs w:val="13"/>
                <w:b w:val="1"/>
                <w:bCs w:val="1"/>
                <w:color w:val="auto"/>
                <w:w w:val="92"/>
              </w:rPr>
              <w:t>200 Clarendon Street</w:t>
            </w:r>
          </w:p>
        </w:tc>
        <w:tc>
          <w:tcPr>
            <w:tcW w:w="4460" w:type="dxa"/>
            <w:vAlign w:val="bottom"/>
          </w:tcPr>
          <w:p>
            <w:pPr>
              <w:jc w:val="center"/>
              <w:ind w:left="2893"/>
              <w:spacing w:after="0" w:line="138" w:lineRule="exact"/>
              <w:rPr>
                <w:sz w:val="20"/>
                <w:szCs w:val="20"/>
                <w:color w:val="auto"/>
              </w:rPr>
            </w:pPr>
            <w:r>
              <w:rPr>
                <w:rFonts w:ascii="Arial" w:cs="Arial" w:eastAsia="Arial" w:hAnsi="Arial"/>
                <w:sz w:val="13"/>
                <w:szCs w:val="13"/>
                <w:b w:val="1"/>
                <w:bCs w:val="1"/>
                <w:color w:val="auto"/>
                <w:w w:val="94"/>
              </w:rPr>
              <w:t>New York, NY 10022</w:t>
            </w:r>
          </w:p>
        </w:tc>
      </w:tr>
      <w:tr>
        <w:trPr>
          <w:trHeight w:val="138"/>
        </w:trPr>
        <w:tc>
          <w:tcPr>
            <w:tcW w:w="2160" w:type="dxa"/>
            <w:vAlign w:val="bottom"/>
          </w:tcPr>
          <w:p>
            <w:pPr>
              <w:jc w:val="center"/>
              <w:ind w:right="693"/>
              <w:spacing w:after="0" w:line="138" w:lineRule="exact"/>
              <w:rPr>
                <w:sz w:val="20"/>
                <w:szCs w:val="20"/>
                <w:color w:val="auto"/>
              </w:rPr>
            </w:pPr>
            <w:r>
              <w:rPr>
                <w:rFonts w:ascii="Arial" w:cs="Arial" w:eastAsia="Arial" w:hAnsi="Arial"/>
                <w:sz w:val="13"/>
                <w:szCs w:val="13"/>
                <w:b w:val="1"/>
                <w:bCs w:val="1"/>
                <w:color w:val="auto"/>
                <w:w w:val="92"/>
              </w:rPr>
              <w:t>Boston, MA 02116</w:t>
            </w:r>
          </w:p>
        </w:tc>
        <w:tc>
          <w:tcPr>
            <w:tcW w:w="4460" w:type="dxa"/>
            <w:vAlign w:val="bottom"/>
          </w:tcPr>
          <w:p>
            <w:pPr>
              <w:jc w:val="center"/>
              <w:ind w:left="2893"/>
              <w:spacing w:after="0" w:line="138" w:lineRule="exact"/>
              <w:rPr>
                <w:sz w:val="20"/>
                <w:szCs w:val="20"/>
                <w:color w:val="auto"/>
              </w:rPr>
            </w:pPr>
            <w:r>
              <w:rPr>
                <w:rFonts w:ascii="Arial" w:cs="Arial" w:eastAsia="Arial" w:hAnsi="Arial"/>
                <w:sz w:val="13"/>
                <w:szCs w:val="13"/>
                <w:b w:val="1"/>
                <w:bCs w:val="1"/>
                <w:color w:val="auto"/>
                <w:w w:val="92"/>
              </w:rPr>
              <w:t>(212) 848-4000</w:t>
            </w:r>
          </w:p>
        </w:tc>
      </w:tr>
      <w:tr>
        <w:trPr>
          <w:trHeight w:val="173"/>
        </w:trPr>
        <w:tc>
          <w:tcPr>
            <w:tcW w:w="2160" w:type="dxa"/>
            <w:vAlign w:val="bottom"/>
          </w:tcPr>
          <w:p>
            <w:pPr>
              <w:jc w:val="center"/>
              <w:ind w:right="693"/>
              <w:spacing w:after="0"/>
              <w:rPr>
                <w:sz w:val="20"/>
                <w:szCs w:val="20"/>
                <w:color w:val="auto"/>
              </w:rPr>
            </w:pPr>
            <w:r>
              <w:rPr>
                <w:rFonts w:ascii="Arial" w:cs="Arial" w:eastAsia="Arial" w:hAnsi="Arial"/>
                <w:sz w:val="13"/>
                <w:szCs w:val="13"/>
                <w:b w:val="1"/>
                <w:bCs w:val="1"/>
                <w:color w:val="auto"/>
                <w:w w:val="94"/>
              </w:rPr>
              <w:t>(617) 948-6000</w:t>
            </w:r>
          </w:p>
        </w:tc>
        <w:tc>
          <w:tcPr>
            <w:tcW w:w="4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109855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8"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3" w:lineRule="exact"/>
        <w:rPr>
          <w:sz w:val="24"/>
          <w:szCs w:val="24"/>
          <w:color w:val="auto"/>
        </w:rPr>
      </w:pPr>
    </w:p>
    <w:p>
      <w:pPr>
        <w:ind w:left="3460"/>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39" w:lineRule="exact"/>
        <w:rPr>
          <w:sz w:val="24"/>
          <w:szCs w:val="24"/>
          <w:color w:val="auto"/>
        </w:rPr>
      </w:pPr>
    </w:p>
    <w:p>
      <w:pPr>
        <w:ind w:left="500" w:right="440" w:firstLine="819"/>
        <w:spacing w:after="0" w:line="168"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1" w:lineRule="exact"/>
        <w:rPr>
          <w:sz w:val="24"/>
          <w:szCs w:val="24"/>
          <w:color w:val="auto"/>
        </w:rPr>
      </w:pPr>
    </w:p>
    <w:p>
      <w:pPr>
        <w:ind w:left="500" w:right="120" w:firstLine="819"/>
        <w:spacing w:after="0" w:line="168"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9" w:lineRule="exact"/>
        <w:rPr>
          <w:sz w:val="24"/>
          <w:szCs w:val="24"/>
          <w:color w:val="auto"/>
        </w:rPr>
      </w:pPr>
    </w:p>
    <w:p>
      <w:pPr>
        <w:ind w:left="500" w:right="280" w:firstLine="819"/>
        <w:spacing w:after="0" w:line="168"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9" w:lineRule="exact"/>
        <w:rPr>
          <w:sz w:val="24"/>
          <w:szCs w:val="24"/>
          <w:color w:val="auto"/>
        </w:rPr>
      </w:pPr>
    </w:p>
    <w:p>
      <w:pPr>
        <w:ind w:left="500" w:right="280" w:firstLine="819"/>
        <w:spacing w:after="0" w:line="168"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1" w:lineRule="exact"/>
        <w:rPr>
          <w:sz w:val="24"/>
          <w:szCs w:val="24"/>
          <w:color w:val="auto"/>
        </w:rPr>
      </w:pPr>
    </w:p>
    <w:p>
      <w:pPr>
        <w:ind w:left="500" w:right="360" w:firstLine="819"/>
        <w:spacing w:after="0" w:line="29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163"/>
        </w:trPr>
        <w:tc>
          <w:tcPr>
            <w:tcW w:w="214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1760" w:type="dxa"/>
            <w:vAlign w:val="bottom"/>
          </w:tcPr>
          <w:p>
            <w:pPr>
              <w:ind w:left="84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780"/>
              <w:spacing w:after="0"/>
              <w:rPr>
                <w:sz w:val="20"/>
                <w:szCs w:val="20"/>
                <w:color w:val="auto"/>
              </w:rPr>
            </w:pPr>
            <w:r>
              <w:rPr>
                <w:rFonts w:ascii="Arial" w:cs="Arial" w:eastAsia="Arial" w:hAnsi="Arial"/>
                <w:sz w:val="13"/>
                <w:szCs w:val="13"/>
                <w:b w:val="1"/>
                <w:bCs w:val="1"/>
                <w:color w:val="auto"/>
              </w:rPr>
              <w:t>Accelerated filer</w:t>
            </w:r>
          </w:p>
        </w:tc>
        <w:tc>
          <w:tcPr>
            <w:tcW w:w="1200" w:type="dxa"/>
            <w:vAlign w:val="bottom"/>
          </w:tcPr>
          <w:p>
            <w:pPr>
              <w:ind w:left="10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3"/>
        </w:trPr>
        <w:tc>
          <w:tcPr>
            <w:tcW w:w="214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1760" w:type="dxa"/>
            <w:vAlign w:val="bottom"/>
          </w:tcPr>
          <w:p>
            <w:pPr>
              <w:ind w:left="84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780"/>
              <w:spacing w:after="0"/>
              <w:rPr>
                <w:sz w:val="20"/>
                <w:szCs w:val="20"/>
                <w:color w:val="auto"/>
              </w:rPr>
            </w:pPr>
            <w:r>
              <w:rPr>
                <w:rFonts w:ascii="Arial" w:cs="Arial" w:eastAsia="Arial" w:hAnsi="Arial"/>
                <w:sz w:val="13"/>
                <w:szCs w:val="13"/>
                <w:b w:val="1"/>
                <w:bCs w:val="1"/>
                <w:color w:val="auto"/>
              </w:rPr>
              <w:t>Smaller reporting company</w:t>
            </w:r>
          </w:p>
        </w:tc>
        <w:tc>
          <w:tcPr>
            <w:tcW w:w="1200" w:type="dxa"/>
            <w:vAlign w:val="bottom"/>
          </w:tcPr>
          <w:p>
            <w:pPr>
              <w:ind w:left="10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8"/>
        </w:trPr>
        <w:tc>
          <w:tcPr>
            <w:tcW w:w="2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tcPr>
          <w:p>
            <w:pPr>
              <w:ind w:left="780"/>
              <w:spacing w:after="0"/>
              <w:rPr>
                <w:sz w:val="20"/>
                <w:szCs w:val="20"/>
                <w:color w:val="auto"/>
              </w:rPr>
            </w:pPr>
            <w:r>
              <w:rPr>
                <w:rFonts w:ascii="Arial" w:cs="Arial" w:eastAsia="Arial" w:hAnsi="Arial"/>
                <w:sz w:val="13"/>
                <w:szCs w:val="13"/>
                <w:b w:val="1"/>
                <w:bCs w:val="1"/>
                <w:color w:val="auto"/>
              </w:rPr>
              <w:t>Emerging growth company</w:t>
            </w:r>
          </w:p>
        </w:tc>
        <w:tc>
          <w:tcPr>
            <w:tcW w:w="1200" w:type="dxa"/>
            <w:vAlign w:val="bottom"/>
          </w:tcPr>
          <w:p>
            <w:pPr>
              <w:ind w:left="10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6" w:lineRule="exact"/>
        <w:rPr>
          <w:sz w:val="24"/>
          <w:szCs w:val="24"/>
          <w:color w:val="auto"/>
        </w:rPr>
      </w:pPr>
    </w:p>
    <w:p>
      <w:pPr>
        <w:ind w:left="500" w:right="60" w:firstLine="819"/>
        <w:spacing w:after="0" w:line="169" w:lineRule="exact"/>
        <w:rPr>
          <w:sz w:val="20"/>
          <w:szCs w:val="20"/>
          <w:color w:val="auto"/>
        </w:rPr>
      </w:pPr>
      <w:r>
        <w:rPr>
          <w:rFonts w:ascii="Arial" w:cs="Arial" w:eastAsia="Arial" w:hAnsi="Arial"/>
          <w:sz w:val="13"/>
          <w:szCs w:val="13"/>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101600</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3" w:lineRule="exact"/>
        <w:rPr>
          <w:sz w:val="24"/>
          <w:szCs w:val="24"/>
          <w:color w:val="auto"/>
        </w:rPr>
      </w:pPr>
    </w:p>
    <w:p>
      <w:pPr>
        <w:ind w:left="4180"/>
        <w:spacing w:after="0"/>
        <w:rPr>
          <w:sz w:val="20"/>
          <w:szCs w:val="20"/>
          <w:color w:val="auto"/>
        </w:rPr>
      </w:pPr>
      <w:r>
        <w:rPr>
          <w:rFonts w:ascii="Arial" w:cs="Arial" w:eastAsia="Arial" w:hAnsi="Arial"/>
          <w:sz w:val="15"/>
          <w:szCs w:val="15"/>
          <w:b w:val="1"/>
          <w:bCs w:val="1"/>
          <w:color w:val="auto"/>
        </w:rPr>
        <w:t>CALCULATION OF REGISTRATION FEE</w:t>
      </w:r>
    </w:p>
    <w:p>
      <w:pPr>
        <w:spacing w:after="0" w:line="83"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638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6380" w:type="dxa"/>
            <w:vAlign w:val="bottom"/>
            <w:tcBorders>
              <w:right w:val="single" w:sz="8" w:color="auto"/>
            </w:tcBorders>
          </w:tcPr>
          <w:p>
            <w:pPr>
              <w:spacing w:after="0"/>
              <w:rPr>
                <w:sz w:val="8"/>
                <w:szCs w:val="8"/>
                <w:color w:val="auto"/>
              </w:rPr>
            </w:pPr>
          </w:p>
        </w:tc>
        <w:tc>
          <w:tcPr>
            <w:tcW w:w="19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Proposed Maximum</w:t>
            </w: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6380" w:type="dxa"/>
            <w:vAlign w:val="bottom"/>
            <w:tcBorders>
              <w:right w:val="single" w:sz="8" w:color="auto"/>
            </w:tcBorders>
            <w:vMerge w:val="restart"/>
          </w:tcPr>
          <w:p>
            <w:pPr>
              <w:ind w:left="178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2"/>
              </w:rPr>
              <w:t>Aggregate Offering</w:t>
            </w:r>
          </w:p>
        </w:tc>
        <w:tc>
          <w:tcPr>
            <w:tcW w:w="1900" w:type="dxa"/>
            <w:vAlign w:val="bottom"/>
          </w:tcPr>
          <w:p>
            <w:pPr>
              <w:jc w:val="center"/>
              <w:ind w:left="13"/>
              <w:spacing w:after="0" w:line="146" w:lineRule="exact"/>
              <w:rPr>
                <w:sz w:val="20"/>
                <w:szCs w:val="20"/>
                <w:color w:val="auto"/>
              </w:rPr>
            </w:pPr>
            <w:r>
              <w:rPr>
                <w:rFonts w:ascii="Arial" w:cs="Arial" w:eastAsia="Arial" w:hAnsi="Arial"/>
                <w:sz w:val="13"/>
                <w:szCs w:val="13"/>
                <w:b w:val="1"/>
                <w:bCs w:val="1"/>
                <w:color w:val="auto"/>
                <w:w w:val="92"/>
              </w:rPr>
              <w:t>Amount of Registration</w:t>
            </w:r>
          </w:p>
        </w:tc>
        <w:tc>
          <w:tcPr>
            <w:tcW w:w="0" w:type="dxa"/>
            <w:vAlign w:val="bottom"/>
          </w:tcPr>
          <w:p>
            <w:pPr>
              <w:spacing w:after="0"/>
              <w:rPr>
                <w:sz w:val="1"/>
                <w:szCs w:val="1"/>
                <w:color w:val="auto"/>
              </w:rPr>
            </w:pPr>
          </w:p>
        </w:tc>
      </w:tr>
      <w:tr>
        <w:trPr>
          <w:trHeight w:val="163"/>
        </w:trPr>
        <w:tc>
          <w:tcPr>
            <w:tcW w:w="6380" w:type="dxa"/>
            <w:vAlign w:val="bottom"/>
            <w:tcBorders>
              <w:bottom w:val="single" w:sz="8" w:color="auto"/>
              <w:right w:val="single" w:sz="8" w:color="auto"/>
            </w:tcBorders>
            <w:vMerge w:val="continue"/>
          </w:tcPr>
          <w:p>
            <w:pPr>
              <w:spacing w:after="0"/>
              <w:rPr>
                <w:sz w:val="14"/>
                <w:szCs w:val="14"/>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1"/>
                <w:szCs w:val="11"/>
                <w:b w:val="1"/>
                <w:bCs w:val="1"/>
                <w:color w:val="auto"/>
                <w:w w:val="92"/>
              </w:rPr>
              <w:t>(1)</w:t>
            </w:r>
          </w:p>
        </w:tc>
        <w:tc>
          <w:tcPr>
            <w:tcW w:w="19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93"/>
              </w:rPr>
              <w:t>Fee</w:t>
            </w:r>
            <w:r>
              <w:rPr>
                <w:rFonts w:ascii="Arial" w:cs="Arial" w:eastAsia="Arial" w:hAnsi="Arial"/>
                <w:sz w:val="11"/>
                <w:szCs w:val="11"/>
                <w:b w:val="1"/>
                <w:bCs w:val="1"/>
                <w:color w:val="auto"/>
                <w:w w:val="93"/>
              </w:rPr>
              <w:t>(2)(3)</w:t>
            </w:r>
          </w:p>
        </w:tc>
        <w:tc>
          <w:tcPr>
            <w:tcW w:w="0" w:type="dxa"/>
            <w:vAlign w:val="bottom"/>
          </w:tcPr>
          <w:p>
            <w:pPr>
              <w:spacing w:after="0"/>
              <w:rPr>
                <w:sz w:val="1"/>
                <w:szCs w:val="1"/>
                <w:color w:val="auto"/>
              </w:rPr>
            </w:pPr>
          </w:p>
        </w:tc>
      </w:tr>
      <w:tr>
        <w:trPr>
          <w:trHeight w:val="131"/>
        </w:trPr>
        <w:tc>
          <w:tcPr>
            <w:tcW w:w="6380" w:type="dxa"/>
            <w:vAlign w:val="bottom"/>
            <w:tcBorders>
              <w:bottom w:val="single" w:sz="8" w:color="auto"/>
              <w:right w:val="single" w:sz="8" w:color="auto"/>
            </w:tcBorders>
          </w:tcPr>
          <w:p>
            <w:pPr>
              <w:spacing w:after="0" w:line="131" w:lineRule="exact"/>
              <w:rPr>
                <w:sz w:val="20"/>
                <w:szCs w:val="20"/>
                <w:color w:val="auto"/>
              </w:rPr>
            </w:pPr>
            <w:r>
              <w:rPr>
                <w:rFonts w:ascii="Arial" w:cs="Arial" w:eastAsia="Arial" w:hAnsi="Arial"/>
                <w:sz w:val="13"/>
                <w:szCs w:val="13"/>
                <w:color w:val="auto"/>
              </w:rPr>
              <w:t>Common Stock, $0.001 par value per share</w:t>
            </w:r>
          </w:p>
        </w:tc>
        <w:tc>
          <w:tcPr>
            <w:tcW w:w="1960" w:type="dxa"/>
            <w:vAlign w:val="bottom"/>
            <w:tcBorders>
              <w:bottom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1"/>
              </w:rPr>
              <w:t>$64,400,000</w:t>
            </w:r>
          </w:p>
        </w:tc>
        <w:tc>
          <w:tcPr>
            <w:tcW w:w="1900" w:type="dxa"/>
            <w:vAlign w:val="bottom"/>
            <w:tcBorders>
              <w:bottom w:val="single" w:sz="8" w:color="auto"/>
            </w:tcBorders>
          </w:tcPr>
          <w:p>
            <w:pPr>
              <w:jc w:val="center"/>
              <w:ind w:left="13"/>
              <w:spacing w:after="0" w:line="131" w:lineRule="exact"/>
              <w:rPr>
                <w:sz w:val="20"/>
                <w:szCs w:val="20"/>
                <w:color w:val="auto"/>
              </w:rPr>
            </w:pPr>
            <w:r>
              <w:rPr>
                <w:rFonts w:ascii="Arial" w:cs="Arial" w:eastAsia="Arial" w:hAnsi="Arial"/>
                <w:sz w:val="13"/>
                <w:szCs w:val="13"/>
                <w:color w:val="auto"/>
                <w:w w:val="95"/>
              </w:rPr>
              <w:t>$8,360</w:t>
            </w:r>
          </w:p>
        </w:tc>
        <w:tc>
          <w:tcPr>
            <w:tcW w:w="0" w:type="dxa"/>
            <w:vAlign w:val="bottom"/>
          </w:tcPr>
          <w:p>
            <w:pPr>
              <w:spacing w:after="0"/>
              <w:rPr>
                <w:sz w:val="1"/>
                <w:szCs w:val="1"/>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4"/>
          <w:szCs w:val="24"/>
          <w:color w:val="auto"/>
        </w:rPr>
      </w:pPr>
    </w:p>
    <w:p>
      <w:pPr>
        <w:ind w:left="900" w:right="360" w:hanging="397"/>
        <w:spacing w:after="0" w:line="231" w:lineRule="auto"/>
        <w:tabs>
          <w:tab w:leader="none" w:pos="900"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Estimated solely for the purpose of calculating the registration fee pursuant to Rule 457(o) under the Securities Act of 1933, as amended. Includes the aggregate offering price of additional shares that the underwriters have the option to purchase.</w:t>
      </w:r>
    </w:p>
    <w:p>
      <w:pPr>
        <w:ind w:left="900" w:hanging="397"/>
        <w:spacing w:after="0"/>
        <w:tabs>
          <w:tab w:leader="none" w:pos="900"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$7,464 of this registration fee was previously paid by the Registrant in connection with the filing of its Registration Statement on Form S-1 on March 6, 2020.</w:t>
      </w:r>
    </w:p>
    <w:p>
      <w:pPr>
        <w:spacing w:after="0" w:line="51" w:lineRule="exact"/>
        <w:rPr>
          <w:rFonts w:ascii="Arial" w:cs="Arial" w:eastAsia="Arial" w:hAnsi="Arial"/>
          <w:sz w:val="13"/>
          <w:szCs w:val="13"/>
          <w:b w:val="1"/>
          <w:bCs w:val="1"/>
          <w:color w:val="auto"/>
        </w:rPr>
      </w:pPr>
    </w:p>
    <w:p>
      <w:pPr>
        <w:ind w:left="900" w:hanging="397"/>
        <w:spacing w:after="0"/>
        <w:tabs>
          <w:tab w:leader="none" w:pos="900"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116205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30" w:lineRule="exact"/>
        <w:rPr>
          <w:sz w:val="24"/>
          <w:szCs w:val="24"/>
          <w:color w:val="auto"/>
        </w:rPr>
      </w:pPr>
    </w:p>
    <w:p>
      <w:pPr>
        <w:ind w:left="500" w:firstLine="819"/>
        <w:spacing w:after="0" w:line="27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wp:posOffset>
            </wp:positionH>
            <wp:positionV relativeFrom="paragraph">
              <wp:posOffset>59690</wp:posOffset>
            </wp:positionV>
            <wp:extent cx="6504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430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107950</wp:posOffset>
            </wp:positionV>
            <wp:extent cx="650430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4305" cy="24130"/>
                    </a:xfrm>
                    <a:prstGeom prst="rect">
                      <a:avLst/>
                    </a:prstGeom>
                    <a:noFill/>
                  </pic:spPr>
                </pic:pic>
              </a:graphicData>
            </a:graphic>
          </wp:anchor>
        </w:drawing>
      </w:r>
    </w:p>
    <w:p>
      <w:pPr>
        <w:sectPr>
          <w:pgSz w:w="11900" w:h="16838" w:orient="portrait"/>
          <w:cols w:equalWidth="0" w:num="1">
            <w:col w:w="10740"/>
          </w:cols>
          <w:pgMar w:left="320" w:top="224" w:right="8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20"/>
        <w:spacing w:after="0" w:line="257" w:lineRule="auto"/>
        <w:rPr>
          <w:sz w:val="20"/>
          <w:szCs w:val="20"/>
          <w:color w:val="auto"/>
        </w:rPr>
      </w:pPr>
      <w:r>
        <w:rPr>
          <w:rFonts w:ascii="Arial" w:cs="Arial" w:eastAsia="Arial" w:hAnsi="Arial"/>
          <w:sz w:val="17"/>
          <w:szCs w:val="17"/>
          <w:color w:val="C2112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C21128"/>
        </w:rPr>
        <w:t>Subject to Completion</w:t>
      </w:r>
    </w:p>
    <w:p>
      <w:pPr>
        <w:spacing w:after="0" w:line="1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C21128"/>
        </w:rPr>
        <w:t>Preliminary Prospectus dated April 27, 2020</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7"/>
          <w:szCs w:val="17"/>
          <w:b w:val="1"/>
          <w:bCs w:val="1"/>
          <w:u w:val="single" w:color="auto"/>
          <w:color w:val="auto"/>
        </w:rPr>
        <w:t>PROSPECTUS</w:t>
      </w:r>
    </w:p>
    <w:p>
      <w:pPr>
        <w:spacing w:after="0" w:line="284" w:lineRule="exact"/>
        <w:rPr>
          <w:sz w:val="20"/>
          <w:szCs w:val="20"/>
          <w:color w:val="auto"/>
        </w:rPr>
      </w:pPr>
    </w:p>
    <w:p>
      <w:pPr>
        <w:ind w:left="4560"/>
        <w:spacing w:after="0"/>
        <w:rPr>
          <w:sz w:val="20"/>
          <w:szCs w:val="20"/>
          <w:color w:val="auto"/>
        </w:rPr>
      </w:pPr>
      <w:r>
        <w:rPr>
          <w:rFonts w:ascii="Arial" w:cs="Arial" w:eastAsia="Arial" w:hAnsi="Arial"/>
          <w:sz w:val="30"/>
          <w:szCs w:val="30"/>
          <w:b w:val="1"/>
          <w:bCs w:val="1"/>
          <w:color w:val="auto"/>
        </w:rPr>
        <w:t>3,500,000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164465</wp:posOffset>
            </wp:positionV>
            <wp:extent cx="1913255" cy="558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13255" cy="55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60"/>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227965</wp:posOffset>
            </wp:positionV>
            <wp:extent cx="1307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This is Lyra Therapeutics, Inc.’s initial public offering. We are selling 3,500,000 shares of our common stock.</w:t>
      </w:r>
    </w:p>
    <w:p>
      <w:pPr>
        <w:spacing w:after="0" w:line="206" w:lineRule="exact"/>
        <w:rPr>
          <w:sz w:val="20"/>
          <w:szCs w:val="20"/>
          <w:color w:val="auto"/>
        </w:rPr>
      </w:pPr>
    </w:p>
    <w:p>
      <w:pPr>
        <w:ind w:left="500" w:right="420" w:firstLine="819"/>
        <w:spacing w:after="0" w:line="299" w:lineRule="auto"/>
        <w:rPr>
          <w:sz w:val="20"/>
          <w:szCs w:val="20"/>
          <w:color w:val="auto"/>
        </w:rPr>
      </w:pPr>
      <w:r>
        <w:rPr>
          <w:rFonts w:ascii="Arial" w:cs="Arial" w:eastAsia="Arial" w:hAnsi="Arial"/>
          <w:sz w:val="16"/>
          <w:szCs w:val="16"/>
          <w:color w:val="auto"/>
        </w:rPr>
        <w:t>We expect the public offering price to be between $14.00 and $16.00 per share. Currently, no public market exists for the shares. After pricing of the offering, we expect that the shares will trade on The Nasdaq Global Market under the symbol “LYRA.”</w:t>
      </w:r>
    </w:p>
    <w:p>
      <w:pPr>
        <w:spacing w:after="0" w:line="144" w:lineRule="exact"/>
        <w:rPr>
          <w:sz w:val="20"/>
          <w:szCs w:val="20"/>
          <w:color w:val="auto"/>
        </w:rPr>
      </w:pPr>
    </w:p>
    <w:p>
      <w:pPr>
        <w:ind w:left="500" w:right="100" w:firstLine="819"/>
        <w:spacing w:after="0" w:line="268" w:lineRule="auto"/>
        <w:rPr>
          <w:sz w:val="20"/>
          <w:szCs w:val="20"/>
          <w:color w:val="auto"/>
        </w:rPr>
      </w:pPr>
      <w:r>
        <w:rPr>
          <w:rFonts w:ascii="Arial" w:cs="Arial" w:eastAsia="Arial" w:hAnsi="Arial"/>
          <w:sz w:val="17"/>
          <w:szCs w:val="17"/>
          <w:color w:val="auto"/>
        </w:rPr>
        <w:t>We are an emerging growth company under the federal securities laws and are subject to reduced public company disclosure standards. See “Prospectus Summary—Implications of Being an Emerging Growth Company.”</w:t>
      </w:r>
    </w:p>
    <w:p>
      <w:pPr>
        <w:spacing w:after="0" w:line="153" w:lineRule="exact"/>
        <w:rPr>
          <w:sz w:val="20"/>
          <w:szCs w:val="20"/>
          <w:color w:val="auto"/>
        </w:rPr>
      </w:pPr>
    </w:p>
    <w:p>
      <w:pPr>
        <w:ind w:left="500" w:right="320" w:firstLine="819"/>
        <w:spacing w:after="0" w:line="268"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the common stock involves risks that are described in the “</w:t>
      </w:r>
      <w:hyperlink w:anchor="page16">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section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184150</wp:posOffset>
            </wp:positionV>
            <wp:extent cx="1307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2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360" w:type="dxa"/>
            <w:vAlign w:val="bottom"/>
            <w:gridSpan w:val="2"/>
          </w:tcPr>
          <w:p>
            <w:pPr>
              <w:ind w:left="1800"/>
              <w:spacing w:after="0"/>
              <w:rPr>
                <w:sz w:val="20"/>
                <w:szCs w:val="20"/>
                <w:color w:val="auto"/>
              </w:rPr>
            </w:pPr>
            <w:r>
              <w:rPr>
                <w:rFonts w:ascii="Arial" w:cs="Arial" w:eastAsia="Arial" w:hAnsi="Arial"/>
                <w:sz w:val="13"/>
                <w:szCs w:val="13"/>
                <w:b w:val="1"/>
                <w:bCs w:val="1"/>
                <w:color w:val="auto"/>
                <w:w w:val="88"/>
              </w:rPr>
              <w:t>Per Share</w:t>
            </w:r>
          </w:p>
        </w:tc>
        <w:tc>
          <w:tcPr>
            <w:tcW w:w="2420" w:type="dxa"/>
            <w:vAlign w:val="bottom"/>
            <w:gridSpan w:val="3"/>
          </w:tcPr>
          <w:p>
            <w:pPr>
              <w:ind w:left="20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Public offering price</w:t>
            </w:r>
          </w:p>
        </w:tc>
        <w:tc>
          <w:tcPr>
            <w:tcW w:w="2360" w:type="dxa"/>
            <w:vAlign w:val="bottom"/>
            <w:gridSpan w:val="2"/>
            <w:shd w:val="clear" w:color="auto" w:fill="CCEEFF"/>
          </w:tcPr>
          <w:p>
            <w:pPr>
              <w:ind w:left="1800"/>
              <w:spacing w:after="0" w:line="194" w:lineRule="exact"/>
              <w:rPr>
                <w:sz w:val="20"/>
                <w:szCs w:val="20"/>
                <w:color w:val="auto"/>
              </w:rPr>
            </w:pPr>
            <w:r>
              <w:rPr>
                <w:rFonts w:ascii="Arial" w:cs="Arial" w:eastAsia="Arial" w:hAnsi="Arial"/>
                <w:sz w:val="17"/>
                <w:szCs w:val="17"/>
                <w:color w:val="auto"/>
              </w:rPr>
              <w:t>$</w:t>
            </w:r>
          </w:p>
        </w:tc>
        <w:tc>
          <w:tcPr>
            <w:tcW w:w="2380" w:type="dxa"/>
            <w:vAlign w:val="bottom"/>
            <w:gridSpan w:val="2"/>
            <w:shd w:val="clear" w:color="auto" w:fill="CCEEFF"/>
          </w:tcPr>
          <w:p>
            <w:pPr>
              <w:ind w:left="206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Underwriting discount</w:t>
            </w:r>
            <w:r>
              <w:rPr>
                <w:rFonts w:ascii="Arial" w:cs="Arial" w:eastAsia="Arial" w:hAnsi="Arial"/>
                <w:sz w:val="14"/>
                <w:szCs w:val="14"/>
                <w:color w:val="auto"/>
              </w:rPr>
              <w:t>(1)</w:t>
            </w:r>
          </w:p>
        </w:tc>
        <w:tc>
          <w:tcPr>
            <w:tcW w:w="2360" w:type="dxa"/>
            <w:vAlign w:val="bottom"/>
            <w:gridSpan w:val="2"/>
          </w:tcPr>
          <w:p>
            <w:pPr>
              <w:ind w:left="1800"/>
              <w:spacing w:after="0"/>
              <w:rPr>
                <w:sz w:val="20"/>
                <w:szCs w:val="20"/>
                <w:color w:val="auto"/>
              </w:rPr>
            </w:pPr>
            <w:r>
              <w:rPr>
                <w:rFonts w:ascii="Arial" w:cs="Arial" w:eastAsia="Arial" w:hAnsi="Arial"/>
                <w:sz w:val="17"/>
                <w:szCs w:val="17"/>
                <w:color w:val="auto"/>
              </w:rPr>
              <w:t>$</w:t>
            </w:r>
          </w:p>
        </w:tc>
        <w:tc>
          <w:tcPr>
            <w:tcW w:w="2380" w:type="dxa"/>
            <w:vAlign w:val="bottom"/>
            <w:gridSpan w:val="2"/>
          </w:tcPr>
          <w:p>
            <w:pPr>
              <w:ind w:left="20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2360" w:type="dxa"/>
            <w:vAlign w:val="bottom"/>
            <w:gridSpan w:val="2"/>
            <w:shd w:val="clear" w:color="auto" w:fill="CCEEFF"/>
          </w:tcPr>
          <w:p>
            <w:pPr>
              <w:ind w:left="1800"/>
              <w:spacing w:after="0"/>
              <w:rPr>
                <w:sz w:val="20"/>
                <w:szCs w:val="20"/>
                <w:color w:val="auto"/>
              </w:rPr>
            </w:pPr>
            <w:r>
              <w:rPr>
                <w:rFonts w:ascii="Arial" w:cs="Arial" w:eastAsia="Arial" w:hAnsi="Arial"/>
                <w:sz w:val="17"/>
                <w:szCs w:val="17"/>
                <w:color w:val="auto"/>
              </w:rPr>
              <w:t>$</w:t>
            </w:r>
          </w:p>
        </w:tc>
        <w:tc>
          <w:tcPr>
            <w:tcW w:w="2380" w:type="dxa"/>
            <w:vAlign w:val="bottom"/>
            <w:gridSpan w:val="2"/>
            <w:shd w:val="clear" w:color="auto" w:fill="CCEEFF"/>
          </w:tcPr>
          <w:p>
            <w:pPr>
              <w:ind w:left="20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720" w:right="720" w:hanging="402"/>
        <w:spacing w:after="0" w:line="268" w:lineRule="auto"/>
        <w:tabs>
          <w:tab w:leader="none" w:pos="1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refer you to “Underwriting” beginning on page 183 of this prospectus for additional information regarding underwriting compensation.</w:t>
      </w:r>
    </w:p>
    <w:p>
      <w:pPr>
        <w:spacing w:after="0" w:line="166"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7"/>
          <w:szCs w:val="17"/>
          <w:color w:val="auto"/>
        </w:rPr>
        <w:t>The underwriters may also exercise their option to purchase up to an additional 525,000 shares from us, at the public offering price, less the underwriting discount, for 30 days after the date of this prospectus.</w:t>
      </w:r>
    </w:p>
    <w:p>
      <w:pPr>
        <w:spacing w:after="0" w:line="166" w:lineRule="exact"/>
        <w:rPr>
          <w:sz w:val="20"/>
          <w:szCs w:val="20"/>
          <w:color w:val="auto"/>
        </w:rPr>
      </w:pPr>
    </w:p>
    <w:p>
      <w:pPr>
        <w:ind w:left="500" w:right="280" w:firstLine="819"/>
        <w:spacing w:after="0" w:line="26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4100" w:type="dxa"/>
            <w:vAlign w:val="bottom"/>
          </w:tcPr>
          <w:p>
            <w:pPr>
              <w:ind w:left="820"/>
              <w:spacing w:after="0"/>
              <w:rPr>
                <w:sz w:val="20"/>
                <w:szCs w:val="20"/>
                <w:color w:val="auto"/>
              </w:rPr>
            </w:pPr>
            <w:r>
              <w:rPr>
                <w:rFonts w:ascii="Arial" w:cs="Arial" w:eastAsia="Arial" w:hAnsi="Arial"/>
                <w:sz w:val="17"/>
                <w:szCs w:val="17"/>
                <w:color w:val="auto"/>
                <w:w w:val="89"/>
              </w:rPr>
              <w:t>The shares will be ready for delivery on or about</w:t>
            </w:r>
          </w:p>
        </w:tc>
        <w:tc>
          <w:tcPr>
            <w:tcW w:w="2060" w:type="dxa"/>
            <w:vAlign w:val="bottom"/>
          </w:tcPr>
          <w:p>
            <w:pPr>
              <w:jc w:val="right"/>
              <w:ind w:right="790"/>
              <w:spacing w:after="0"/>
              <w:rPr>
                <w:sz w:val="20"/>
                <w:szCs w:val="20"/>
                <w:color w:val="auto"/>
              </w:rPr>
            </w:pPr>
            <w:r>
              <w:rPr>
                <w:rFonts w:ascii="Arial" w:cs="Arial" w:eastAsia="Arial" w:hAnsi="Arial"/>
                <w:sz w:val="17"/>
                <w:szCs w:val="17"/>
                <w:color w:val="auto"/>
              </w:rPr>
              <w:t>, 2020.</w:t>
            </w:r>
          </w:p>
        </w:tc>
        <w:tc>
          <w:tcPr>
            <w:tcW w:w="11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4"/>
        </w:trPr>
        <w:tc>
          <w:tcPr>
            <w:tcW w:w="4100" w:type="dxa"/>
            <w:vAlign w:val="bottom"/>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394"/>
        </w:trPr>
        <w:tc>
          <w:tcPr>
            <w:tcW w:w="4100" w:type="dxa"/>
            <w:vAlign w:val="bottom"/>
          </w:tcPr>
          <w:p>
            <w:pPr>
              <w:spacing w:after="0"/>
              <w:rPr>
                <w:sz w:val="24"/>
                <w:szCs w:val="24"/>
                <w:color w:val="auto"/>
              </w:rPr>
            </w:pPr>
          </w:p>
        </w:tc>
        <w:tc>
          <w:tcPr>
            <w:tcW w:w="3220" w:type="dxa"/>
            <w:vAlign w:val="bottom"/>
            <w:gridSpan w:val="2"/>
          </w:tcPr>
          <w:p>
            <w:pPr>
              <w:jc w:val="center"/>
              <w:ind w:right="1160"/>
              <w:spacing w:after="0"/>
              <w:rPr>
                <w:sz w:val="20"/>
                <w:szCs w:val="20"/>
                <w:color w:val="auto"/>
              </w:rPr>
            </w:pPr>
            <w:r>
              <w:rPr>
                <w:rFonts w:ascii="Arial" w:cs="Arial" w:eastAsia="Arial" w:hAnsi="Arial"/>
                <w:sz w:val="17"/>
                <w:szCs w:val="17"/>
                <w:i w:val="1"/>
                <w:iCs w:val="1"/>
                <w:color w:val="auto"/>
                <w:w w:val="90"/>
              </w:rPr>
              <w:t>Joint Book-Running Managers</w:t>
            </w:r>
          </w:p>
        </w:tc>
        <w:tc>
          <w:tcPr>
            <w:tcW w:w="2920" w:type="dxa"/>
            <w:vAlign w:val="bottom"/>
          </w:tcPr>
          <w:p>
            <w:pPr>
              <w:spacing w:after="0"/>
              <w:rPr>
                <w:sz w:val="24"/>
                <w:szCs w:val="24"/>
                <w:color w:val="auto"/>
              </w:rPr>
            </w:pPr>
          </w:p>
        </w:tc>
      </w:tr>
      <w:tr>
        <w:trPr>
          <w:trHeight w:val="580"/>
        </w:trPr>
        <w:tc>
          <w:tcPr>
            <w:tcW w:w="4100" w:type="dxa"/>
            <w:vAlign w:val="bottom"/>
          </w:tcPr>
          <w:p>
            <w:pPr>
              <w:spacing w:after="0"/>
              <w:rPr>
                <w:sz w:val="20"/>
                <w:szCs w:val="20"/>
                <w:color w:val="auto"/>
              </w:rPr>
            </w:pPr>
            <w:r>
              <w:rPr>
                <w:rFonts w:ascii="Arial" w:cs="Arial" w:eastAsia="Arial" w:hAnsi="Arial"/>
                <w:sz w:val="30"/>
                <w:szCs w:val="30"/>
                <w:b w:val="1"/>
                <w:bCs w:val="1"/>
                <w:color w:val="auto"/>
              </w:rPr>
              <w:t>BofA Securities</w:t>
            </w:r>
          </w:p>
        </w:tc>
        <w:tc>
          <w:tcPr>
            <w:tcW w:w="3220" w:type="dxa"/>
            <w:vAlign w:val="bottom"/>
            <w:gridSpan w:val="2"/>
          </w:tcPr>
          <w:p>
            <w:pPr>
              <w:ind w:left="440"/>
              <w:spacing w:after="0"/>
              <w:rPr>
                <w:sz w:val="20"/>
                <w:szCs w:val="20"/>
                <w:color w:val="auto"/>
              </w:rPr>
            </w:pPr>
            <w:r>
              <w:rPr>
                <w:rFonts w:ascii="Arial" w:cs="Arial" w:eastAsia="Arial" w:hAnsi="Arial"/>
                <w:sz w:val="30"/>
                <w:szCs w:val="30"/>
                <w:b w:val="1"/>
                <w:bCs w:val="1"/>
                <w:color w:val="auto"/>
              </w:rPr>
              <w:t>Jefferies</w:t>
            </w:r>
          </w:p>
        </w:tc>
        <w:tc>
          <w:tcPr>
            <w:tcW w:w="2920" w:type="dxa"/>
            <w:vAlign w:val="bottom"/>
          </w:tcPr>
          <w:p>
            <w:pPr>
              <w:ind w:left="1160"/>
              <w:spacing w:after="0"/>
              <w:rPr>
                <w:sz w:val="20"/>
                <w:szCs w:val="20"/>
                <w:color w:val="auto"/>
              </w:rPr>
            </w:pPr>
            <w:r>
              <w:rPr>
                <w:rFonts w:ascii="Arial" w:cs="Arial" w:eastAsia="Arial" w:hAnsi="Arial"/>
                <w:sz w:val="30"/>
                <w:szCs w:val="30"/>
                <w:b w:val="1"/>
                <w:bCs w:val="1"/>
                <w:color w:val="auto"/>
                <w:w w:val="96"/>
              </w:rPr>
              <w:t>William Blair</w:t>
            </w:r>
          </w:p>
        </w:tc>
      </w:tr>
      <w:tr>
        <w:trPr>
          <w:trHeight w:val="199"/>
        </w:trPr>
        <w:tc>
          <w:tcPr>
            <w:tcW w:w="4100" w:type="dxa"/>
            <w:vAlign w:val="bottom"/>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94"/>
        </w:trPr>
        <w:tc>
          <w:tcPr>
            <w:tcW w:w="4100" w:type="dxa"/>
            <w:vAlign w:val="bottom"/>
          </w:tcPr>
          <w:p>
            <w:pPr>
              <w:spacing w:after="0"/>
              <w:rPr>
                <w:sz w:val="24"/>
                <w:szCs w:val="24"/>
                <w:color w:val="auto"/>
              </w:rPr>
            </w:pPr>
          </w:p>
        </w:tc>
        <w:tc>
          <w:tcPr>
            <w:tcW w:w="3220" w:type="dxa"/>
            <w:vAlign w:val="bottom"/>
            <w:gridSpan w:val="2"/>
          </w:tcPr>
          <w:p>
            <w:pPr>
              <w:jc w:val="center"/>
              <w:ind w:right="1160"/>
              <w:spacing w:after="0"/>
              <w:rPr>
                <w:sz w:val="20"/>
                <w:szCs w:val="20"/>
                <w:color w:val="auto"/>
              </w:rPr>
            </w:pPr>
            <w:r>
              <w:rPr>
                <w:rFonts w:ascii="Arial" w:cs="Arial" w:eastAsia="Arial" w:hAnsi="Arial"/>
                <w:sz w:val="17"/>
                <w:szCs w:val="17"/>
                <w:i w:val="1"/>
                <w:iCs w:val="1"/>
                <w:color w:val="auto"/>
                <w:w w:val="90"/>
              </w:rPr>
              <w:t>Co-Manager</w:t>
            </w:r>
          </w:p>
        </w:tc>
        <w:tc>
          <w:tcPr>
            <w:tcW w:w="2920" w:type="dxa"/>
            <w:vAlign w:val="bottom"/>
          </w:tcPr>
          <w:p>
            <w:pPr>
              <w:spacing w:after="0"/>
              <w:rPr>
                <w:sz w:val="24"/>
                <w:szCs w:val="24"/>
                <w:color w:val="auto"/>
              </w:rPr>
            </w:pPr>
          </w:p>
        </w:tc>
      </w:tr>
      <w:tr>
        <w:trPr>
          <w:trHeight w:val="555"/>
        </w:trPr>
        <w:tc>
          <w:tcPr>
            <w:tcW w:w="4100" w:type="dxa"/>
            <w:vAlign w:val="bottom"/>
          </w:tcPr>
          <w:p>
            <w:pPr>
              <w:spacing w:after="0"/>
              <w:rPr>
                <w:sz w:val="24"/>
                <w:szCs w:val="24"/>
                <w:color w:val="auto"/>
              </w:rPr>
            </w:pPr>
          </w:p>
        </w:tc>
        <w:tc>
          <w:tcPr>
            <w:tcW w:w="3220" w:type="dxa"/>
            <w:vAlign w:val="bottom"/>
            <w:gridSpan w:val="2"/>
          </w:tcPr>
          <w:p>
            <w:pPr>
              <w:jc w:val="center"/>
              <w:ind w:right="1180"/>
              <w:spacing w:after="0"/>
              <w:rPr>
                <w:sz w:val="20"/>
                <w:szCs w:val="20"/>
                <w:color w:val="auto"/>
              </w:rPr>
            </w:pPr>
            <w:r>
              <w:rPr>
                <w:rFonts w:ascii="Arial" w:cs="Arial" w:eastAsia="Arial" w:hAnsi="Arial"/>
                <w:sz w:val="30"/>
                <w:szCs w:val="30"/>
                <w:b w:val="1"/>
                <w:bCs w:val="1"/>
                <w:color w:val="auto"/>
              </w:rPr>
              <w:t>BTIG</w:t>
            </w:r>
          </w:p>
        </w:tc>
        <w:tc>
          <w:tcPr>
            <w:tcW w:w="2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126365</wp:posOffset>
            </wp:positionV>
            <wp:extent cx="1307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ectPr>
          <w:pgSz w:w="11900" w:h="16838" w:orient="portrait"/>
          <w:cols w:equalWidth="0" w:num="1">
            <w:col w:w="10740"/>
          </w:cols>
          <w:pgMar w:left="320" w:top="437" w:right="839" w:bottom="1440" w:gutter="0" w:footer="0" w:header="0"/>
        </w:sectPr>
      </w:pPr>
    </w:p>
    <w:p>
      <w:pPr>
        <w:spacing w:after="0" w:line="400" w:lineRule="exact"/>
        <w:rPr>
          <w:sz w:val="20"/>
          <w:szCs w:val="20"/>
          <w:color w:val="auto"/>
        </w:rPr>
      </w:pPr>
    </w:p>
    <w:p>
      <w:pPr>
        <w:ind w:left="4060"/>
        <w:spacing w:after="0"/>
        <w:tabs>
          <w:tab w:leader="none" w:pos="6700" w:val="left"/>
        </w:tabs>
        <w:rPr>
          <w:sz w:val="20"/>
          <w:szCs w:val="20"/>
          <w:color w:val="auto"/>
        </w:rPr>
      </w:pPr>
      <w:r>
        <w:rPr>
          <w:rFonts w:ascii="Arial" w:cs="Arial" w:eastAsia="Arial" w:hAnsi="Arial"/>
          <w:sz w:val="17"/>
          <w:szCs w:val="17"/>
          <w:color w:val="auto"/>
        </w:rPr>
        <w:t>The date of this prospectus is</w:t>
      </w:r>
      <w:r>
        <w:rPr>
          <w:sz w:val="20"/>
          <w:szCs w:val="20"/>
          <w:color w:val="auto"/>
        </w:rPr>
        <w:tab/>
      </w:r>
      <w:r>
        <w:rPr>
          <w:rFonts w:ascii="Arial" w:cs="Arial" w:eastAsia="Arial" w:hAnsi="Arial"/>
          <w:sz w:val="15"/>
          <w:szCs w:val="15"/>
          <w:color w:val="auto"/>
        </w:rPr>
        <w:t>, 2020.</w:t>
      </w:r>
    </w:p>
    <w:p>
      <w:pPr>
        <w:sectPr>
          <w:pgSz w:w="11900" w:h="16838" w:orient="portrait"/>
          <w:cols w:equalWidth="0" w:num="1">
            <w:col w:w="10740"/>
          </w:cols>
          <w:pgMar w:left="320" w:top="437" w:right="8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TABLE OF CONTENTS</w:t>
      </w:r>
    </w:p>
    <w:p>
      <w:pPr>
        <w:spacing w:after="0" w:line="228"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9900" w:type="dxa"/>
            <w:vAlign w:val="bottom"/>
            <w:vMerge w:val="restart"/>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81"/>
        </w:trPr>
        <w:tc>
          <w:tcPr>
            <w:tcW w:w="9900" w:type="dxa"/>
            <w:vAlign w:val="bottom"/>
            <w:vMerge w:val="continue"/>
          </w:tcPr>
          <w:p>
            <w:pPr>
              <w:spacing w:after="0"/>
              <w:rPr>
                <w:sz w:val="15"/>
                <w:szCs w:val="15"/>
                <w:color w:val="auto"/>
              </w:rPr>
            </w:pPr>
          </w:p>
        </w:tc>
        <w:tc>
          <w:tcPr>
            <w:tcW w:w="2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RISK FACTORS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SPECIAL NOTE REGARDING FORWARD-LOOKING STATEMENTS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MARKET AND INDUSTRY DATA</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USE OF PROCEEDS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86">
              <w:r>
                <w:rPr>
                  <w:rFonts w:ascii="Arial" w:cs="Arial" w:eastAsia="Arial" w:hAnsi="Arial"/>
                  <w:sz w:val="17"/>
                  <w:szCs w:val="17"/>
                  <w:u w:val="single" w:color="auto"/>
                  <w:color w:val="0000EE"/>
                </w:rPr>
                <w:t>DIVIDEND POLICY</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CAPITALIZATION</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DILUTION</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SELECTED CONSOLIDATED FINANCIAL DATA</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MANAGEMENT’S DISCUSSION AND ANALYSIS OF FINANCIAL CONDITION AND RESULTS OF OPERATIONS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BUSINESS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107</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MANAGEMENT</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141</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EXECUTIVE AND DIRECTOR COMPENSATION</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148</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CERTAIN RELATIONSHIPS AND RELATED PARTY TRANSACTIONS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162</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69">
              <w:r>
                <w:rPr>
                  <w:rFonts w:ascii="Arial" w:cs="Arial" w:eastAsia="Arial" w:hAnsi="Arial"/>
                  <w:sz w:val="17"/>
                  <w:szCs w:val="17"/>
                  <w:u w:val="single" w:color="auto"/>
                  <w:color w:val="0000EE"/>
                </w:rPr>
                <w:t>PRINCIPAL STOCKHOLDERS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166</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73">
              <w:r>
                <w:rPr>
                  <w:rFonts w:ascii="Arial" w:cs="Arial" w:eastAsia="Arial" w:hAnsi="Arial"/>
                  <w:sz w:val="17"/>
                  <w:szCs w:val="17"/>
                  <w:u w:val="single" w:color="auto"/>
                  <w:color w:val="0000EE"/>
                </w:rPr>
                <w:t>DESCRIPTION OF CAPITAL STOCK</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170</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SHARES ELIGIBLE FOR FUTURE SALE</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176</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MATERIAL U.S. FEDERAL INCOME TAX CONSEQUENCES TO NON-U.S. HOLDERS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179</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86">
              <w:r>
                <w:rPr>
                  <w:rFonts w:ascii="Arial" w:cs="Arial" w:eastAsia="Arial" w:hAnsi="Arial"/>
                  <w:sz w:val="17"/>
                  <w:szCs w:val="17"/>
                  <w:u w:val="single" w:color="auto"/>
                  <w:color w:val="0000EE"/>
                </w:rPr>
                <w:t>UNDERWRITING</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183</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94">
              <w:r>
                <w:rPr>
                  <w:rFonts w:ascii="Arial" w:cs="Arial" w:eastAsia="Arial" w:hAnsi="Arial"/>
                  <w:sz w:val="17"/>
                  <w:szCs w:val="17"/>
                  <w:u w:val="single" w:color="auto"/>
                  <w:color w:val="0000EE"/>
                </w:rPr>
                <w:t>LEGAL MATTERS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191</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94">
              <w:r>
                <w:rPr>
                  <w:rFonts w:ascii="Arial" w:cs="Arial" w:eastAsia="Arial" w:hAnsi="Arial"/>
                  <w:sz w:val="17"/>
                  <w:szCs w:val="17"/>
                  <w:u w:val="single" w:color="auto"/>
                  <w:color w:val="0000EE"/>
                </w:rPr>
                <w:t>EXPERTS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191</w:t>
            </w:r>
          </w:p>
        </w:tc>
        <w:tc>
          <w:tcPr>
            <w:tcW w:w="0" w:type="dxa"/>
            <w:vAlign w:val="bottom"/>
          </w:tcPr>
          <w:p>
            <w:pPr>
              <w:spacing w:after="0"/>
              <w:rPr>
                <w:sz w:val="1"/>
                <w:szCs w:val="1"/>
                <w:color w:val="auto"/>
              </w:rPr>
            </w:pPr>
          </w:p>
        </w:tc>
      </w:tr>
      <w:tr>
        <w:trPr>
          <w:trHeight w:val="201"/>
        </w:trPr>
        <w:tc>
          <w:tcPr>
            <w:tcW w:w="9900" w:type="dxa"/>
            <w:vAlign w:val="bottom"/>
          </w:tcPr>
          <w:p>
            <w:pPr>
              <w:spacing w:after="0"/>
              <w:rPr>
                <w:rFonts w:ascii="Arial" w:cs="Arial" w:eastAsia="Arial" w:hAnsi="Arial"/>
                <w:sz w:val="17"/>
                <w:szCs w:val="17"/>
                <w:u w:val="single" w:color="auto"/>
                <w:color w:val="0000EE"/>
              </w:rPr>
            </w:pPr>
            <w:hyperlink w:anchor="page194">
              <w:r>
                <w:rPr>
                  <w:rFonts w:ascii="Arial" w:cs="Arial" w:eastAsia="Arial" w:hAnsi="Arial"/>
                  <w:sz w:val="17"/>
                  <w:szCs w:val="17"/>
                  <w:u w:val="single" w:color="auto"/>
                  <w:color w:val="0000EE"/>
                </w:rPr>
                <w:t>WHERE YOU CAN FIND MORE INFORMATION</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8"/>
              </w:rPr>
              <w:t>191</w:t>
            </w:r>
          </w:p>
        </w:tc>
        <w:tc>
          <w:tcPr>
            <w:tcW w:w="0" w:type="dxa"/>
            <w:vAlign w:val="bottom"/>
          </w:tcPr>
          <w:p>
            <w:pPr>
              <w:spacing w:after="0"/>
              <w:rPr>
                <w:sz w:val="1"/>
                <w:szCs w:val="1"/>
                <w:color w:val="auto"/>
              </w:rPr>
            </w:pPr>
          </w:p>
        </w:tc>
      </w:tr>
      <w:tr>
        <w:trPr>
          <w:trHeight w:val="213"/>
        </w:trPr>
        <w:tc>
          <w:tcPr>
            <w:tcW w:w="9900" w:type="dxa"/>
            <w:vAlign w:val="bottom"/>
          </w:tcPr>
          <w:p>
            <w:pPr>
              <w:spacing w:after="0"/>
              <w:rPr>
                <w:rFonts w:ascii="Arial" w:cs="Arial" w:eastAsia="Arial" w:hAnsi="Arial"/>
                <w:sz w:val="17"/>
                <w:szCs w:val="17"/>
                <w:u w:val="single" w:color="auto"/>
                <w:color w:val="0000EE"/>
              </w:rPr>
            </w:pPr>
            <w:hyperlink w:anchor="page195">
              <w:r>
                <w:rPr>
                  <w:rFonts w:ascii="Arial" w:cs="Arial" w:eastAsia="Arial" w:hAnsi="Arial"/>
                  <w:sz w:val="17"/>
                  <w:szCs w:val="17"/>
                  <w:u w:val="single" w:color="auto"/>
                  <w:color w:val="0000EE"/>
                </w:rPr>
                <w:t>INDEX TO FINANCIAL STATEMENTS</w:t>
              </w:r>
            </w:hyperlink>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207645</wp:posOffset>
            </wp:positionV>
            <wp:extent cx="1307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500" w:firstLine="819"/>
        <w:spacing w:after="0" w:line="290" w:lineRule="auto"/>
        <w:rPr>
          <w:sz w:val="20"/>
          <w:szCs w:val="20"/>
          <w:color w:val="auto"/>
        </w:rPr>
      </w:pPr>
      <w:r>
        <w:rPr>
          <w:rFonts w:ascii="Arial" w:cs="Arial" w:eastAsia="Arial" w:hAnsi="Arial"/>
          <w:sz w:val="15"/>
          <w:szCs w:val="15"/>
          <w:color w:val="auto"/>
        </w:rPr>
        <w:t>Neither we nor the underwriters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55" w:lineRule="exact"/>
        <w:rPr>
          <w:sz w:val="20"/>
          <w:szCs w:val="20"/>
          <w:color w:val="auto"/>
        </w:rPr>
      </w:pPr>
    </w:p>
    <w:p>
      <w:pPr>
        <w:ind w:left="500" w:right="20" w:firstLine="819"/>
        <w:spacing w:after="0" w:line="251" w:lineRule="auto"/>
        <w:rPr>
          <w:sz w:val="20"/>
          <w:szCs w:val="20"/>
          <w:color w:val="auto"/>
        </w:rPr>
      </w:pPr>
      <w:r>
        <w:rPr>
          <w:rFonts w:ascii="Arial" w:cs="Arial" w:eastAsia="Arial" w:hAnsi="Arial"/>
          <w:sz w:val="17"/>
          <w:szCs w:val="17"/>
          <w:color w:val="auto"/>
        </w:rPr>
        <w:t xml:space="preserve">We have proprietary rights to trademarks, trade names and service marks appearing in this prospectus that are important to our business. Solely for convenience, the trademarks, trade names and service marks may appear in this prospectus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prospectus are the property of their respective owners.</w:t>
      </w:r>
    </w:p>
    <w:p>
      <w:pPr>
        <w:spacing w:after="0" w:line="183"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700"/>
          </w:cols>
          <w:pgMar w:left="320" w:top="437" w:right="8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5879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08750" cy="587946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PROSPECTUS SUMMARY</w:t>
      </w:r>
    </w:p>
    <w:p>
      <w:pPr>
        <w:spacing w:after="0" w:line="210" w:lineRule="exact"/>
        <w:rPr>
          <w:sz w:val="20"/>
          <w:szCs w:val="20"/>
          <w:color w:val="auto"/>
        </w:rPr>
      </w:pPr>
    </w:p>
    <w:p>
      <w:pPr>
        <w:ind w:left="680" w:right="80" w:firstLine="792"/>
        <w:spacing w:after="0" w:line="298" w:lineRule="auto"/>
        <w:rPr>
          <w:sz w:val="20"/>
          <w:szCs w:val="20"/>
          <w:color w:val="auto"/>
        </w:rPr>
      </w:pPr>
      <w:r>
        <w:rPr>
          <w:rFonts w:ascii="Arial" w:cs="Arial" w:eastAsia="Arial" w:hAnsi="Arial"/>
          <w:sz w:val="15"/>
          <w:szCs w:val="15"/>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section beginning on page 13 and our consolidated financial statements and the related notes appearing at the end of this prospectus, before deciding to invest in our common stock.</w:t>
      </w:r>
    </w:p>
    <w:p>
      <w:pPr>
        <w:spacing w:after="0" w:line="148" w:lineRule="exact"/>
        <w:rPr>
          <w:sz w:val="20"/>
          <w:szCs w:val="20"/>
          <w:color w:val="auto"/>
        </w:rPr>
      </w:pPr>
    </w:p>
    <w:p>
      <w:pPr>
        <w:ind w:left="680" w:right="20" w:firstLine="792"/>
        <w:spacing w:after="0" w:line="268" w:lineRule="auto"/>
        <w:rPr>
          <w:sz w:val="20"/>
          <w:szCs w:val="20"/>
          <w:color w:val="auto"/>
        </w:rPr>
      </w:pPr>
      <w:r>
        <w:rPr>
          <w:rFonts w:ascii="Arial" w:cs="Arial" w:eastAsia="Arial" w:hAnsi="Arial"/>
          <w:sz w:val="17"/>
          <w:szCs w:val="17"/>
          <w:i w:val="1"/>
          <w:iCs w:val="1"/>
          <w:color w:val="auto"/>
        </w:rPr>
        <w:t>As used in this prospectus, unless the context otherwise requires, references to “we,” “us,” “our” and “Lyra” refer to the consolidated operations of Lyra Therapeutics, Inc. and its subsidiary.</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Overview</w:t>
      </w:r>
    </w:p>
    <w:p>
      <w:pPr>
        <w:spacing w:after="0" w:line="210" w:lineRule="exact"/>
        <w:rPr>
          <w:sz w:val="20"/>
          <w:szCs w:val="20"/>
          <w:color w:val="auto"/>
        </w:rPr>
      </w:pPr>
    </w:p>
    <w:p>
      <w:pPr>
        <w:ind w:left="680" w:right="20" w:firstLine="792"/>
        <w:spacing w:after="0" w:line="282" w:lineRule="auto"/>
        <w:rPr>
          <w:sz w:val="20"/>
          <w:szCs w:val="20"/>
          <w:color w:val="auto"/>
        </w:rPr>
      </w:pPr>
      <w:r>
        <w:rPr>
          <w:rFonts w:ascii="Arial" w:cs="Arial" w:eastAsia="Arial" w:hAnsi="Arial"/>
          <w:sz w:val="15"/>
          <w:szCs w:val="15"/>
          <w:color w:val="auto"/>
        </w:rPr>
        <w:t>We are a clinical-stage therapeutics company focused on the development and commercialization of novel integrated drug and delivery solutions for the localized treatment of patients with ear, nose and throat, or ENT, diseases. Our proprietary technology platform, XTreo, is designed to precisely and consistently deliver medicines directly to the affected tissue for sustained periods with a single administration. Our initial product candidates, LYR-210 and LYR-220, are bioresorbable polymeric matrices designed to be administered in a brief, non-invasive, in-office procedure and intended to deliver up to six months of continuous drug therapy to the sinonasal passages for the treatment of chronic rhinosinusitis, or CRS. The therapeutic embedded within LYR-210 and LYR-220 is mometasone furoate, or MF, which is the active ingredient in various U.S. Food and Drug Administration, or FDA, approved drugs and has a well-established efficacy and safety profile. CRS is an inflammatory disease of the paranasal sinuses which leads to debilitating symptoms and significant morbidities and affects approximately 14 million people in the United States. We are advancing LYR-210 as a potential preferred alternative to surgery in an ongoing Phase 2 clinical trial, which we refer to as our LANTERN clinical trial, for CRS patients who have failed medical management, and, subject to the impact of the disease caused by the novel coronavirus, or COVID-19, on our business, we expect to report topline data by the end of 2020. In our Phase 1 clinical trial, LYR-210 met its primary safety endpoint, and we observed that patients generally experienced significant and rapid, clinically meaningful and durable improvement in SNOT-22 scores, an established patient symptom severity scale, through week 25, which was the end of the trial. We are also developing LYR-220 for use in CRS patients who have an enlarged nasal cavity due to sinus surgery but continue to require treatment to manage CRS symptoms, and, subject to the impact of COVID-19 on our business, we intend to initiate a proof-of-concept clinical trial for LYR-220 by the end of 2021. Beyond CRS, we believe our XTreo platform has potential applications in other disease areas, which we are actively exploring to further broaden its therapeutic potential.</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Chronic Rhinosinusitis: A Prevalent Disease with High Unmet Medical Needs</w:t>
      </w:r>
    </w:p>
    <w:p>
      <w:pPr>
        <w:spacing w:after="0" w:line="210" w:lineRule="exact"/>
        <w:rPr>
          <w:sz w:val="20"/>
          <w:szCs w:val="20"/>
          <w:color w:val="auto"/>
        </w:rPr>
      </w:pPr>
    </w:p>
    <w:p>
      <w:pPr>
        <w:ind w:left="680" w:firstLine="792"/>
        <w:spacing w:after="0" w:line="268" w:lineRule="auto"/>
        <w:rPr>
          <w:sz w:val="20"/>
          <w:szCs w:val="20"/>
          <w:color w:val="auto"/>
        </w:rPr>
      </w:pPr>
      <w:r>
        <w:rPr>
          <w:rFonts w:ascii="Arial" w:cs="Arial" w:eastAsia="Arial" w:hAnsi="Arial"/>
          <w:sz w:val="16"/>
          <w:szCs w:val="16"/>
          <w:color w:val="auto"/>
        </w:rPr>
        <w:t>CRS has been described in the literature as an “unrecognized epidemic” due to its high prevalence, its substantial impact on patient quality of life and the significant limitations of currently available treatment options. We estimate that sinusitis, which includes both CRS and acute rhinosinusitis, impacts approximately 12% of the adult population in the United States, or approximately 30 million people, making it the fifth most common condition in people under the age of 65 and more prevalent than diabetes or heart disease. Of this population, we estimate that approximately 14 million people are affected with CRS. Moreover, we estimate that approximately 8 million people are treated for CRS by physicians annually, of which approximately 4 million fail medical management every year. In the United States, over $60 billion is spent annually in direct treatment costs for sinusitis, including approximately $5 billion on sinus surgeries.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Current Treatments and Their Limitations</w:t>
      </w:r>
    </w:p>
    <w:p>
      <w:pPr>
        <w:spacing w:after="0" w:line="210" w:lineRule="exact"/>
        <w:rPr>
          <w:sz w:val="20"/>
          <w:szCs w:val="20"/>
          <w:color w:val="auto"/>
        </w:rPr>
      </w:pPr>
    </w:p>
    <w:p>
      <w:pPr>
        <w:ind w:left="680" w:right="180" w:firstLine="792"/>
        <w:spacing w:after="0" w:line="268" w:lineRule="auto"/>
        <w:rPr>
          <w:sz w:val="20"/>
          <w:szCs w:val="20"/>
          <w:color w:val="auto"/>
        </w:rPr>
      </w:pPr>
      <w:r>
        <w:rPr>
          <w:rFonts w:ascii="Arial" w:cs="Arial" w:eastAsia="Arial" w:hAnsi="Arial"/>
          <w:sz w:val="17"/>
          <w:szCs w:val="17"/>
          <w:color w:val="auto"/>
        </w:rPr>
        <w:t>Current treatments are directed towards managing the symptoms of CRS through a combination of medical management and surgical intervention techniques. The first line of therapy is medical management</w:t>
      </w:r>
    </w:p>
    <w:p>
      <w:pPr>
        <w:spacing w:after="0" w:line="200" w:lineRule="exact"/>
        <w:rPr>
          <w:sz w:val="20"/>
          <w:szCs w:val="20"/>
          <w:color w:val="auto"/>
        </w:rPr>
      </w:pP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60"/>
          </w:cols>
          <w:pgMar w:left="320" w:top="437" w:right="10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6054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08750" cy="60547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80"/>
        <w:spacing w:after="0" w:line="251" w:lineRule="auto"/>
        <w:rPr>
          <w:sz w:val="20"/>
          <w:szCs w:val="20"/>
          <w:color w:val="auto"/>
        </w:rPr>
      </w:pPr>
      <w:r>
        <w:rPr>
          <w:rFonts w:ascii="Arial" w:cs="Arial" w:eastAsia="Arial" w:hAnsi="Arial"/>
          <w:sz w:val="17"/>
          <w:szCs w:val="17"/>
          <w:color w:val="auto"/>
        </w:rPr>
        <w:t>involving nasal saline irrigation, intranasal corticosteroidal sprays, oral steroids and antibiotics for patients with an active sinus infection. However, these treatments have significant limitations. Topical steroid sprays have poor efficacy due to their limited ability to reach the site of the disease, fast clearance of drug from the site of delivery and poor patient compliance. Prolonged use of oral steroids may lead to systemic complications which limit their use to short courses. Based on published medical literature, we estimate at least 50% of CRS patients who are seen by ENT physicians and receive medical management remain symptomatic.</w:t>
      </w:r>
    </w:p>
    <w:p>
      <w:pPr>
        <w:spacing w:after="0" w:line="183" w:lineRule="exact"/>
        <w:rPr>
          <w:sz w:val="20"/>
          <w:szCs w:val="20"/>
          <w:color w:val="auto"/>
        </w:rPr>
      </w:pPr>
    </w:p>
    <w:p>
      <w:pPr>
        <w:ind w:left="680" w:firstLine="792"/>
        <w:spacing w:after="0" w:line="268" w:lineRule="auto"/>
        <w:rPr>
          <w:sz w:val="20"/>
          <w:szCs w:val="20"/>
          <w:color w:val="auto"/>
        </w:rPr>
      </w:pPr>
      <w:r>
        <w:rPr>
          <w:rFonts w:ascii="Arial" w:cs="Arial" w:eastAsia="Arial" w:hAnsi="Arial"/>
          <w:sz w:val="16"/>
          <w:szCs w:val="16"/>
          <w:color w:val="auto"/>
        </w:rPr>
        <w:t>Patients whose symptoms persist despite medical management are generally recommended to undergo functional endoscopic sinus surgery (or FESS) or balloon sinus dilation (or BSD), or both. FESS is a highly invasive surgery performed in the operating room, under full anesthesia, to open the blocked sinus pathways by removing inflamed tissue and bone using surgical tools. BSD is a less severe form of endoscopic sinus surgery, often used in combination with FESS, in which small balloon catheters are inserted and inflated to drain the large nasal sinuses. Although FESS and BSD can improve symptoms and quality of life, limitations remain. Neither correct the underlying cause of the inflammation, and patients who undergo either or both procedures often experience significant pain and require continued post-operative medical therapy to maintain improvements, with a high incidence of repeat surgeries.</w:t>
      </w:r>
    </w:p>
    <w:p>
      <w:pPr>
        <w:spacing w:after="0" w:line="169" w:lineRule="exact"/>
        <w:rPr>
          <w:sz w:val="20"/>
          <w:szCs w:val="20"/>
          <w:color w:val="auto"/>
        </w:rPr>
      </w:pPr>
    </w:p>
    <w:p>
      <w:pPr>
        <w:ind w:left="680" w:right="20" w:firstLine="792"/>
        <w:spacing w:after="0" w:line="250" w:lineRule="auto"/>
        <w:rPr>
          <w:sz w:val="20"/>
          <w:szCs w:val="20"/>
          <w:color w:val="auto"/>
        </w:rPr>
      </w:pPr>
      <w:r>
        <w:rPr>
          <w:rFonts w:ascii="Arial" w:cs="Arial" w:eastAsia="Arial" w:hAnsi="Arial"/>
          <w:sz w:val="17"/>
          <w:szCs w:val="17"/>
          <w:color w:val="auto"/>
        </w:rPr>
        <w:t>CRS has two phenotypes: CRS with nasal polyps and CRS without nasal polyps, with the non-polyp form representing approximately 70%-to-90% of all CRS patients. For patients with nasal polyps who remain symptomatic following surgery, who we refer to as refractory patients, there are non-surgical options, such as a steroid-eluting stent and a monoclonal antibody. However, each of these treatments has limitations. The steroid-eluting stent has only a three month elution profile. Meanwhile, the antibody treatment is reserved for only the most refractory patients, has an unknown long-term systemic safety profile and is priced at a significant premium even when compared to surgical options. Currently, there are no FDA-approved drug therapies for CRS for non-polyp patients, although some drugs approved for nasal polyps are used off-label in this population.</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Our XTreo Platform</w:t>
      </w:r>
    </w:p>
    <w:p>
      <w:pPr>
        <w:spacing w:after="0" w:line="210" w:lineRule="exact"/>
        <w:rPr>
          <w:sz w:val="20"/>
          <w:szCs w:val="20"/>
          <w:color w:val="auto"/>
        </w:rPr>
      </w:pPr>
    </w:p>
    <w:p>
      <w:pPr>
        <w:ind w:left="680" w:right="120" w:firstLine="792"/>
        <w:spacing w:after="0" w:line="257" w:lineRule="auto"/>
        <w:rPr>
          <w:sz w:val="20"/>
          <w:szCs w:val="20"/>
          <w:color w:val="auto"/>
        </w:rPr>
      </w:pPr>
      <w:r>
        <w:rPr>
          <w:rFonts w:ascii="Arial" w:cs="Arial" w:eastAsia="Arial" w:hAnsi="Arial"/>
          <w:sz w:val="17"/>
          <w:szCs w:val="17"/>
          <w:color w:val="auto"/>
        </w:rPr>
        <w:t>XTreo, our innovative and proprietary drug delivery platform, is designed to locally and continuously deliver small molecule drugs to the affected tissue over a sustained period of time from a single administration. The platform is comprised of three interrelated technology components:</w:t>
      </w:r>
    </w:p>
    <w:p>
      <w:pPr>
        <w:spacing w:after="0" w:line="201" w:lineRule="exact"/>
        <w:rPr>
          <w:sz w:val="20"/>
          <w:szCs w:val="20"/>
          <w:color w:val="auto"/>
        </w:rPr>
      </w:pPr>
    </w:p>
    <w:p>
      <w:pPr>
        <w:ind w:left="1820" w:right="140" w:hanging="269"/>
        <w:spacing w:after="0" w:line="268"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biocompatible mesh scaffold, which is designed to maximize surface area for drug release while maintaining underlying tissue function;</w:t>
      </w:r>
    </w:p>
    <w:p>
      <w:pPr>
        <w:spacing w:after="0" w:line="191" w:lineRule="exact"/>
        <w:rPr>
          <w:rFonts w:ascii="Arial" w:cs="Arial" w:eastAsia="Arial" w:hAnsi="Arial"/>
          <w:sz w:val="17"/>
          <w:szCs w:val="17"/>
          <w:color w:val="auto"/>
        </w:rPr>
      </w:pPr>
    </w:p>
    <w:p>
      <w:pPr>
        <w:ind w:left="1820" w:right="180" w:hanging="269"/>
        <w:spacing w:after="0" w:line="335" w:lineRule="auto"/>
        <w:tabs>
          <w:tab w:leader="none" w:pos="1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engineered elastomeric matrix, which means a polymeric matrix composed of polymers having elastic characteristics, which has advanced physical properties resulting in implants with “shape memory” that dynamically adapt to nasal anatomy; and</w:t>
      </w:r>
    </w:p>
    <w:p>
      <w:pPr>
        <w:spacing w:after="0" w:line="146" w:lineRule="exact"/>
        <w:rPr>
          <w:rFonts w:ascii="Arial" w:cs="Arial" w:eastAsia="Arial" w:hAnsi="Arial"/>
          <w:sz w:val="15"/>
          <w:szCs w:val="15"/>
          <w:color w:val="auto"/>
        </w:rPr>
      </w:pPr>
    </w:p>
    <w:p>
      <w:pPr>
        <w:ind w:left="1820" w:right="360" w:hanging="269"/>
        <w:spacing w:after="0" w:line="268"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versatile polymer-drug complex, which can be customized for the treatment of various chronic diseases treatable with ENT delivery to achieve the desired drug dose and drug elution rate.</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Our Solution for CRS</w:t>
      </w:r>
    </w:p>
    <w:p>
      <w:pPr>
        <w:spacing w:after="0" w:line="210" w:lineRule="exact"/>
        <w:rPr>
          <w:sz w:val="20"/>
          <w:szCs w:val="20"/>
          <w:color w:val="auto"/>
        </w:rPr>
      </w:pPr>
    </w:p>
    <w:p>
      <w:pPr>
        <w:ind w:left="680" w:right="240" w:firstLine="792"/>
        <w:spacing w:after="0" w:line="290" w:lineRule="auto"/>
        <w:rPr>
          <w:sz w:val="20"/>
          <w:szCs w:val="20"/>
          <w:color w:val="auto"/>
        </w:rPr>
      </w:pPr>
      <w:r>
        <w:rPr>
          <w:rFonts w:ascii="Arial" w:cs="Arial" w:eastAsia="Arial" w:hAnsi="Arial"/>
          <w:sz w:val="15"/>
          <w:szCs w:val="15"/>
          <w:color w:val="auto"/>
        </w:rPr>
        <w:t>LYR-210 is an anti-inflammatory implantable drug matrix based on our XTreo platform that is designed to consistently and locally elute MF to the inflamed mucosal tissue for up to six months in surgically-naïve CRS patients who fail medical management. MF, the active ingredient in various FDA-approved drugs, has a well-established efficacy and safety profile, which we believe will support the development process for LYR-210. LYR-210 is designed to enable sustained drug delivery at difficult-to-access nasal inflammation sites without the need for patient compliance, while avoiding systemic side effects associated with oral steroids. LYR-210 is designed to be administered in a brief, non-invasive, in-office procedure by an ENT physician under endoscopic visualization via a single-use applicator.</w:t>
      </w: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40"/>
          </w:cols>
          <w:pgMar w:left="320" w:top="437" w:right="10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5879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08750" cy="587946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80" w:firstLine="792"/>
        <w:spacing w:after="0" w:line="284" w:lineRule="auto"/>
        <w:rPr>
          <w:sz w:val="20"/>
          <w:szCs w:val="20"/>
          <w:color w:val="auto"/>
        </w:rPr>
      </w:pPr>
      <w:r>
        <w:rPr>
          <w:rFonts w:ascii="Arial" w:cs="Arial" w:eastAsia="Arial" w:hAnsi="Arial"/>
          <w:sz w:val="15"/>
          <w:szCs w:val="15"/>
          <w:color w:val="auto"/>
        </w:rPr>
        <w:t>LYR-210 is currently being studied in our Phase 2 randomized, sham procedure-controlled, patient-blinded LANTERN clinical trial, evaluating the safety and efficacy in surgically-naïve CRS patients who have failed previous medical management. The trial was designed to enroll 99 evaluable patients with the potential to increase to up to 150 patients and was initiated in May 2019 at sites in Australia, Austria, Czech Republic, New Zealand and Poland. In December 2019, the FDA cleared our investigational new drug application, and, prior to the COVID-19 pandemic, we planned to open new sites in the United States. However, in light of recent developments relating to the COVID-19 global pandemic, and as described below, we discontinued enrollment at 67 patients in our ongoing Phase 2 LANTERN clinical trial and do not expect to open any sites in the United States. We are leveraging remote electronic data collection to enable us to complete the clinical assessments and generate sufficient information to design our Phase 3 clinical trial. As of April 2020, there were no reported serious adverse events in the Phase 2 LANTERN clinical trial. Subject to the impact of COVID-19 on our business, we expect to report topline data from the Phase 2 LANTERN clinical trial by the end of 2020. LYR-210 was previously studied in an open-label, Phase 1 clinical trial with 20 patients in New Zealand and Australia and achieved its primary endpoint of safety at week 4. In the Phase 1 trial, we observed that patients generally experienced significant and rapid, clinically meaningful and durable improvement in SNOT-22 scores. Significant reduction in SNOT-22 scores was observed at week 1, and this reduction persisted through week 25, which was the end of the trial.</w:t>
      </w:r>
    </w:p>
    <w:p>
      <w:pPr>
        <w:spacing w:after="0" w:line="158" w:lineRule="exact"/>
        <w:rPr>
          <w:sz w:val="20"/>
          <w:szCs w:val="20"/>
          <w:color w:val="auto"/>
        </w:rPr>
      </w:pPr>
    </w:p>
    <w:p>
      <w:pPr>
        <w:ind w:left="680" w:right="160" w:firstLine="792"/>
        <w:spacing w:after="0" w:line="251" w:lineRule="auto"/>
        <w:rPr>
          <w:sz w:val="20"/>
          <w:szCs w:val="20"/>
          <w:color w:val="auto"/>
        </w:rPr>
      </w:pPr>
      <w:r>
        <w:rPr>
          <w:rFonts w:ascii="Arial" w:cs="Arial" w:eastAsia="Arial" w:hAnsi="Arial"/>
          <w:sz w:val="17"/>
          <w:szCs w:val="17"/>
          <w:color w:val="auto"/>
        </w:rPr>
        <w:t>We are developing our second pipeline product candidate, LYR-220, for use in CRS patients who continue to require treatment to manage CRS symptoms despite having had sinus surgery. LYR-220 is also designed to utilize MF, but will employ an oversized matrix designed for patients whose nasal cavity is enlarged due to sinus surgery. LYR-220 is designed as a potential preferred alternative to revision sinus surgery and post-surgical medical management. Subject to the impact of COVID-19 on our business, we expect to initiate a proof-of-concept clinical trial for LYR-220 by the end of 2021.</w:t>
      </w:r>
    </w:p>
    <w:p>
      <w:pPr>
        <w:spacing w:after="0" w:line="183" w:lineRule="exact"/>
        <w:rPr>
          <w:sz w:val="20"/>
          <w:szCs w:val="20"/>
          <w:color w:val="auto"/>
        </w:rPr>
      </w:pPr>
    </w:p>
    <w:p>
      <w:pPr>
        <w:ind w:left="680" w:right="80" w:firstLine="792"/>
        <w:spacing w:after="0" w:line="251" w:lineRule="auto"/>
        <w:rPr>
          <w:sz w:val="20"/>
          <w:szCs w:val="20"/>
          <w:color w:val="auto"/>
        </w:rPr>
      </w:pPr>
      <w:r>
        <w:rPr>
          <w:rFonts w:ascii="Arial" w:cs="Arial" w:eastAsia="Arial" w:hAnsi="Arial"/>
          <w:sz w:val="17"/>
          <w:szCs w:val="17"/>
          <w:color w:val="auto"/>
        </w:rPr>
        <w:t xml:space="preserve">We believe that the key potential benefits of our current investigational product portfolio, LYR-210 and LYR-220, include </w:t>
      </w:r>
      <w:r>
        <w:rPr>
          <w:rFonts w:ascii="Arial" w:cs="Arial" w:eastAsia="Arial" w:hAnsi="Arial"/>
          <w:sz w:val="17"/>
          <w:szCs w:val="17"/>
          <w:b w:val="1"/>
          <w:bCs w:val="1"/>
          <w:i w:val="1"/>
          <w:iCs w:val="1"/>
          <w:color w:val="auto"/>
        </w:rPr>
        <w:t>clinical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activity, patient compliance, patient experience, physician experience, localized delivery, patient applicability and pharmacoeconomic impact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LYR-210 and LYR-220, if approved, would be the only products able to deliver up to six months of continuous topical treatment in a single administration to treat the entire spectrum of CRS patients who fail medical management, including pre- and post-surgery patients and those with and without nasal polyps</w:t>
      </w:r>
      <w:r>
        <w:rPr>
          <w:rFonts w:ascii="Arial" w:cs="Arial" w:eastAsia="Arial" w:hAnsi="Arial"/>
          <w:sz w:val="17"/>
          <w:szCs w:val="17"/>
          <w:i w:val="1"/>
          <w:iCs w:val="1"/>
          <w:color w:val="auto"/>
        </w:rPr>
        <w:t>.</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Our Pipeline</w:t>
      </w:r>
    </w:p>
    <w:p>
      <w:pPr>
        <w:spacing w:after="0" w:line="21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The current status of our product candidates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60" w:hanging="388"/>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Anticipated clinical milestones are subject to the impact of COVID-19 on our business.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3</w:t>
      </w:r>
    </w:p>
    <w:p>
      <w:pPr>
        <w:sectPr>
          <w:pgSz w:w="11900" w:h="16838" w:orient="portrait"/>
          <w:cols w:equalWidth="0" w:num="1">
            <w:col w:w="10580"/>
          </w:cols>
          <w:pgMar w:left="320" w:top="437" w:right="9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5958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08750" cy="595884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Our Strategy</w:t>
      </w:r>
    </w:p>
    <w:p>
      <w:pPr>
        <w:spacing w:after="0" w:line="210" w:lineRule="exact"/>
        <w:rPr>
          <w:sz w:val="20"/>
          <w:szCs w:val="20"/>
          <w:color w:val="auto"/>
        </w:rPr>
      </w:pPr>
    </w:p>
    <w:p>
      <w:pPr>
        <w:jc w:val="both"/>
        <w:ind w:left="680" w:firstLine="792"/>
        <w:spacing w:after="0" w:line="335" w:lineRule="auto"/>
        <w:rPr>
          <w:sz w:val="20"/>
          <w:szCs w:val="20"/>
          <w:color w:val="auto"/>
        </w:rPr>
      </w:pPr>
      <w:r>
        <w:rPr>
          <w:rFonts w:ascii="Arial" w:cs="Arial" w:eastAsia="Arial" w:hAnsi="Arial"/>
          <w:sz w:val="15"/>
          <w:szCs w:val="15"/>
          <w:color w:val="auto"/>
        </w:rPr>
        <w:t>Our mission is to transform the ENT treatment paradigm by utilizing our proprietary drug delivery platform, XTreo, to develop safe and effective therapies for the treatment of debilitating diseases treatable with ENT delivery. We intend to achieve this through the following strategies:</w:t>
      </w:r>
    </w:p>
    <w:p>
      <w:pPr>
        <w:spacing w:after="0" w:line="146" w:lineRule="exact"/>
        <w:rPr>
          <w:sz w:val="20"/>
          <w:szCs w:val="20"/>
          <w:color w:val="auto"/>
        </w:rPr>
      </w:pPr>
    </w:p>
    <w:p>
      <w:pPr>
        <w:ind w:left="1820" w:hanging="269"/>
        <w:spacing w:after="0"/>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Complete the development and secure FDA approval of LYR-210 for the treatment of CRS.</w:t>
      </w:r>
    </w:p>
    <w:p>
      <w:pPr>
        <w:spacing w:after="0" w:line="231" w:lineRule="exact"/>
        <w:rPr>
          <w:rFonts w:ascii="Arial" w:cs="Arial" w:eastAsia="Arial" w:hAnsi="Arial"/>
          <w:sz w:val="17"/>
          <w:szCs w:val="17"/>
          <w:color w:val="auto"/>
        </w:rPr>
      </w:pPr>
    </w:p>
    <w:p>
      <w:pPr>
        <w:ind w:left="1820" w:right="120" w:hanging="269"/>
        <w:spacing w:after="0" w:line="268"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Advance our second product candidate, LYR-220, into the clinic to provide a comprehensive solution for CRS patients who have failed medical management and surgery.</w:t>
      </w:r>
    </w:p>
    <w:p>
      <w:pPr>
        <w:spacing w:after="0" w:line="191" w:lineRule="exact"/>
        <w:rPr>
          <w:rFonts w:ascii="Arial" w:cs="Arial" w:eastAsia="Arial" w:hAnsi="Arial"/>
          <w:sz w:val="17"/>
          <w:szCs w:val="17"/>
          <w:color w:val="auto"/>
        </w:rPr>
      </w:pPr>
    </w:p>
    <w:p>
      <w:pPr>
        <w:ind w:left="1820" w:hanging="269"/>
        <w:spacing w:after="0"/>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Build a commercialization infrastructure in the U.S. market for LYR-210 and LYR-220.</w:t>
      </w:r>
    </w:p>
    <w:p>
      <w:pPr>
        <w:spacing w:after="0" w:line="231" w:lineRule="exact"/>
        <w:rPr>
          <w:rFonts w:ascii="Arial" w:cs="Arial" w:eastAsia="Arial" w:hAnsi="Arial"/>
          <w:sz w:val="17"/>
          <w:szCs w:val="17"/>
          <w:color w:val="auto"/>
        </w:rPr>
      </w:pPr>
    </w:p>
    <w:p>
      <w:pPr>
        <w:ind w:left="1820" w:hanging="269"/>
        <w:spacing w:after="0"/>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Maximize the value of our XTreo platform and expand our product pipeline.</w:t>
      </w:r>
    </w:p>
    <w:p>
      <w:pPr>
        <w:spacing w:after="0" w:line="231" w:lineRule="exact"/>
        <w:rPr>
          <w:rFonts w:ascii="Arial" w:cs="Arial" w:eastAsia="Arial" w:hAnsi="Arial"/>
          <w:sz w:val="17"/>
          <w:szCs w:val="17"/>
          <w:color w:val="auto"/>
        </w:rPr>
      </w:pPr>
    </w:p>
    <w:p>
      <w:pPr>
        <w:ind w:left="1820" w:hanging="269"/>
        <w:spacing w:after="0"/>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Seek strategic collaborative relationships.</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Intellectual Property and Barriers to Entry</w:t>
      </w:r>
    </w:p>
    <w:p>
      <w:pPr>
        <w:spacing w:after="0" w:line="210" w:lineRule="exact"/>
        <w:rPr>
          <w:sz w:val="20"/>
          <w:szCs w:val="20"/>
          <w:color w:val="auto"/>
        </w:rPr>
      </w:pPr>
    </w:p>
    <w:p>
      <w:pPr>
        <w:jc w:val="both"/>
        <w:ind w:left="680" w:right="80" w:firstLine="792"/>
        <w:spacing w:after="0" w:line="253" w:lineRule="auto"/>
        <w:rPr>
          <w:sz w:val="20"/>
          <w:szCs w:val="20"/>
          <w:color w:val="auto"/>
        </w:rPr>
      </w:pPr>
      <w:r>
        <w:rPr>
          <w:rFonts w:ascii="Arial" w:cs="Arial" w:eastAsia="Arial" w:hAnsi="Arial"/>
          <w:sz w:val="17"/>
          <w:szCs w:val="17"/>
          <w:color w:val="auto"/>
        </w:rPr>
        <w:t>We own all the material intellectual property rights related to our platform and product candidate portfolio. As of March 31, 2020, our product and product candidate portfolio is protected by 23 issued and 25 pending patents worldwide with claims directed to composition of matter, drug delivery and method of use, which, exclusive of possible patent term adjustments or extensions or other forms of exclusivity, are projected to expire between 2030 and 2037.</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Management Team and Investors</w:t>
      </w:r>
    </w:p>
    <w:p>
      <w:pPr>
        <w:spacing w:after="0" w:line="210" w:lineRule="exact"/>
        <w:rPr>
          <w:sz w:val="20"/>
          <w:szCs w:val="20"/>
          <w:color w:val="auto"/>
        </w:rPr>
      </w:pPr>
    </w:p>
    <w:p>
      <w:pPr>
        <w:ind w:left="680" w:right="160" w:firstLine="792"/>
        <w:spacing w:after="0" w:line="274" w:lineRule="auto"/>
        <w:rPr>
          <w:sz w:val="20"/>
          <w:szCs w:val="20"/>
          <w:color w:val="auto"/>
        </w:rPr>
      </w:pPr>
      <w:r>
        <w:rPr>
          <w:rFonts w:ascii="Arial" w:cs="Arial" w:eastAsia="Arial" w:hAnsi="Arial"/>
          <w:sz w:val="16"/>
          <w:szCs w:val="16"/>
          <w:color w:val="auto"/>
        </w:rPr>
        <w:t>Our management team has extensive drug development, manufacturing and commercialization experience across a broad spectrum of disease areas, for both drug and drug-device combination products, with a successful track record in large pharmaceutical, medical device and biotech companies. Additionally, our management team has been involved in the development of successfully approved and commercialized products such as Taxus (drug-eluting stent), AvoneX, Arikayce and Panhematin.</w:t>
      </w:r>
    </w:p>
    <w:p>
      <w:pPr>
        <w:spacing w:after="0" w:line="164" w:lineRule="exact"/>
        <w:rPr>
          <w:sz w:val="20"/>
          <w:szCs w:val="20"/>
          <w:color w:val="auto"/>
        </w:rPr>
      </w:pPr>
    </w:p>
    <w:p>
      <w:pPr>
        <w:ind w:left="680" w:right="220" w:firstLine="792"/>
        <w:spacing w:after="0" w:line="299" w:lineRule="auto"/>
        <w:rPr>
          <w:sz w:val="20"/>
          <w:szCs w:val="20"/>
          <w:color w:val="auto"/>
        </w:rPr>
      </w:pPr>
      <w:r>
        <w:rPr>
          <w:rFonts w:ascii="Arial" w:cs="Arial" w:eastAsia="Arial" w:hAnsi="Arial"/>
          <w:sz w:val="16"/>
          <w:szCs w:val="16"/>
          <w:color w:val="auto"/>
        </w:rPr>
        <w:t>Further, we are supported by a leading group of biotech investors including, among others, ArrowMark Partners, Intersouth Partners, North Bridge Venture Partners, Perceptive Advisors, Polaris Venture Partners, RA Capital and Soleus Capital.</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Recent Developments</w:t>
      </w:r>
    </w:p>
    <w:p>
      <w:pPr>
        <w:spacing w:after="0" w:line="210" w:lineRule="exact"/>
        <w:rPr>
          <w:sz w:val="20"/>
          <w:szCs w:val="20"/>
          <w:color w:val="auto"/>
        </w:rPr>
      </w:pPr>
    </w:p>
    <w:p>
      <w:pPr>
        <w:ind w:left="680" w:right="80" w:firstLine="792"/>
        <w:spacing w:after="0" w:line="266"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continues to spread throughout the United States, Europe and around the world. On March 23, 2020, the governor of Massachusetts ordered the closure of all non-essential businesses effective March 24, 2020, through April 2020, which was subsequently extended through May 4, 2020. Because of the nature of our operations, we are currently considered to be an essential business so, to date, our operations have only been partially affected by this order. As we continue to actively advance our product candidates, we are in close contact with our principal investigators and clinical sites and are assessing the impact of the COVID-19 global pandemic on our ongoing Phase 2 LANTERN clinical trial, expected timelines and costs on an ongoing basis. In light of recent developments relating to the COVID-19 global pandemic, the focus of healthcare providers and hospitals on fighting the virus, and consistent with the FDA’s updated industry guidance for conducting clinical trials issued on March 18, 2020, we discontinued enrollment at 67 patients in our ongoing Phase 2 LANTERN</w:t>
      </w:r>
    </w:p>
    <w:p>
      <w:pPr>
        <w:spacing w:after="0" w:line="200" w:lineRule="exact"/>
        <w:rPr>
          <w:sz w:val="20"/>
          <w:szCs w:val="20"/>
          <w:color w:val="auto"/>
        </w:rPr>
      </w:pPr>
    </w:p>
    <w:p>
      <w:pPr>
        <w:spacing w:after="0" w:line="37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320" w:top="437" w:right="9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5879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08750" cy="587946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80"/>
        <w:spacing w:after="0" w:line="287" w:lineRule="auto"/>
        <w:rPr>
          <w:sz w:val="20"/>
          <w:szCs w:val="20"/>
          <w:color w:val="auto"/>
        </w:rPr>
      </w:pPr>
      <w:r>
        <w:rPr>
          <w:rFonts w:ascii="Arial" w:cs="Arial" w:eastAsia="Arial" w:hAnsi="Arial"/>
          <w:sz w:val="15"/>
          <w:szCs w:val="15"/>
          <w:color w:val="auto"/>
        </w:rPr>
        <w:t>clinical trial and we currently do not plan to open any sites in the United States. We are leveraging remote electronic data collection to enable us to complete the clinical assessments and generate sufficient information to design our Phase 3 clinical trial and, subject to the impact of COVID-19 on our business, expect to report topline data from the Phase 2 LANTERN clinical trial by the end of 2020. In addition, in response to the spread of COVID-19, we have closed our executive offices, with our administrative employees continuing their work outside of our offices. We will continue to evaluate the impact of the COVID-19 global pandemic on our business and expect to reevaluate the timing of our anticipated clinical milestones as we learn more and the impact of COVID-19 on our business and industry becomes more clear. See “Risk Factors—Risks Related to Employee Matters and Managing Growth—The global pandemic caused by COVID-19 could adversely impact our business and operations, including our clinical trials” for more information regarding the potential impact of COVID-19 on our business and operations.</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Risk Factors</w:t>
      </w:r>
    </w:p>
    <w:p>
      <w:pPr>
        <w:spacing w:after="0" w:line="210" w:lineRule="exact"/>
        <w:rPr>
          <w:sz w:val="20"/>
          <w:szCs w:val="20"/>
          <w:color w:val="auto"/>
        </w:rPr>
      </w:pPr>
    </w:p>
    <w:p>
      <w:pPr>
        <w:ind w:left="680" w:right="60" w:firstLine="792"/>
        <w:spacing w:after="0" w:line="257"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common stock. These risks include the following:</w:t>
      </w:r>
    </w:p>
    <w:p>
      <w:pPr>
        <w:spacing w:after="0" w:line="201" w:lineRule="exact"/>
        <w:rPr>
          <w:sz w:val="20"/>
          <w:szCs w:val="20"/>
          <w:color w:val="auto"/>
        </w:rPr>
      </w:pPr>
    </w:p>
    <w:p>
      <w:pPr>
        <w:ind w:left="1820" w:right="500" w:hanging="269"/>
        <w:spacing w:after="0" w:line="268"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a limited operating history and a history of escalating operating losses, which may make it difficult to evaluate the prospects for our future viability;</w:t>
      </w:r>
    </w:p>
    <w:p>
      <w:pPr>
        <w:spacing w:after="0" w:line="191" w:lineRule="exact"/>
        <w:rPr>
          <w:rFonts w:ascii="Arial" w:cs="Arial" w:eastAsia="Arial" w:hAnsi="Arial"/>
          <w:sz w:val="17"/>
          <w:szCs w:val="17"/>
          <w:color w:val="auto"/>
        </w:rPr>
      </w:pPr>
    </w:p>
    <w:p>
      <w:pPr>
        <w:ind w:left="1820" w:right="60" w:hanging="269"/>
        <w:spacing w:after="0" w:line="268"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incurred significant losses since inception and expect to incur significant additional losses for the foreseeable future, and we may never achieve profitability;</w:t>
      </w:r>
    </w:p>
    <w:p>
      <w:pPr>
        <w:spacing w:after="0" w:line="191" w:lineRule="exact"/>
        <w:rPr>
          <w:rFonts w:ascii="Arial" w:cs="Arial" w:eastAsia="Arial" w:hAnsi="Arial"/>
          <w:sz w:val="17"/>
          <w:szCs w:val="17"/>
          <w:color w:val="auto"/>
        </w:rPr>
      </w:pPr>
    </w:p>
    <w:p>
      <w:pPr>
        <w:ind w:left="1820" w:right="340" w:hanging="269"/>
        <w:spacing w:after="0" w:line="268"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this offering is successful, we will need significant additional funding in order to complete development of and obtain regulatory approval for our product candidates and commercialize our products, if approved;</w:t>
      </w:r>
    </w:p>
    <w:p>
      <w:pPr>
        <w:spacing w:after="0" w:line="191" w:lineRule="exact"/>
        <w:rPr>
          <w:rFonts w:ascii="Arial" w:cs="Arial" w:eastAsia="Arial" w:hAnsi="Arial"/>
          <w:sz w:val="17"/>
          <w:szCs w:val="17"/>
          <w:color w:val="auto"/>
        </w:rPr>
      </w:pPr>
    </w:p>
    <w:p>
      <w:pPr>
        <w:ind w:left="1820" w:right="60" w:hanging="269"/>
        <w:spacing w:after="0" w:line="253"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highly dependent on the success of our most advanced product candidate, LYR-210, which will require significant additional clinical testing before we can seek regulatory approval and potentially launch commercial sales, and if LYR-210 does not receive regulatory approval or is not successfully commercialized, or is significantly delayed in doing so, our business will be harmed;</w:t>
      </w:r>
    </w:p>
    <w:p>
      <w:pPr>
        <w:spacing w:after="0" w:line="205" w:lineRule="exact"/>
        <w:rPr>
          <w:rFonts w:ascii="Arial" w:cs="Arial" w:eastAsia="Arial" w:hAnsi="Arial"/>
          <w:sz w:val="17"/>
          <w:szCs w:val="17"/>
          <w:color w:val="auto"/>
        </w:rPr>
      </w:pPr>
    </w:p>
    <w:p>
      <w:pPr>
        <w:jc w:val="both"/>
        <w:ind w:left="1820" w:hanging="269"/>
        <w:spacing w:after="0" w:line="257"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trials required for our product candidates are expensive and time-consuming, their outcome is uncertain, and if our clinical trials do not meet safety or efficacy endpoints in these evaluations, or if we experience significant delays in these trials, our ability to commercialize our product candidates and our financial position will be impaired;</w:t>
      </w:r>
    </w:p>
    <w:p>
      <w:pPr>
        <w:spacing w:after="0" w:line="200" w:lineRule="exact"/>
        <w:rPr>
          <w:rFonts w:ascii="Arial" w:cs="Arial" w:eastAsia="Arial" w:hAnsi="Arial"/>
          <w:sz w:val="17"/>
          <w:szCs w:val="17"/>
          <w:color w:val="auto"/>
        </w:rPr>
      </w:pPr>
    </w:p>
    <w:p>
      <w:pPr>
        <w:ind w:left="1820" w:right="100" w:hanging="269"/>
        <w:spacing w:after="0" w:line="268"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developments by competitors may render our products or technologies obsolete or non-competitive or may reduce the size of our markets;</w:t>
      </w:r>
    </w:p>
    <w:p>
      <w:pPr>
        <w:spacing w:after="0" w:line="191" w:lineRule="exact"/>
        <w:rPr>
          <w:rFonts w:ascii="Arial" w:cs="Arial" w:eastAsia="Arial" w:hAnsi="Arial"/>
          <w:sz w:val="17"/>
          <w:szCs w:val="17"/>
          <w:color w:val="auto"/>
        </w:rPr>
      </w:pPr>
    </w:p>
    <w:p>
      <w:pPr>
        <w:ind w:left="1820" w:right="180" w:hanging="269"/>
        <w:spacing w:after="0" w:line="253"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successful commercialization of our product candidates will depend in part on the extent to which governmental authorities and health insurers establish coverage, adequate reimbursement levels and pricing policies, and the failure to obtain or maintain coverage and adequate reimbursement for our product candidates, if approved, could limit our ability to market those products and decrease our ability to generate revenue;</w:t>
      </w:r>
    </w:p>
    <w:p>
      <w:pPr>
        <w:spacing w:after="0" w:line="205" w:lineRule="exact"/>
        <w:rPr>
          <w:rFonts w:ascii="Arial" w:cs="Arial" w:eastAsia="Arial" w:hAnsi="Arial"/>
          <w:sz w:val="17"/>
          <w:szCs w:val="17"/>
          <w:color w:val="auto"/>
        </w:rPr>
      </w:pPr>
    </w:p>
    <w:p>
      <w:pPr>
        <w:ind w:left="1820" w:right="20" w:hanging="269"/>
        <w:spacing w:after="0" w:line="268"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either LYR-210 or LYR-220 receives marketing approval, it may fail to achieve market acceptance by physicians, patients, third-party payors or others in the medical community necessary for commercial success;</w:t>
      </w:r>
    </w:p>
    <w:p>
      <w:pPr>
        <w:spacing w:after="0" w:line="200" w:lineRule="exact"/>
        <w:rPr>
          <w:sz w:val="20"/>
          <w:szCs w:val="20"/>
          <w:color w:val="auto"/>
        </w:rPr>
      </w:pP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60"/>
          </w:cols>
          <w:pgMar w:left="320" w:top="437" w:right="10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5895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08750" cy="589534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820" w:hanging="269"/>
        <w:spacing w:after="0" w:line="298" w:lineRule="auto"/>
        <w:tabs>
          <w:tab w:leader="none" w:pos="1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will rely on third parties for the manufacture of materials for our research programs, pre-clinical studies and clinical trials and we do not have long-term contracts with any of these parties, which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72" w:lineRule="exact"/>
        <w:rPr>
          <w:rFonts w:ascii="Arial" w:cs="Arial" w:eastAsia="Arial" w:hAnsi="Arial"/>
          <w:sz w:val="15"/>
          <w:szCs w:val="15"/>
          <w:color w:val="auto"/>
        </w:rPr>
      </w:pPr>
    </w:p>
    <w:p>
      <w:pPr>
        <w:ind w:left="1820" w:right="20" w:hanging="269"/>
        <w:spacing w:after="0" w:line="257"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third parties to conduct our pre-clinical studies and clinical trials, and any failure by a third party to conduct the clinical trials according to GCPs and in a timely manner may delay or prevent our ability to seek or obtain regulatory approval for or commercialize our product candidates;</w:t>
      </w:r>
    </w:p>
    <w:p>
      <w:pPr>
        <w:spacing w:after="0" w:line="200" w:lineRule="exact"/>
        <w:rPr>
          <w:rFonts w:ascii="Arial" w:cs="Arial" w:eastAsia="Arial" w:hAnsi="Arial"/>
          <w:sz w:val="17"/>
          <w:szCs w:val="17"/>
          <w:color w:val="auto"/>
        </w:rPr>
      </w:pPr>
    </w:p>
    <w:p>
      <w:pPr>
        <w:ind w:left="1820" w:right="640" w:hanging="269"/>
        <w:spacing w:after="0" w:line="268"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maintain or adequately protect our intellectual property rights, we may not be able to compete effectively in our markets;</w:t>
      </w:r>
    </w:p>
    <w:p>
      <w:pPr>
        <w:spacing w:after="0" w:line="191" w:lineRule="exact"/>
        <w:rPr>
          <w:rFonts w:ascii="Arial" w:cs="Arial" w:eastAsia="Arial" w:hAnsi="Arial"/>
          <w:sz w:val="17"/>
          <w:szCs w:val="17"/>
          <w:color w:val="auto"/>
        </w:rPr>
      </w:pPr>
    </w:p>
    <w:p>
      <w:pPr>
        <w:ind w:left="1820" w:right="380" w:hanging="269"/>
        <w:spacing w:after="0" w:line="299" w:lineRule="auto"/>
        <w:tabs>
          <w:tab w:leader="none" w:pos="1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lose key management or scientific personnel, cannot recruit qualified employees, directors, officers or other significant personnel or experience increases in our compensation costs, our business may materially suffer; and</w:t>
      </w:r>
    </w:p>
    <w:p>
      <w:pPr>
        <w:spacing w:after="0" w:line="169" w:lineRule="exact"/>
        <w:rPr>
          <w:rFonts w:ascii="Arial" w:cs="Arial" w:eastAsia="Arial" w:hAnsi="Arial"/>
          <w:sz w:val="16"/>
          <w:szCs w:val="16"/>
          <w:color w:val="auto"/>
        </w:rPr>
      </w:pPr>
    </w:p>
    <w:p>
      <w:pPr>
        <w:ind w:left="1820" w:hanging="269"/>
        <w:spacing w:after="0"/>
        <w:tabs>
          <w:tab w:leader="none" w:pos="1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global pandemic caused by COVID-19 could adversely impact our business and operations, including our clinical trials.</w:t>
      </w:r>
    </w:p>
    <w:p>
      <w:pPr>
        <w:spacing w:after="0" w:line="21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10" w:lineRule="exact"/>
        <w:rPr>
          <w:sz w:val="20"/>
          <w:szCs w:val="20"/>
          <w:color w:val="auto"/>
        </w:rPr>
      </w:pPr>
    </w:p>
    <w:p>
      <w:pPr>
        <w:ind w:left="680" w:right="240" w:firstLine="792"/>
        <w:spacing w:after="0" w:line="307" w:lineRule="auto"/>
        <w:rPr>
          <w:sz w:val="20"/>
          <w:szCs w:val="20"/>
          <w:color w:val="auto"/>
        </w:rPr>
      </w:pPr>
      <w:r>
        <w:rPr>
          <w:rFonts w:ascii="Arial" w:cs="Arial" w:eastAsia="Arial" w:hAnsi="Arial"/>
          <w:sz w:val="15"/>
          <w:szCs w:val="15"/>
          <w:color w:val="auto"/>
        </w:rPr>
        <w:t>As a company with less than $1.07 billion in revenue during our last fiscal year, we qualify as an “emerging growth company” as defined in the Jumpstart Our Business Startups Act of 2012, as amended, or JOBS Act. An “emerging growth company” may take advantage of reduced reporting requirements that are otherwise applicable to public companies. These provisions include, but are not limited to:</w:t>
      </w:r>
    </w:p>
    <w:p>
      <w:pPr>
        <w:spacing w:after="0" w:line="167" w:lineRule="exact"/>
        <w:rPr>
          <w:sz w:val="20"/>
          <w:szCs w:val="20"/>
          <w:color w:val="auto"/>
        </w:rPr>
      </w:pPr>
    </w:p>
    <w:p>
      <w:pPr>
        <w:ind w:left="1820" w:right="80" w:hanging="269"/>
        <w:spacing w:after="0" w:line="268"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option to present only two years of audited financial statements and only two years of related “Management’s Discussion and Analysis of Financial Condition and Results of Operations” in this prospectus;</w:t>
      </w:r>
    </w:p>
    <w:p>
      <w:pPr>
        <w:spacing w:after="0" w:line="191" w:lineRule="exact"/>
        <w:rPr>
          <w:rFonts w:ascii="Arial" w:cs="Arial" w:eastAsia="Arial" w:hAnsi="Arial"/>
          <w:sz w:val="17"/>
          <w:szCs w:val="17"/>
          <w:color w:val="auto"/>
        </w:rPr>
      </w:pPr>
    </w:p>
    <w:p>
      <w:pPr>
        <w:ind w:left="1820" w:right="420" w:hanging="269"/>
        <w:spacing w:after="0" w:line="268"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w:t>
      </w:r>
    </w:p>
    <w:p>
      <w:pPr>
        <w:spacing w:after="0" w:line="191" w:lineRule="exact"/>
        <w:rPr>
          <w:rFonts w:ascii="Arial" w:cs="Arial" w:eastAsia="Arial" w:hAnsi="Arial"/>
          <w:sz w:val="17"/>
          <w:szCs w:val="17"/>
          <w:color w:val="auto"/>
        </w:rPr>
      </w:pPr>
    </w:p>
    <w:p>
      <w:pPr>
        <w:ind w:left="1820" w:right="180" w:hanging="269"/>
        <w:spacing w:after="0" w:line="257"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0" w:lineRule="exact"/>
        <w:rPr>
          <w:rFonts w:ascii="Arial" w:cs="Arial" w:eastAsia="Arial" w:hAnsi="Arial"/>
          <w:sz w:val="17"/>
          <w:szCs w:val="17"/>
          <w:color w:val="auto"/>
        </w:rPr>
      </w:pPr>
    </w:p>
    <w:p>
      <w:pPr>
        <w:ind w:left="1820" w:right="500" w:hanging="269"/>
        <w:spacing w:after="0" w:line="268"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91" w:lineRule="exact"/>
        <w:rPr>
          <w:rFonts w:ascii="Arial" w:cs="Arial" w:eastAsia="Arial" w:hAnsi="Arial"/>
          <w:sz w:val="17"/>
          <w:szCs w:val="17"/>
          <w:color w:val="auto"/>
        </w:rPr>
      </w:pPr>
    </w:p>
    <w:p>
      <w:pPr>
        <w:ind w:left="1820" w:right="40" w:hanging="269"/>
        <w:spacing w:after="0" w:line="268"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66" w:lineRule="exact"/>
        <w:rPr>
          <w:sz w:val="20"/>
          <w:szCs w:val="20"/>
          <w:color w:val="auto"/>
        </w:rPr>
      </w:pPr>
    </w:p>
    <w:p>
      <w:pPr>
        <w:ind w:left="680" w:right="80" w:firstLine="792"/>
        <w:spacing w:after="0" w:line="287"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prior to the end of such five-year period, (i) our annual gross revenue exceeds $1.07 billion, (ii) we issue more than</w:t>
      </w:r>
    </w:p>
    <w:p>
      <w:pPr>
        <w:spacing w:after="0" w:line="1" w:lineRule="exact"/>
        <w:rPr>
          <w:sz w:val="20"/>
          <w:szCs w:val="20"/>
          <w:color w:val="auto"/>
        </w:rPr>
      </w:pPr>
    </w:p>
    <w:p>
      <w:pPr>
        <w:ind w:left="680" w:right="400"/>
        <w:spacing w:after="0" w:line="253" w:lineRule="auto"/>
        <w:rPr>
          <w:sz w:val="20"/>
          <w:szCs w:val="20"/>
          <w:color w:val="auto"/>
        </w:rPr>
      </w:pPr>
      <w:r>
        <w:rPr>
          <w:rFonts w:ascii="Arial" w:cs="Arial" w:eastAsia="Arial" w:hAnsi="Arial"/>
          <w:sz w:val="17"/>
          <w:szCs w:val="17"/>
          <w:color w:val="auto"/>
        </w:rPr>
        <w:t>$1.0 billion of non-convertible debt in any three-year period or (iii) we become a “large accelerated filer” (as defined in Rule 12b-2 under the Securities</w:t>
      </w: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40"/>
          </w:cols>
          <w:pgMar w:left="320" w:top="437" w:right="10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2945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08750" cy="294576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80" w:right="40"/>
        <w:spacing w:after="0" w:line="288" w:lineRule="auto"/>
        <w:rPr>
          <w:sz w:val="20"/>
          <w:szCs w:val="20"/>
          <w:color w:val="auto"/>
        </w:rPr>
      </w:pPr>
      <w:r>
        <w:rPr>
          <w:rFonts w:ascii="Arial" w:cs="Arial" w:eastAsia="Arial" w:hAnsi="Arial"/>
          <w:sz w:val="15"/>
          <w:szCs w:val="15"/>
          <w:color w:val="auto"/>
        </w:rPr>
        <w:t>Exchange Act of 1934, as amended, or the Exchange Act), then we will cease to be an emerging growth company prior to the end of such five-year period.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this prospectus and our periodic reports and proxy statements.</w:t>
      </w:r>
    </w:p>
    <w:p>
      <w:pPr>
        <w:spacing w:after="0" w:line="158" w:lineRule="exact"/>
        <w:rPr>
          <w:sz w:val="20"/>
          <w:szCs w:val="20"/>
          <w:color w:val="auto"/>
        </w:rPr>
      </w:pPr>
    </w:p>
    <w:p>
      <w:pPr>
        <w:ind w:left="680" w:right="40" w:firstLine="792"/>
        <w:spacing w:after="0" w:line="307"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1" w:lineRule="exact"/>
        <w:rPr>
          <w:sz w:val="20"/>
          <w:szCs w:val="20"/>
          <w:color w:val="auto"/>
        </w:rPr>
      </w:pPr>
    </w:p>
    <w:p>
      <w:pPr>
        <w:ind w:left="680" w:right="680" w:firstLine="792"/>
        <w:spacing w:after="0" w:line="268"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Corporate Information</w:t>
      </w:r>
    </w:p>
    <w:p>
      <w:pPr>
        <w:spacing w:after="0" w:line="210" w:lineRule="exact"/>
        <w:rPr>
          <w:sz w:val="20"/>
          <w:szCs w:val="20"/>
          <w:color w:val="auto"/>
        </w:rPr>
      </w:pPr>
    </w:p>
    <w:p>
      <w:pPr>
        <w:ind w:left="680" w:firstLine="792"/>
        <w:spacing w:after="0" w:line="325" w:lineRule="auto"/>
        <w:rPr>
          <w:sz w:val="20"/>
          <w:szCs w:val="20"/>
          <w:color w:val="auto"/>
        </w:rPr>
      </w:pPr>
      <w:r>
        <w:rPr>
          <w:rFonts w:ascii="Arial" w:cs="Arial" w:eastAsia="Arial" w:hAnsi="Arial"/>
          <w:sz w:val="14"/>
          <w:szCs w:val="14"/>
          <w:color w:val="auto"/>
        </w:rPr>
        <w:t xml:space="preserve">We were incorporated under the laws of the State of Delaware in November 2005 under the name WMR Biomedical, Inc. In July 2018, we changed our name to Lyra Therapeutics, Inc. Our principal executive offices are located at 480 Arsenal Way, Watertown, MA 02472 and our telephone number is (617) 393-4600. Our website address is </w:t>
      </w:r>
      <w:r>
        <w:rPr>
          <w:rFonts w:ascii="Arial" w:cs="Arial" w:eastAsia="Arial" w:hAnsi="Arial"/>
          <w:sz w:val="14"/>
          <w:szCs w:val="14"/>
          <w:i w:val="1"/>
          <w:iCs w:val="1"/>
          <w:color w:val="auto"/>
        </w:rPr>
        <w:t>www.lyratherapeutics.com</w:t>
      </w:r>
      <w:r>
        <w:rPr>
          <w:rFonts w:ascii="Arial" w:cs="Arial" w:eastAsia="Arial" w:hAnsi="Arial"/>
          <w:sz w:val="14"/>
          <w:szCs w:val="14"/>
          <w:color w:val="auto"/>
        </w:rPr>
        <w:t>. The information contained in, or accessible through, our website does not constitute a part of this prospectus. We have included our website address in this prospectus solely as an inactive textual reference.</w:t>
      </w:r>
    </w:p>
    <w:p>
      <w:pPr>
        <w:spacing w:after="0" w:line="200" w:lineRule="exact"/>
        <w:rPr>
          <w:sz w:val="20"/>
          <w:szCs w:val="20"/>
          <w:color w:val="auto"/>
        </w:rPr>
      </w:pPr>
    </w:p>
    <w:p>
      <w:pPr>
        <w:spacing w:after="0" w:line="33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60"/>
          </w:cols>
          <w:pgMar w:left="320" w:top="437" w:right="10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5584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08750" cy="55841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0560"/>
          </w:cols>
          <w:pgMar w:left="320" w:top="437" w:right="1019" w:bottom="1440" w:gutter="0" w:footer="0" w:header="0"/>
        </w:sect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3,500,000 shares</w:t>
      </w:r>
    </w:p>
    <w:p>
      <w:pPr>
        <w:spacing w:after="0" w:line="211" w:lineRule="exact"/>
        <w:rPr>
          <w:sz w:val="20"/>
          <w:szCs w:val="20"/>
          <w:color w:val="auto"/>
        </w:rPr>
      </w:pPr>
    </w:p>
    <w:p>
      <w:pPr>
        <w:sectPr>
          <w:pgSz w:w="11900" w:h="16838" w:orient="portrait"/>
          <w:cols w:equalWidth="0" w:num="2">
            <w:col w:w="3700" w:space="720"/>
            <w:col w:w="6140"/>
          </w:cols>
          <w:pgMar w:left="320" w:top="437" w:right="1019" w:bottom="1440" w:gutter="0" w:footer="0" w:header="0"/>
          <w:type w:val="continuous"/>
        </w:sectPr>
      </w:pPr>
    </w:p>
    <w:p>
      <w:pPr>
        <w:spacing w:after="0" w:line="6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580"/>
        <w:spacing w:after="0" w:line="268" w:lineRule="auto"/>
        <w:rPr>
          <w:sz w:val="20"/>
          <w:szCs w:val="20"/>
          <w:color w:val="auto"/>
        </w:rPr>
      </w:pPr>
      <w:r>
        <w:rPr>
          <w:rFonts w:ascii="Arial" w:cs="Arial" w:eastAsia="Arial" w:hAnsi="Arial"/>
          <w:sz w:val="17"/>
          <w:szCs w:val="17"/>
          <w:color w:val="auto"/>
        </w:rPr>
        <w:t>12,376,378 shares (or 12,901,378 shares if the underwriters exercise their option to purchase additional shares in full).</w:t>
      </w:r>
    </w:p>
    <w:p>
      <w:pPr>
        <w:spacing w:after="0" w:line="191" w:lineRule="exact"/>
        <w:rPr>
          <w:sz w:val="20"/>
          <w:szCs w:val="20"/>
          <w:color w:val="auto"/>
        </w:rPr>
      </w:pPr>
    </w:p>
    <w:p>
      <w:pPr>
        <w:sectPr>
          <w:pgSz w:w="11900" w:h="16838" w:orient="portrait"/>
          <w:cols w:equalWidth="0" w:num="2">
            <w:col w:w="4100" w:space="320"/>
            <w:col w:w="6140"/>
          </w:cols>
          <w:pgMar w:left="320" w:top="437" w:right="1019"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Option to purchase additional shares</w:t>
      </w:r>
    </w:p>
    <w:p>
      <w:pPr>
        <w:spacing w:after="0" w:line="20" w:lineRule="exact"/>
        <w:rPr>
          <w:sz w:val="20"/>
          <w:szCs w:val="20"/>
          <w:color w:val="auto"/>
        </w:rPr>
      </w:pPr>
      <w:r>
        <w:rPr>
          <w:sz w:val="20"/>
          <w:szCs w:val="20"/>
          <w:color w:val="auto"/>
        </w:rPr>
        <w:br w:type="column"/>
      </w:r>
    </w:p>
    <w:p>
      <w:pPr>
        <w:ind w:right="140"/>
        <w:spacing w:after="0" w:line="257" w:lineRule="auto"/>
        <w:rPr>
          <w:sz w:val="20"/>
          <w:szCs w:val="20"/>
          <w:color w:val="auto"/>
        </w:rPr>
      </w:pPr>
      <w:r>
        <w:rPr>
          <w:rFonts w:ascii="Arial" w:cs="Arial" w:eastAsia="Arial" w:hAnsi="Arial"/>
          <w:sz w:val="17"/>
          <w:szCs w:val="17"/>
          <w:color w:val="auto"/>
        </w:rPr>
        <w:t>The underwriters have a 30-day option to purchase up to 525,000 additional shares of our common stock at the public offering price less estimated underwriting discounts and commissions.</w:t>
      </w:r>
    </w:p>
    <w:p>
      <w:pPr>
        <w:spacing w:after="0" w:line="200" w:lineRule="exact"/>
        <w:rPr>
          <w:sz w:val="20"/>
          <w:szCs w:val="20"/>
          <w:color w:val="auto"/>
        </w:rPr>
      </w:pPr>
    </w:p>
    <w:p>
      <w:pPr>
        <w:sectPr>
          <w:pgSz w:w="11900" w:h="16838" w:orient="portrait"/>
          <w:cols w:equalWidth="0" w:num="2">
            <w:col w:w="3700" w:space="720"/>
            <w:col w:w="6140"/>
          </w:cols>
          <w:pgMar w:left="320" w:top="437" w:right="1019" w:bottom="1440" w:gutter="0" w:footer="0" w:header="0"/>
          <w:type w:val="continuous"/>
        </w:sectPr>
      </w:pP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6"/>
          <w:szCs w:val="16"/>
          <w:color w:val="auto"/>
        </w:rPr>
        <w:t>We estimate that the net proceeds from this offering will be approximately $46.2 million (or approximately $53.6 million if the underwriters exercise in full their option to purchase additional shares of common stock), at an assumed public offering price of $15.00 per share (the midpoint of the price range set forth on the cover page of this prospectus), after deducting the estimated underwriting discounts and commissions and the estimated offering expenses payable by us. We anticipate that we will use the net proceeds of this offering, together with our existing cash and cash equivalents, to fund the clinical development and manufacturing and other pre-commercialization expenses for LYR-210 through completion of our Phase 3 clinical trial; to fund the development of LYR-220 through completion of our Phase 2 clinical trial; and the remainder, if any, to complete the transfer of our manufacturing process to a contract manufacturer, for platform development and other research and development expenses for our pipeline, and for working capital and general corporate purposes. See “Use of Proceeds” beginning on page 81 for additional information.</w:t>
      </w:r>
    </w:p>
    <w:p>
      <w:pPr>
        <w:spacing w:after="0" w:line="200" w:lineRule="exact"/>
        <w:rPr>
          <w:sz w:val="20"/>
          <w:szCs w:val="20"/>
          <w:color w:val="auto"/>
        </w:rPr>
      </w:pPr>
    </w:p>
    <w:p>
      <w:pPr>
        <w:sectPr>
          <w:pgSz w:w="11900" w:h="16838" w:orient="portrait"/>
          <w:cols w:equalWidth="0" w:num="2">
            <w:col w:w="3700" w:space="720"/>
            <w:col w:w="6140"/>
          </w:cols>
          <w:pgMar w:left="320" w:top="437" w:right="1019" w:bottom="1440" w:gutter="0" w:footer="0" w:header="0"/>
          <w:type w:val="continuous"/>
        </w:sectPr>
      </w:pPr>
    </w:p>
    <w:p>
      <w:pPr>
        <w:spacing w:after="0" w:line="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ind w:right="360"/>
        <w:spacing w:after="0" w:line="257" w:lineRule="auto"/>
        <w:rPr>
          <w:sz w:val="20"/>
          <w:szCs w:val="20"/>
          <w:color w:val="auto"/>
        </w:rPr>
      </w:pPr>
      <w:r>
        <w:rPr>
          <w:rFonts w:ascii="Arial" w:cs="Arial" w:eastAsia="Arial" w:hAnsi="Arial"/>
          <w:sz w:val="17"/>
          <w:szCs w:val="17"/>
          <w:color w:val="auto"/>
        </w:rPr>
        <w:t>You should carefully read the “Risk Factors” beginning on page 13 and the other information included in this prospectus for a discussion of factors you should consider carefully before deciding to invest in our common stock.</w:t>
      </w:r>
    </w:p>
    <w:p>
      <w:pPr>
        <w:spacing w:after="0" w:line="200" w:lineRule="exact"/>
        <w:rPr>
          <w:sz w:val="20"/>
          <w:szCs w:val="20"/>
          <w:color w:val="auto"/>
        </w:rPr>
      </w:pPr>
    </w:p>
    <w:p>
      <w:pPr>
        <w:sectPr>
          <w:pgSz w:w="11900" w:h="16838" w:orient="portrait"/>
          <w:cols w:equalWidth="0" w:num="2">
            <w:col w:w="3700" w:space="720"/>
            <w:col w:w="6140"/>
          </w:cols>
          <w:pgMar w:left="320" w:top="437" w:right="1019" w:bottom="1440" w:gutter="0" w:footer="0" w:header="0"/>
          <w:type w:val="continuous"/>
        </w:sectPr>
      </w:pPr>
    </w:p>
    <w:p>
      <w:pPr>
        <w:spacing w:after="0" w:line="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“LYRA”</w:t>
      </w:r>
    </w:p>
    <w:p>
      <w:pPr>
        <w:spacing w:after="0" w:line="200" w:lineRule="exact"/>
        <w:rPr>
          <w:sz w:val="20"/>
          <w:szCs w:val="20"/>
          <w:color w:val="auto"/>
        </w:rPr>
      </w:pPr>
    </w:p>
    <w:p>
      <w:pPr>
        <w:sectPr>
          <w:pgSz w:w="11900" w:h="16838" w:orient="portrait"/>
          <w:cols w:equalWidth="0" w:num="2">
            <w:col w:w="3700" w:space="720"/>
            <w:col w:w="6140"/>
          </w:cols>
          <w:pgMar w:left="320" w:top="437" w:right="1019" w:bottom="1440" w:gutter="0" w:footer="0" w:header="0"/>
          <w:type w:val="continuous"/>
        </w:sectPr>
      </w:pPr>
    </w:p>
    <w:p>
      <w:pPr>
        <w:spacing w:after="0" w:line="358" w:lineRule="exact"/>
        <w:rPr>
          <w:sz w:val="20"/>
          <w:szCs w:val="20"/>
          <w:color w:val="auto"/>
        </w:rPr>
      </w:pPr>
    </w:p>
    <w:p>
      <w:pPr>
        <w:ind w:left="680" w:right="480" w:firstLine="792"/>
        <w:spacing w:after="0" w:line="254" w:lineRule="auto"/>
        <w:rPr>
          <w:sz w:val="20"/>
          <w:szCs w:val="20"/>
          <w:color w:val="auto"/>
        </w:rPr>
      </w:pPr>
      <w:r>
        <w:rPr>
          <w:rFonts w:ascii="Arial" w:cs="Arial" w:eastAsia="Arial" w:hAnsi="Arial"/>
          <w:sz w:val="17"/>
          <w:szCs w:val="17"/>
          <w:color w:val="auto"/>
        </w:rPr>
        <w:t>The number of shares of our common stock to be outstanding after this offering is based on 230,860 shares of our common stock outstanding as of March 31, 2020, and excludes:</w:t>
      </w:r>
    </w:p>
    <w:p>
      <w:pPr>
        <w:ind w:left="1820" w:hanging="269"/>
        <w:spacing w:after="0" w:line="253"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682,218 shares of common stock issuable upon exercise of stock options outstanding under our 2016 Equity Incentive Plan, or our 2016 Plan, as of March 31, 2020, at a weighted-average exercise price of $3.70 per share;</w:t>
      </w:r>
    </w:p>
    <w:p>
      <w:pPr>
        <w:spacing w:after="0" w:line="203" w:lineRule="exact"/>
        <w:rPr>
          <w:rFonts w:ascii="Arial" w:cs="Arial" w:eastAsia="Arial" w:hAnsi="Arial"/>
          <w:sz w:val="17"/>
          <w:szCs w:val="17"/>
          <w:color w:val="auto"/>
        </w:rPr>
      </w:pPr>
    </w:p>
    <w:p>
      <w:pPr>
        <w:ind w:left="1820" w:hanging="269"/>
        <w:spacing w:after="0" w:line="268"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219,460 shares of common stock issuable upon exercise of stock options outstanding under our 2005 Equity Incentive Plan, or our 2005 Plan, as of March 31, 2020, at a weighted-average exercise price of $16.60 per share;</w:t>
      </w:r>
    </w:p>
    <w:p>
      <w:pPr>
        <w:spacing w:after="0" w:line="200" w:lineRule="exact"/>
        <w:rPr>
          <w:sz w:val="20"/>
          <w:szCs w:val="20"/>
          <w:color w:val="auto"/>
        </w:rPr>
      </w:pP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60"/>
          </w:cols>
          <w:pgMar w:left="320" w:top="437" w:right="101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5911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08750" cy="591121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820" w:right="60" w:hanging="269"/>
        <w:spacing w:after="0" w:line="307" w:lineRule="auto"/>
        <w:tabs>
          <w:tab w:leader="none" w:pos="1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494,716 shares of common stock issuable upon the exercise of stock options to be granted in connection with this offering under our 2020 Incentive Award Plan, or the 2020 Plan, which will become effective in connection with this offering, to certain of our directors, executive officers and employees, at an exercise price per share equal to the initial public offering price in this offering;</w:t>
      </w:r>
    </w:p>
    <w:p>
      <w:pPr>
        <w:spacing w:after="0" w:line="166" w:lineRule="exact"/>
        <w:rPr>
          <w:rFonts w:ascii="Arial" w:cs="Arial" w:eastAsia="Arial" w:hAnsi="Arial"/>
          <w:sz w:val="15"/>
          <w:szCs w:val="15"/>
          <w:color w:val="auto"/>
        </w:rPr>
      </w:pPr>
    </w:p>
    <w:p>
      <w:pPr>
        <w:ind w:left="1820" w:right="140" w:hanging="269"/>
        <w:spacing w:after="0" w:line="257"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1,605,284 additional shares of our common stock reserved for future issuance under our 2020 Plan, which will become effective in connection with this offering, as well as any automatic increases in the number of shares of our common stock reserved for future issuance under our 2020 Plan; and</w:t>
      </w:r>
    </w:p>
    <w:p>
      <w:pPr>
        <w:spacing w:after="0" w:line="200" w:lineRule="exact"/>
        <w:rPr>
          <w:rFonts w:ascii="Arial" w:cs="Arial" w:eastAsia="Arial" w:hAnsi="Arial"/>
          <w:sz w:val="17"/>
          <w:szCs w:val="17"/>
          <w:color w:val="auto"/>
        </w:rPr>
      </w:pPr>
    </w:p>
    <w:p>
      <w:pPr>
        <w:ind w:left="1820" w:right="300" w:hanging="269"/>
        <w:spacing w:after="0" w:line="338" w:lineRule="auto"/>
        <w:tabs>
          <w:tab w:leader="none" w:pos="1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150,000 shares of our common stock that will become available for future issuance under our 2020 Employee Stock Purchase Plan, or our 2020 ESPP, which will become effective in connection with this offering, and shares of our common stock that become available pursuant to provisions in the 2020 ESPP that automatically increase the share reserve under our 2020 ESPP.</w:t>
      </w:r>
    </w:p>
    <w:p>
      <w:pPr>
        <w:spacing w:after="0" w:line="12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231" w:lineRule="exact"/>
        <w:rPr>
          <w:sz w:val="20"/>
          <w:szCs w:val="20"/>
          <w:color w:val="auto"/>
        </w:rPr>
      </w:pPr>
    </w:p>
    <w:p>
      <w:pPr>
        <w:ind w:left="1820" w:hanging="269"/>
        <w:spacing w:after="0"/>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one-for-34.483 reverse stock split of our common stock, which became effective on April 27, 2020;</w:t>
      </w:r>
    </w:p>
    <w:p>
      <w:pPr>
        <w:spacing w:after="0" w:line="231" w:lineRule="exact"/>
        <w:rPr>
          <w:rFonts w:ascii="Arial" w:cs="Arial" w:eastAsia="Arial" w:hAnsi="Arial"/>
          <w:sz w:val="17"/>
          <w:szCs w:val="17"/>
          <w:color w:val="auto"/>
        </w:rPr>
      </w:pPr>
    </w:p>
    <w:p>
      <w:pPr>
        <w:ind w:left="1820" w:right="500" w:hanging="269"/>
        <w:spacing w:after="0" w:line="268" w:lineRule="auto"/>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issuance and sale of 78,306,611 shares of our Series C preferred stock, at a price of $0.38811 per share, and warrants to purchase 681,256 shares of our common stock, in each case, in January 2020;</w:t>
      </w:r>
    </w:p>
    <w:p>
      <w:pPr>
        <w:spacing w:after="0" w:line="191" w:lineRule="exact"/>
        <w:rPr>
          <w:rFonts w:ascii="Arial" w:cs="Arial" w:eastAsia="Arial" w:hAnsi="Arial"/>
          <w:sz w:val="17"/>
          <w:szCs w:val="17"/>
          <w:color w:val="auto"/>
        </w:rPr>
      </w:pPr>
    </w:p>
    <w:p>
      <w:pPr>
        <w:ind w:left="1820" w:hanging="269"/>
        <w:spacing w:after="0" w:line="268" w:lineRule="auto"/>
        <w:tabs>
          <w:tab w:leader="none" w:pos="1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issuance to George Whitesides, Ph.D., one of our directors, in lieu of compensation payable by us under a consulting agreement, of such number of fully vested shares of common stock equal to $314,580 divided by the initial public offering price per share, which, based on an assumed initial public offering price of $15.00 per share, the midpoint of the price range set forth on the cover of this prospectus, would result in the issuance of 20,972 shares of our common stock upon the closing of this offering (a $1.00 increase in the assumed initial public offering price of $15.00 per share would decrease the number of shares of our common stock issued by 1,311 shares; a $1.00 decrease in the assumed initial public offering price of $15.00 per share would increase the number of additional shares of our common stock issued by 1,498 shares);</w:t>
      </w:r>
    </w:p>
    <w:p>
      <w:pPr>
        <w:spacing w:after="0" w:line="193" w:lineRule="exact"/>
        <w:rPr>
          <w:rFonts w:ascii="Arial" w:cs="Arial" w:eastAsia="Arial" w:hAnsi="Arial"/>
          <w:sz w:val="16"/>
          <w:szCs w:val="16"/>
          <w:color w:val="auto"/>
        </w:rPr>
      </w:pPr>
    </w:p>
    <w:p>
      <w:pPr>
        <w:ind w:left="1820" w:right="80" w:hanging="269"/>
        <w:spacing w:after="0" w:line="268" w:lineRule="auto"/>
        <w:tabs>
          <w:tab w:leader="none" w:pos="1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automatic cashless exercise of outstanding warrants to purchase shares of common stock, which, based on an assumed initial public offering price of $15.00 per share, the midpoint of the price range set forth on the cover of this prospectus, would result in the issuance of 289,298 shares of our common stock upon the closing of this offering (a $1.00 increase in the assumed initial public offering price of $15.00 per share would increase the number of additional shares of our common stock issuable in connection with such automatic exercise by an aggregate of 24,496 shares; a $1.00 decrease in the assumed initial public offering price of $15.00 per share would decrease the number of additional shares of our common stock issuable in connection with such exercise by an aggregate of 27,992 shares);</w:t>
      </w:r>
    </w:p>
    <w:p>
      <w:pPr>
        <w:spacing w:after="0" w:line="193" w:lineRule="exact"/>
        <w:rPr>
          <w:rFonts w:ascii="Arial" w:cs="Arial" w:eastAsia="Arial" w:hAnsi="Arial"/>
          <w:sz w:val="16"/>
          <w:szCs w:val="16"/>
          <w:color w:val="auto"/>
        </w:rPr>
      </w:pPr>
    </w:p>
    <w:p>
      <w:pPr>
        <w:ind w:left="1820" w:right="200" w:hanging="269"/>
        <w:spacing w:after="0" w:line="268" w:lineRule="auto"/>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conversion of all outstanding shares of our preferred stock into an aggregate of 8,335,248 shares of our common stock upon the closing of this offering;</w:t>
      </w:r>
    </w:p>
    <w:p>
      <w:pPr>
        <w:spacing w:after="0" w:line="191" w:lineRule="exact"/>
        <w:rPr>
          <w:rFonts w:ascii="Arial" w:cs="Arial" w:eastAsia="Arial" w:hAnsi="Arial"/>
          <w:sz w:val="17"/>
          <w:szCs w:val="17"/>
          <w:color w:val="auto"/>
        </w:rPr>
      </w:pPr>
    </w:p>
    <w:p>
      <w:pPr>
        <w:ind w:left="1820" w:hanging="269"/>
        <w:spacing w:after="0"/>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exercise of outstanding options or warrants after March 31, 2020, other than as described above;</w:t>
      </w:r>
    </w:p>
    <w:p>
      <w:pPr>
        <w:spacing w:after="0" w:line="231" w:lineRule="exact"/>
        <w:rPr>
          <w:rFonts w:ascii="Arial" w:cs="Arial" w:eastAsia="Arial" w:hAnsi="Arial"/>
          <w:sz w:val="17"/>
          <w:szCs w:val="17"/>
          <w:color w:val="auto"/>
        </w:rPr>
      </w:pPr>
    </w:p>
    <w:p>
      <w:pPr>
        <w:ind w:left="1820" w:hanging="269"/>
        <w:spacing w:after="0"/>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additional shares of our common stock; and</w:t>
      </w:r>
    </w:p>
    <w:p>
      <w:pPr>
        <w:spacing w:after="0" w:line="231" w:lineRule="exact"/>
        <w:rPr>
          <w:rFonts w:ascii="Arial" w:cs="Arial" w:eastAsia="Arial" w:hAnsi="Arial"/>
          <w:sz w:val="17"/>
          <w:szCs w:val="17"/>
          <w:color w:val="auto"/>
        </w:rPr>
      </w:pPr>
    </w:p>
    <w:p>
      <w:pPr>
        <w:ind w:left="1820" w:hanging="269"/>
        <w:spacing w:after="0"/>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filing of our restated certificate of incorporation, which will occur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60"/>
          </w:cols>
          <w:pgMar w:left="320" w:top="437" w:right="10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4939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08750" cy="49390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10" w:lineRule="exact"/>
        <w:rPr>
          <w:sz w:val="20"/>
          <w:szCs w:val="20"/>
          <w:color w:val="auto"/>
        </w:rPr>
      </w:pPr>
    </w:p>
    <w:p>
      <w:pPr>
        <w:ind w:left="680" w:firstLine="792"/>
        <w:spacing w:after="0" w:line="250" w:lineRule="auto"/>
        <w:rPr>
          <w:sz w:val="20"/>
          <w:szCs w:val="20"/>
          <w:color w:val="auto"/>
        </w:rPr>
      </w:pPr>
      <w:r>
        <w:rPr>
          <w:rFonts w:ascii="Arial" w:cs="Arial" w:eastAsia="Arial" w:hAnsi="Arial"/>
          <w:sz w:val="17"/>
          <w:szCs w:val="17"/>
          <w:color w:val="auto"/>
        </w:rPr>
        <w:t>The following tables set forth our summary consolidated financial data as of, and for the periods ended on, the dates indicated. We have derived the consolidated statements of operations data for the years ended December 31, 2019 and 2018 and the consolidated balance sheet data as of December 31, 2019 from our audited consolidated financial statements included elsewhere in this prospectus. Our historical results are not necessarily indicative of the results that should be expected for any future period. You should read the following summary consolidated financial data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w:t>
      </w:r>
    </w:p>
    <w:p>
      <w:pPr>
        <w:spacing w:after="0" w:line="199"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w w:val="92"/>
              </w:rPr>
              <w:t>Years Ended December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5"/>
              <w:spacing w:after="0" w:line="131"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7"/>
          </w:tcPr>
          <w:p>
            <w:pPr>
              <w:jc w:val="center"/>
              <w:ind w:right="80"/>
              <w:spacing w:after="0" w:line="110" w:lineRule="exact"/>
              <w:rPr>
                <w:sz w:val="20"/>
                <w:szCs w:val="20"/>
                <w:color w:val="auto"/>
              </w:rPr>
            </w:pPr>
            <w:r>
              <w:rPr>
                <w:rFonts w:ascii="Arial" w:cs="Arial" w:eastAsia="Arial" w:hAnsi="Arial"/>
                <w:sz w:val="12"/>
                <w:szCs w:val="12"/>
                <w:b w:val="1"/>
                <w:bCs w:val="1"/>
                <w:color w:val="auto"/>
                <w:w w:val="96"/>
              </w:rPr>
              <w:t>(in thousands, except share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w w:val="91"/>
              </w:rPr>
              <w:t>and per share data)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7"/>
                <w:szCs w:val="17"/>
                <w:color w:val="auto"/>
              </w:rPr>
              <w:t>Grant revenues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tcPr>
          <w:p>
            <w:pPr>
              <w:ind w:left="320"/>
              <w:spacing w:after="0"/>
              <w:rPr>
                <w:sz w:val="20"/>
                <w:szCs w:val="20"/>
                <w:color w:val="auto"/>
              </w:rPr>
            </w:pPr>
            <w:r>
              <w:rPr>
                <w:rFonts w:ascii="Arial" w:cs="Arial" w:eastAsia="Arial" w:hAnsi="Arial"/>
                <w:sz w:val="17"/>
                <w:szCs w:val="17"/>
                <w:color w:val="auto"/>
              </w:rPr>
              <w:t>Research and development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12,032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4,975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6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4,487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3,528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gridSpan w:val="3"/>
          </w:tcPr>
          <w:p>
            <w:pPr>
              <w:spacing w:after="0"/>
              <w:rPr>
                <w:sz w:val="20"/>
                <w:szCs w:val="20"/>
                <w:color w:val="auto"/>
              </w:rPr>
            </w:pPr>
            <w:r>
              <w:rPr>
                <w:rFonts w:ascii="Arial" w:cs="Arial" w:eastAsia="Arial" w:hAnsi="Arial"/>
                <w:sz w:val="17"/>
                <w:szCs w:val="17"/>
                <w:color w:val="auto"/>
              </w:rPr>
              <w:t>Total operating expenses</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16,519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(16,519)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(7,259)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6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tcPr>
          <w:p>
            <w:pPr>
              <w:ind w:left="320"/>
              <w:spacing w:after="0"/>
              <w:rPr>
                <w:sz w:val="20"/>
                <w:szCs w:val="20"/>
                <w:color w:val="auto"/>
              </w:rPr>
            </w:pPr>
            <w:r>
              <w:rPr>
                <w:rFonts w:ascii="Arial" w:cs="Arial" w:eastAsia="Arial" w:hAnsi="Arial"/>
                <w:sz w:val="17"/>
                <w:szCs w:val="17"/>
                <w:color w:val="auto"/>
              </w:rPr>
              <w:t>Interest income (expense), net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213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Other income, net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gridSpan w:val="2"/>
          </w:tcPr>
          <w:p>
            <w:pPr>
              <w:ind w:left="320"/>
              <w:spacing w:after="0"/>
              <w:rPr>
                <w:sz w:val="20"/>
                <w:szCs w:val="20"/>
                <w:color w:val="auto"/>
              </w:rPr>
            </w:pPr>
            <w:r>
              <w:rPr>
                <w:rFonts w:ascii="Arial" w:cs="Arial" w:eastAsia="Arial" w:hAnsi="Arial"/>
                <w:sz w:val="17"/>
                <w:szCs w:val="17"/>
                <w:color w:val="auto"/>
              </w:rPr>
              <w:t>Change in fair value of tranche liability</w:t>
            </w:r>
          </w:p>
        </w:tc>
        <w:tc>
          <w:tcPr>
            <w:tcW w:w="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other income, net</w:t>
            </w:r>
          </w:p>
        </w:tc>
        <w:tc>
          <w:tcPr>
            <w:tcW w:w="6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color w:val="auto"/>
              </w:rPr>
              <w:t>Net loss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(16,306)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7"/>
                <w:szCs w:val="17"/>
                <w:color w:val="auto"/>
              </w:rPr>
              <w:t>(6,029)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Net loss per share attributable to common stockholders—basic and diluted</w:t>
            </w:r>
            <w:r>
              <w:rPr>
                <w:rFonts w:ascii="Arial" w:cs="Arial" w:eastAsia="Arial" w:hAnsi="Arial"/>
                <w:sz w:val="14"/>
                <w:szCs w:val="14"/>
                <w:color w:val="auto"/>
              </w:rPr>
              <w:t>(1)</w:t>
            </w:r>
          </w:p>
        </w:tc>
        <w:tc>
          <w:tcPr>
            <w:tcW w:w="76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60"/>
              <w:spacing w:after="0" w:line="191" w:lineRule="exact"/>
              <w:rPr>
                <w:sz w:val="20"/>
                <w:szCs w:val="20"/>
                <w:color w:val="auto"/>
              </w:rPr>
            </w:pPr>
            <w:r>
              <w:rPr>
                <w:rFonts w:ascii="Arial" w:cs="Arial" w:eastAsia="Arial" w:hAnsi="Arial"/>
                <w:sz w:val="17"/>
                <w:szCs w:val="17"/>
                <w:color w:val="auto"/>
              </w:rPr>
              <w:t>(82.23)</w:t>
            </w:r>
          </w:p>
        </w:tc>
        <w:tc>
          <w:tcPr>
            <w:tcW w:w="26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40"/>
              <w:spacing w:after="0" w:line="191" w:lineRule="exact"/>
              <w:rPr>
                <w:sz w:val="20"/>
                <w:szCs w:val="20"/>
                <w:color w:val="auto"/>
              </w:rPr>
            </w:pPr>
            <w:r>
              <w:rPr>
                <w:rFonts w:ascii="Arial" w:cs="Arial" w:eastAsia="Arial" w:hAnsi="Arial"/>
                <w:sz w:val="17"/>
                <w:szCs w:val="17"/>
                <w:color w:val="auto"/>
              </w:rPr>
              <w:t>(36.79)</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7"/>
                <w:szCs w:val="17"/>
                <w:color w:val="auto"/>
              </w:rPr>
              <w:t>Weighted-average common shares outstanding—basic and diluted</w:t>
            </w:r>
            <w:r>
              <w:rPr>
                <w:rFonts w:ascii="Arial" w:cs="Arial" w:eastAsia="Arial" w:hAnsi="Arial"/>
                <w:sz w:val="14"/>
                <w:szCs w:val="14"/>
                <w:color w:val="auto"/>
              </w:rPr>
              <w:t>(1)</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2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line="191" w:lineRule="exact"/>
              <w:rPr>
                <w:sz w:val="20"/>
                <w:szCs w:val="20"/>
                <w:color w:val="auto"/>
              </w:rPr>
            </w:pPr>
            <w:r>
              <w:rPr>
                <w:rFonts w:ascii="Arial" w:cs="Arial" w:eastAsia="Arial" w:hAnsi="Arial"/>
                <w:sz w:val="17"/>
                <w:szCs w:val="17"/>
                <w:color w:val="auto"/>
              </w:rPr>
              <w:t>202,093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line="191" w:lineRule="exact"/>
              <w:rPr>
                <w:sz w:val="20"/>
                <w:szCs w:val="20"/>
                <w:color w:val="auto"/>
              </w:rPr>
            </w:pPr>
            <w:r>
              <w:rPr>
                <w:rFonts w:ascii="Arial" w:cs="Arial" w:eastAsia="Arial" w:hAnsi="Arial"/>
                <w:sz w:val="17"/>
                <w:szCs w:val="17"/>
                <w:color w:val="auto"/>
                <w:w w:val="84"/>
              </w:rPr>
              <w:t>166,084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w w:val="97"/>
              </w:rPr>
              <w:t>Pro forma net loss per share attributable to common stockholders—basic and diluted (unaudited)</w:t>
            </w:r>
            <w:r>
              <w:rPr>
                <w:rFonts w:ascii="Arial" w:cs="Arial" w:eastAsia="Arial" w:hAnsi="Arial"/>
                <w:sz w:val="14"/>
                <w:szCs w:val="14"/>
                <w:color w:val="auto"/>
                <w:w w:val="97"/>
              </w:rPr>
              <w:t>(1)</w:t>
            </w:r>
          </w:p>
        </w:tc>
        <w:tc>
          <w:tcPr>
            <w:tcW w:w="76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60"/>
              <w:spacing w:after="0" w:line="191" w:lineRule="exact"/>
              <w:rPr>
                <w:sz w:val="20"/>
                <w:szCs w:val="20"/>
                <w:color w:val="auto"/>
              </w:rPr>
            </w:pPr>
            <w:r>
              <w:rPr>
                <w:rFonts w:ascii="Arial" w:cs="Arial" w:eastAsia="Arial" w:hAnsi="Arial"/>
                <w:sz w:val="17"/>
                <w:szCs w:val="17"/>
                <w:color w:val="auto"/>
              </w:rPr>
              <w:t>(2.65)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7"/>
                <w:szCs w:val="17"/>
                <w:color w:val="auto"/>
              </w:rPr>
              <w:t>Pro forma weighted-average common shares outstanding—basic and diluted (unaudited)</w:t>
            </w:r>
            <w:r>
              <w:rPr>
                <w:rFonts w:ascii="Arial" w:cs="Arial" w:eastAsia="Arial" w:hAnsi="Arial"/>
                <w:sz w:val="14"/>
                <w:szCs w:val="14"/>
                <w:color w:val="auto"/>
              </w:rPr>
              <w:t>(1)</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2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line="191" w:lineRule="exact"/>
              <w:rPr>
                <w:sz w:val="20"/>
                <w:szCs w:val="20"/>
                <w:color w:val="auto"/>
              </w:rPr>
            </w:pPr>
            <w:r>
              <w:rPr>
                <w:rFonts w:ascii="Arial" w:cs="Arial" w:eastAsia="Arial" w:hAnsi="Arial"/>
                <w:sz w:val="17"/>
                <w:szCs w:val="17"/>
                <w:color w:val="auto"/>
                <w:w w:val="87"/>
              </w:rPr>
              <w:t>6,266,472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060" w:right="60" w:hanging="388"/>
        <w:spacing w:after="0" w:line="257"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See Note 2 to our to audited consolidated financial statements included elsewhere in this prospectus for an explanation of the method used to calculate the historical and pro forma basic and diluted net loss per common share and the weighted average number of shares used in the computation of the per share amounts.</w:t>
      </w: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60"/>
          </w:cols>
          <w:pgMar w:left="320" w:top="437" w:right="10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5496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08750" cy="549656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As of December 31, 2019</w:t>
            </w:r>
          </w:p>
        </w:tc>
        <w:tc>
          <w:tcPr>
            <w:tcW w:w="106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10"/>
        </w:trPr>
        <w:tc>
          <w:tcPr>
            <w:tcW w:w="45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4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Actual</w:t>
            </w:r>
          </w:p>
        </w:tc>
        <w:tc>
          <w:tcPr>
            <w:tcW w:w="120" w:type="dxa"/>
            <w:vAlign w:val="bottom"/>
          </w:tcPr>
          <w:p>
            <w:pPr>
              <w:spacing w:after="0"/>
              <w:rPr>
                <w:sz w:val="9"/>
                <w:szCs w:val="9"/>
                <w:color w:val="auto"/>
              </w:rPr>
            </w:pPr>
          </w:p>
        </w:tc>
        <w:tc>
          <w:tcPr>
            <w:tcW w:w="140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3"/>
                <w:szCs w:val="13"/>
                <w:b w:val="1"/>
                <w:bCs w:val="1"/>
                <w:color w:val="auto"/>
              </w:rPr>
              <w:t>Pro Forma</w:t>
            </w:r>
            <w:r>
              <w:rPr>
                <w:rFonts w:ascii="Arial" w:cs="Arial" w:eastAsia="Arial" w:hAnsi="Arial"/>
                <w:sz w:val="11"/>
                <w:szCs w:val="11"/>
                <w:b w:val="1"/>
                <w:bCs w:val="1"/>
                <w:color w:val="auto"/>
              </w:rPr>
              <w:t>(1)</w:t>
            </w: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60" w:type="dxa"/>
            <w:vAlign w:val="bottom"/>
            <w:gridSpan w:val="3"/>
          </w:tcPr>
          <w:p>
            <w:pPr>
              <w:ind w:left="180"/>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11"/>
                <w:szCs w:val="11"/>
                <w:b w:val="1"/>
                <w:bCs w:val="1"/>
                <w:color w:val="auto"/>
              </w:rPr>
              <w:t>(2)(3)</w:t>
            </w: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228"/>
              <w:spacing w:after="0" w:line="131" w:lineRule="exact"/>
              <w:rPr>
                <w:sz w:val="20"/>
                <w:szCs w:val="20"/>
                <w:color w:val="auto"/>
              </w:rPr>
            </w:pPr>
            <w:r>
              <w:rPr>
                <w:rFonts w:ascii="Arial" w:cs="Arial" w:eastAsia="Arial" w:hAnsi="Arial"/>
                <w:sz w:val="13"/>
                <w:szCs w:val="13"/>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740" w:type="dxa"/>
            <w:vAlign w:val="bottom"/>
            <w:gridSpan w:val="2"/>
          </w:tcPr>
          <w:p>
            <w:pPr>
              <w:jc w:val="right"/>
              <w:ind w:right="93"/>
              <w:spacing w:after="0"/>
              <w:rPr>
                <w:sz w:val="20"/>
                <w:szCs w:val="20"/>
                <w:color w:val="auto"/>
              </w:rPr>
            </w:pPr>
            <w:r>
              <w:rPr>
                <w:rFonts w:ascii="Arial" w:cs="Arial" w:eastAsia="Arial" w:hAnsi="Arial"/>
                <w:sz w:val="17"/>
                <w:szCs w:val="17"/>
                <w:color w:val="auto"/>
              </w:rPr>
              <w:t>$   9,808</w:t>
            </w:r>
          </w:p>
        </w:tc>
        <w:tc>
          <w:tcPr>
            <w:tcW w:w="1520" w:type="dxa"/>
            <w:vAlign w:val="bottom"/>
            <w:gridSpan w:val="2"/>
          </w:tcPr>
          <w:p>
            <w:pPr>
              <w:jc w:val="right"/>
              <w:ind w:right="308"/>
              <w:spacing w:after="0"/>
              <w:rPr>
                <w:sz w:val="20"/>
                <w:szCs w:val="20"/>
                <w:color w:val="auto"/>
              </w:rPr>
            </w:pPr>
            <w:r>
              <w:rPr>
                <w:rFonts w:ascii="Arial" w:cs="Arial" w:eastAsia="Arial" w:hAnsi="Arial"/>
                <w:sz w:val="17"/>
                <w:szCs w:val="17"/>
                <w:color w:val="auto"/>
              </w:rPr>
              <w:t>$   39,994</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86,224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(4)</w:t>
            </w:r>
          </w:p>
        </w:tc>
        <w:tc>
          <w:tcPr>
            <w:tcW w:w="27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4,911</w:t>
            </w:r>
          </w:p>
        </w:tc>
        <w:tc>
          <w:tcPr>
            <w:tcW w:w="1520" w:type="dxa"/>
            <w:vAlign w:val="bottom"/>
            <w:gridSpan w:val="2"/>
            <w:shd w:val="clear" w:color="auto" w:fill="CCEEFF"/>
          </w:tcPr>
          <w:p>
            <w:pPr>
              <w:jc w:val="right"/>
              <w:ind w:right="308"/>
              <w:spacing w:after="0"/>
              <w:rPr>
                <w:sz w:val="20"/>
                <w:szCs w:val="20"/>
                <w:color w:val="auto"/>
              </w:rPr>
            </w:pPr>
            <w:r>
              <w:rPr>
                <w:rFonts w:ascii="Arial" w:cs="Arial" w:eastAsia="Arial" w:hAnsi="Arial"/>
                <w:sz w:val="17"/>
                <w:szCs w:val="17"/>
                <w:color w:val="auto"/>
              </w:rPr>
              <w:t>35,412</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tcPr>
          <w:p>
            <w:pPr>
              <w:spacing w:after="0"/>
              <w:rPr>
                <w:sz w:val="20"/>
                <w:szCs w:val="20"/>
                <w:color w:val="auto"/>
              </w:rPr>
            </w:pPr>
            <w:r>
              <w:rPr>
                <w:rFonts w:ascii="Arial" w:cs="Arial" w:eastAsia="Arial" w:hAnsi="Arial"/>
                <w:sz w:val="17"/>
                <w:szCs w:val="17"/>
                <w:color w:val="auto"/>
              </w:rPr>
              <w:t>Total assets</w:t>
            </w:r>
          </w:p>
        </w:tc>
        <w:tc>
          <w:tcPr>
            <w:tcW w:w="2740" w:type="dxa"/>
            <w:vAlign w:val="bottom"/>
            <w:gridSpan w:val="2"/>
          </w:tcPr>
          <w:p>
            <w:pPr>
              <w:jc w:val="right"/>
              <w:ind w:right="93"/>
              <w:spacing w:after="0"/>
              <w:rPr>
                <w:sz w:val="20"/>
                <w:szCs w:val="20"/>
                <w:color w:val="auto"/>
              </w:rPr>
            </w:pPr>
            <w:r>
              <w:rPr>
                <w:rFonts w:ascii="Arial" w:cs="Arial" w:eastAsia="Arial" w:hAnsi="Arial"/>
                <w:sz w:val="17"/>
                <w:szCs w:val="17"/>
                <w:color w:val="auto"/>
              </w:rPr>
              <w:t>14,963</w:t>
            </w:r>
          </w:p>
        </w:tc>
        <w:tc>
          <w:tcPr>
            <w:tcW w:w="1520" w:type="dxa"/>
            <w:vAlign w:val="bottom"/>
            <w:gridSpan w:val="2"/>
          </w:tcPr>
          <w:p>
            <w:pPr>
              <w:jc w:val="right"/>
              <w:ind w:right="308"/>
              <w:spacing w:after="0"/>
              <w:rPr>
                <w:sz w:val="20"/>
                <w:szCs w:val="20"/>
                <w:color w:val="auto"/>
              </w:rPr>
            </w:pPr>
            <w:r>
              <w:rPr>
                <w:rFonts w:ascii="Arial" w:cs="Arial" w:eastAsia="Arial" w:hAnsi="Arial"/>
                <w:sz w:val="17"/>
                <w:szCs w:val="17"/>
                <w:color w:val="auto"/>
              </w:rPr>
              <w:t>45,149</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91,379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7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7,635</w:t>
            </w:r>
          </w:p>
        </w:tc>
        <w:tc>
          <w:tcPr>
            <w:tcW w:w="1520" w:type="dxa"/>
            <w:vAlign w:val="bottom"/>
            <w:gridSpan w:val="2"/>
            <w:shd w:val="clear" w:color="auto" w:fill="CCEEFF"/>
          </w:tcPr>
          <w:p>
            <w:pPr>
              <w:jc w:val="right"/>
              <w:ind w:right="308"/>
              <w:spacing w:after="0"/>
              <w:rPr>
                <w:sz w:val="20"/>
                <w:szCs w:val="20"/>
                <w:color w:val="auto"/>
              </w:rPr>
            </w:pPr>
            <w:r>
              <w:rPr>
                <w:rFonts w:ascii="Arial" w:cs="Arial" w:eastAsia="Arial" w:hAnsi="Arial"/>
                <w:sz w:val="17"/>
                <w:szCs w:val="17"/>
                <w:color w:val="auto"/>
              </w:rPr>
              <w:t>7,320</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tcPr>
          <w:p>
            <w:pPr>
              <w:spacing w:after="0"/>
              <w:rPr>
                <w:sz w:val="20"/>
                <w:szCs w:val="20"/>
                <w:color w:val="auto"/>
              </w:rPr>
            </w:pPr>
            <w:r>
              <w:rPr>
                <w:rFonts w:ascii="Arial" w:cs="Arial" w:eastAsia="Arial" w:hAnsi="Arial"/>
                <w:sz w:val="17"/>
                <w:szCs w:val="17"/>
                <w:color w:val="auto"/>
              </w:rPr>
              <w:t>Redeemable convertible preferred stock</w:t>
            </w:r>
          </w:p>
        </w:tc>
        <w:tc>
          <w:tcPr>
            <w:tcW w:w="2740" w:type="dxa"/>
            <w:vAlign w:val="bottom"/>
            <w:gridSpan w:val="2"/>
          </w:tcPr>
          <w:p>
            <w:pPr>
              <w:jc w:val="right"/>
              <w:ind w:right="93"/>
              <w:spacing w:after="0"/>
              <w:rPr>
                <w:sz w:val="20"/>
                <w:szCs w:val="20"/>
                <w:color w:val="auto"/>
              </w:rPr>
            </w:pPr>
            <w:r>
              <w:rPr>
                <w:rFonts w:ascii="Arial" w:cs="Arial" w:eastAsia="Arial" w:hAnsi="Arial"/>
                <w:sz w:val="17"/>
                <w:szCs w:val="17"/>
                <w:color w:val="auto"/>
              </w:rPr>
              <w:t>130,666</w:t>
            </w:r>
          </w:p>
        </w:tc>
        <w:tc>
          <w:tcPr>
            <w:tcW w:w="120" w:type="dxa"/>
            <w:vAlign w:val="bottom"/>
          </w:tcPr>
          <w:p>
            <w:pPr>
              <w:spacing w:after="0"/>
              <w:rPr>
                <w:sz w:val="17"/>
                <w:szCs w:val="17"/>
                <w:color w:val="auto"/>
              </w:rPr>
            </w:pPr>
          </w:p>
        </w:tc>
        <w:tc>
          <w:tcPr>
            <w:tcW w:w="1400" w:type="dxa"/>
            <w:vAlign w:val="bottom"/>
          </w:tcPr>
          <w:p>
            <w:pPr>
              <w:jc w:val="right"/>
              <w:ind w:right="388"/>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7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4,419</w:t>
            </w:r>
          </w:p>
        </w:tc>
        <w:tc>
          <w:tcPr>
            <w:tcW w:w="1520" w:type="dxa"/>
            <w:vAlign w:val="bottom"/>
            <w:gridSpan w:val="2"/>
            <w:shd w:val="clear" w:color="auto" w:fill="CCEEFF"/>
          </w:tcPr>
          <w:p>
            <w:pPr>
              <w:jc w:val="right"/>
              <w:ind w:right="308"/>
              <w:spacing w:after="0"/>
              <w:rPr>
                <w:sz w:val="20"/>
                <w:szCs w:val="20"/>
                <w:color w:val="auto"/>
              </w:rPr>
            </w:pPr>
            <w:r>
              <w:rPr>
                <w:rFonts w:ascii="Arial" w:cs="Arial" w:eastAsia="Arial" w:hAnsi="Arial"/>
                <w:sz w:val="17"/>
                <w:szCs w:val="17"/>
                <w:color w:val="auto"/>
              </w:rPr>
              <w:t>165,578</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tcPr>
          <w:p>
            <w:pPr>
              <w:spacing w:after="0"/>
              <w:rPr>
                <w:sz w:val="20"/>
                <w:szCs w:val="20"/>
                <w:color w:val="auto"/>
              </w:rPr>
            </w:pPr>
            <w:r>
              <w:rPr>
                <w:rFonts w:ascii="Arial" w:cs="Arial" w:eastAsia="Arial" w:hAnsi="Arial"/>
                <w:sz w:val="17"/>
                <w:szCs w:val="17"/>
                <w:color w:val="auto"/>
              </w:rPr>
              <w:t>Accumulated deficit</w:t>
            </w:r>
          </w:p>
        </w:tc>
        <w:tc>
          <w:tcPr>
            <w:tcW w:w="2740" w:type="dxa"/>
            <w:vAlign w:val="bottom"/>
            <w:gridSpan w:val="2"/>
          </w:tcPr>
          <w:p>
            <w:pPr>
              <w:jc w:val="right"/>
              <w:ind w:right="33"/>
              <w:spacing w:after="0"/>
              <w:rPr>
                <w:sz w:val="20"/>
                <w:szCs w:val="20"/>
                <w:color w:val="auto"/>
              </w:rPr>
            </w:pPr>
            <w:r>
              <w:rPr>
                <w:rFonts w:ascii="Arial" w:cs="Arial" w:eastAsia="Arial" w:hAnsi="Arial"/>
                <w:sz w:val="17"/>
                <w:szCs w:val="17"/>
                <w:color w:val="auto"/>
              </w:rPr>
              <w:t>(127,757)</w:t>
            </w:r>
          </w:p>
        </w:tc>
        <w:tc>
          <w:tcPr>
            <w:tcW w:w="1520" w:type="dxa"/>
            <w:vAlign w:val="bottom"/>
            <w:gridSpan w:val="2"/>
          </w:tcPr>
          <w:p>
            <w:pPr>
              <w:jc w:val="right"/>
              <w:ind w:right="248"/>
              <w:spacing w:after="0"/>
              <w:rPr>
                <w:sz w:val="20"/>
                <w:szCs w:val="20"/>
                <w:color w:val="auto"/>
              </w:rPr>
            </w:pPr>
            <w:r>
              <w:rPr>
                <w:rFonts w:ascii="Arial" w:cs="Arial" w:eastAsia="Arial" w:hAnsi="Arial"/>
                <w:sz w:val="17"/>
                <w:szCs w:val="17"/>
                <w:color w:val="auto"/>
              </w:rPr>
              <w:t>(127,757)</w:t>
            </w:r>
          </w:p>
        </w:tc>
        <w:tc>
          <w:tcPr>
            <w:tcW w:w="3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(127,757)</w:t>
            </w: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 equity</w:t>
            </w:r>
          </w:p>
        </w:tc>
        <w:tc>
          <w:tcPr>
            <w:tcW w:w="27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(123,338)</w:t>
            </w:r>
          </w:p>
        </w:tc>
        <w:tc>
          <w:tcPr>
            <w:tcW w:w="1520" w:type="dxa"/>
            <w:vAlign w:val="bottom"/>
            <w:gridSpan w:val="2"/>
            <w:shd w:val="clear" w:color="auto" w:fill="CCEEFF"/>
          </w:tcPr>
          <w:p>
            <w:pPr>
              <w:jc w:val="right"/>
              <w:ind w:right="308"/>
              <w:spacing w:after="0"/>
              <w:rPr>
                <w:sz w:val="20"/>
                <w:szCs w:val="20"/>
                <w:color w:val="auto"/>
              </w:rPr>
            </w:pPr>
            <w:r>
              <w:rPr>
                <w:rFonts w:ascii="Arial" w:cs="Arial" w:eastAsia="Arial" w:hAnsi="Arial"/>
                <w:sz w:val="17"/>
                <w:szCs w:val="17"/>
                <w:color w:val="auto"/>
              </w:rPr>
              <w:t>37,829</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60" w:right="20" w:hanging="388"/>
        <w:spacing w:after="0" w:line="283"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pro forma consolidated balance sheet data gives effect to (1) the issuance and sale of 78,306,611 shares of our Series C preferred stock, at a price of $0.38811 per share, and warrants to purchase 681,256 shares of our common stock, in each case, in January 2020, (2) the automatic conversion of all outstanding shares of our preferred stock into an aggregate of 8,335,248 shares of common stock, (3) the issuance to George Whitesides, Ph.D., one of our directors, in lieu of compensation payable by us under a consulting agreement, of such number of fully vested shares of common stock equal to $314,580 divided by the initial public offering price per share, which, based on an assumed initial public offering price of $15.00 per share, the midpoint of the price range set forth on the cover of this prospectus, would result in the issuance of 20,972 shares of our common stock upon the closing of this offering (a $1.00 increase in the assumed initial public offering price of $15.00 per share would decrease the number of shares of our common stock issued by 1,311 shares; a $1.00 decrease in the assumed initial public offering price of $15.00 per share would increase the number of shares of our common stock issued by 1,498 shares) and (4) the automatic cashless exercise of outstanding warrants to purchase shares of common stock, which, based on an assumed initial public offering price of $15.00 per share, the midpoint of the price range set forth on the cover of this prospectus, would result in the issuance of 289,298 shares of our common stock upon the closing of this offering (a $1.00 increase in the assumed initial public offering price of $15.00 per share would increase the number of additional shares of our common stock issuable in connection with such automatic exercise by an aggregate of 24,496 shares; a $1.00 decrease in the assumed initial public offering price of $15.00 per share would decrease the number of additional shares of our common stock issuable in connection with such exercise by an aggregate of 27,992 shares), which will occur upon the closing of this offering.</w:t>
      </w:r>
    </w:p>
    <w:p>
      <w:pPr>
        <w:spacing w:after="0" w:line="185" w:lineRule="exact"/>
        <w:rPr>
          <w:rFonts w:ascii="Arial" w:cs="Arial" w:eastAsia="Arial" w:hAnsi="Arial"/>
          <w:sz w:val="15"/>
          <w:szCs w:val="15"/>
          <w:color w:val="auto"/>
        </w:rPr>
      </w:pPr>
    </w:p>
    <w:p>
      <w:pPr>
        <w:ind w:left="1060" w:right="500" w:hanging="388"/>
        <w:spacing w:after="0" w:line="307"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Reflects the pro forma adjustments described in footnote (1) and the issuance and sale of shares of common stock in this offering at an assumed initial public offering price of $15.00 per share, which is the midpoint of the price range set forth on the cover page of this prospectus, after deducting the estimated underwriting discounts and commissions and estimated offering expenses payable by us.</w:t>
      </w:r>
    </w:p>
    <w:p>
      <w:pPr>
        <w:spacing w:after="0" w:line="166" w:lineRule="exact"/>
        <w:rPr>
          <w:rFonts w:ascii="Arial" w:cs="Arial" w:eastAsia="Arial" w:hAnsi="Arial"/>
          <w:sz w:val="15"/>
          <w:szCs w:val="15"/>
          <w:color w:val="auto"/>
        </w:rPr>
      </w:pPr>
    </w:p>
    <w:p>
      <w:pPr>
        <w:ind w:left="1060" w:right="40" w:hanging="388"/>
        <w:spacing w:after="0" w:line="288"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Each $1.00 increase (decrease) in the assumed initial public offering price of $15.00 per share, which is the midpoint of the price range set forth on the cover page of this prospectus, would increase (decrease) the pro forma as adjusted amount of each of cash and cash equivalents, working capital, total assets, additional paid-in capital and total stockholders’ equity by $3.25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would increase (decrease) each of cash and cash equivalents, working capital, total assets, additional paid-in capital and total stockholders’ equity by $13.95 million. The pro forma information</w:t>
      </w:r>
    </w:p>
    <w:p>
      <w:pPr>
        <w:spacing w:after="0" w:line="200" w:lineRule="exact"/>
        <w:rPr>
          <w:sz w:val="20"/>
          <w:szCs w:val="20"/>
          <w:color w:val="auto"/>
        </w:rPr>
      </w:pP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60"/>
          </w:cols>
          <w:pgMar w:left="320" w:top="437" w:right="10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186690</wp:posOffset>
            </wp:positionV>
            <wp:extent cx="6508750" cy="921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08750" cy="92138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060" w:right="80"/>
        <w:spacing w:after="0" w:line="268" w:lineRule="auto"/>
        <w:rPr>
          <w:sz w:val="20"/>
          <w:szCs w:val="20"/>
          <w:color w:val="auto"/>
        </w:rPr>
      </w:pPr>
      <w:r>
        <w:rPr>
          <w:rFonts w:ascii="Arial" w:cs="Arial" w:eastAsia="Arial" w:hAnsi="Arial"/>
          <w:sz w:val="17"/>
          <w:szCs w:val="17"/>
          <w:color w:val="auto"/>
        </w:rPr>
        <w:t>discussed above is illustrative only and will be adjusted based on the actual initial public offering price and other terms of our initial public offering determined at pricing.</w:t>
      </w:r>
    </w:p>
    <w:p>
      <w:pPr>
        <w:spacing w:after="0" w:line="191" w:lineRule="exact"/>
        <w:rPr>
          <w:sz w:val="20"/>
          <w:szCs w:val="20"/>
          <w:color w:val="auto"/>
        </w:rPr>
      </w:pPr>
    </w:p>
    <w:p>
      <w:pPr>
        <w:ind w:left="1060" w:hanging="388"/>
        <w:spacing w:after="0" w:line="26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440"/>
          </w:cols>
          <w:pgMar w:left="320" w:top="437" w:right="11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RISK FACTORS</w:t>
      </w:r>
    </w:p>
    <w:p>
      <w:pPr>
        <w:spacing w:after="0" w:line="210" w:lineRule="exact"/>
        <w:rPr>
          <w:sz w:val="20"/>
          <w:szCs w:val="20"/>
          <w:color w:val="auto"/>
        </w:rPr>
      </w:pPr>
    </w:p>
    <w:p>
      <w:pPr>
        <w:ind w:left="500" w:right="100" w:firstLine="819"/>
        <w:spacing w:after="0" w:line="250"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prospectus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10" w:lineRule="exact"/>
        <w:rPr>
          <w:sz w:val="20"/>
          <w:szCs w:val="20"/>
          <w:color w:val="auto"/>
        </w:rPr>
      </w:pPr>
    </w:p>
    <w:p>
      <w:pPr>
        <w:ind w:left="500" w:right="100"/>
        <w:spacing w:after="0" w:line="268" w:lineRule="auto"/>
        <w:rPr>
          <w:sz w:val="20"/>
          <w:szCs w:val="20"/>
          <w:color w:val="auto"/>
        </w:rPr>
      </w:pPr>
      <w:r>
        <w:rPr>
          <w:rFonts w:ascii="Arial" w:cs="Arial" w:eastAsia="Arial" w:hAnsi="Arial"/>
          <w:sz w:val="17"/>
          <w:szCs w:val="17"/>
          <w:b w:val="1"/>
          <w:bCs w:val="1"/>
          <w:i w:val="1"/>
          <w:iCs w:val="1"/>
          <w:color w:val="auto"/>
        </w:rPr>
        <w:t>We have a limited operating history and a history of escalating operating losses, which may make it difficult to evaluate the prospects for our future viability.</w:t>
      </w:r>
    </w:p>
    <w:p>
      <w:pPr>
        <w:spacing w:after="0" w:line="166" w:lineRule="exact"/>
        <w:rPr>
          <w:sz w:val="20"/>
          <w:szCs w:val="20"/>
          <w:color w:val="auto"/>
        </w:rPr>
      </w:pPr>
    </w:p>
    <w:p>
      <w:pPr>
        <w:ind w:left="500" w:right="20" w:firstLine="819"/>
        <w:spacing w:after="0" w:line="250" w:lineRule="auto"/>
        <w:rPr>
          <w:sz w:val="20"/>
          <w:szCs w:val="20"/>
          <w:color w:val="auto"/>
        </w:rPr>
      </w:pPr>
      <w:r>
        <w:rPr>
          <w:rFonts w:ascii="Arial" w:cs="Arial" w:eastAsia="Arial" w:hAnsi="Arial"/>
          <w:sz w:val="17"/>
          <w:szCs w:val="17"/>
          <w:color w:val="auto"/>
        </w:rPr>
        <w:t>We are a clinical-stage therapeutics company established in November 2005.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companies in their early stages of operations. We have not yet demonstrated an ability to obtain marketing approval, manufacture a commercial scale product, or arrange for a third party to do so on our behalf, or conduct sales and marketing activities necessary for successful product commercialization. Consequently, predictions about our future success or viability may not be as accurate as they could be if we had a longer operating history or a history of successfully developing, obtaining marketing approval for and commercializing CRS treatments.</w:t>
      </w:r>
    </w:p>
    <w:p>
      <w:pPr>
        <w:spacing w:after="0" w:line="181"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obstacles. We will eventually need to transition from a company with a research and development focus to a company capable of supporting commercial activities. We may not be successful in such a transition.</w:t>
      </w:r>
    </w:p>
    <w:p>
      <w:pPr>
        <w:spacing w:after="0" w:line="175" w:lineRule="exact"/>
        <w:rPr>
          <w:sz w:val="20"/>
          <w:szCs w:val="20"/>
          <w:color w:val="auto"/>
        </w:rPr>
      </w:pPr>
    </w:p>
    <w:p>
      <w:pPr>
        <w:ind w:left="500" w:right="300" w:firstLine="819"/>
        <w:spacing w:after="0" w:line="257" w:lineRule="auto"/>
        <w:rPr>
          <w:sz w:val="20"/>
          <w:szCs w:val="20"/>
          <w:color w:val="auto"/>
        </w:rPr>
      </w:pPr>
      <w:r>
        <w:rPr>
          <w:rFonts w:ascii="Arial" w:cs="Arial" w:eastAsia="Arial" w:hAnsi="Arial"/>
          <w:sz w:val="17"/>
          <w:szCs w:val="17"/>
          <w:color w:val="auto"/>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 as indications of future operating performance.</w:t>
      </w:r>
    </w:p>
    <w:p>
      <w:pPr>
        <w:spacing w:after="0" w:line="175"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b w:val="1"/>
          <w:bCs w:val="1"/>
          <w:i w:val="1"/>
          <w:iCs w:val="1"/>
          <w:color w:val="auto"/>
        </w:rPr>
        <w:t>We have incurred significant losses since inception and expect to incur significant additional losses for the foreseeable future. We may never achieve or maintain profitability.</w:t>
      </w:r>
    </w:p>
    <w:p>
      <w:pPr>
        <w:spacing w:after="0" w:line="166" w:lineRule="exact"/>
        <w:rPr>
          <w:sz w:val="20"/>
          <w:szCs w:val="20"/>
          <w:color w:val="auto"/>
        </w:rPr>
      </w:pPr>
    </w:p>
    <w:p>
      <w:pPr>
        <w:ind w:left="500" w:right="60" w:firstLine="819"/>
        <w:spacing w:after="0" w:line="253" w:lineRule="auto"/>
        <w:rPr>
          <w:sz w:val="20"/>
          <w:szCs w:val="20"/>
          <w:color w:val="auto"/>
        </w:rPr>
      </w:pPr>
      <w:r>
        <w:rPr>
          <w:rFonts w:ascii="Arial" w:cs="Arial" w:eastAsia="Arial" w:hAnsi="Arial"/>
          <w:sz w:val="17"/>
          <w:szCs w:val="17"/>
          <w:color w:val="auto"/>
        </w:rPr>
        <w:t>We have incurred significant operating losses since our inception, including operating losses of approximately $16.3 million and $6.0 million for the fiscal years ended December 31, 2019 and December 31, 2018, respectively. In addition, we have not commercialized any products and have never generated any revenue from product sales. We have devoted almost all of our financial resources to research and development, including our pre-clinical development activities.</w:t>
      </w:r>
    </w:p>
    <w:p>
      <w:pPr>
        <w:spacing w:after="0" w:line="180" w:lineRule="exact"/>
        <w:rPr>
          <w:sz w:val="20"/>
          <w:szCs w:val="20"/>
          <w:color w:val="auto"/>
        </w:rPr>
      </w:pPr>
    </w:p>
    <w:p>
      <w:pPr>
        <w:ind w:left="500" w:right="20" w:firstLine="819"/>
        <w:spacing w:after="0" w:line="288" w:lineRule="auto"/>
        <w:rPr>
          <w:sz w:val="20"/>
          <w:szCs w:val="20"/>
          <w:color w:val="auto"/>
        </w:rPr>
      </w:pPr>
      <w:r>
        <w:rPr>
          <w:rFonts w:ascii="Arial" w:cs="Arial" w:eastAsia="Arial" w:hAnsi="Arial"/>
          <w:sz w:val="15"/>
          <w:szCs w:val="15"/>
          <w:color w:val="auto"/>
        </w:rPr>
        <w:t>In addition, we expect to continue to incur significant additional operating losses for the foreseeable future as we seek to advance product candidates through pre-clinical and clinical development, expand our research and development activities, develop new product candidates, complete pre-clinical studies and clinical trials, seek regulatory approval and, if we receive FDA approval, commercialize our products. In order to obtain FDA approval of any product candidate, we must submit to the FDA an NDA demonstrating that the product candidate is safe for humans and effective for its intended use. This demonstration requires significant research and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w:t>
      </w:r>
    </w:p>
    <w:p>
      <w:pPr>
        <w:spacing w:after="0" w:line="9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740"/>
          </w:cols>
          <w:pgMar w:left="320" w:top="437" w:right="8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00"/>
        <w:spacing w:after="0" w:line="253" w:lineRule="auto"/>
        <w:rPr>
          <w:sz w:val="20"/>
          <w:szCs w:val="20"/>
          <w:color w:val="auto"/>
        </w:rPr>
      </w:pPr>
      <w:r>
        <w:rPr>
          <w:rFonts w:ascii="Arial" w:cs="Arial" w:eastAsia="Arial" w:hAnsi="Arial"/>
          <w:sz w:val="17"/>
          <w:szCs w:val="17"/>
          <w:color w:val="auto"/>
        </w:rPr>
        <w:t>marketing approval in even a single jurisdiction would be substantial. Because of the numerous risks and uncertainties associated with ENT disease treatment product development, we are unable to accurately predict the timing or amount of increased expenses or when, or if, we will be able to begin generating revenue from the commercialization of products or achieve or maintain profitability. Our expenses will also increase substantially if and as we:</w:t>
      </w:r>
    </w:p>
    <w:p>
      <w:pPr>
        <w:spacing w:after="0" w:line="205" w:lineRule="exact"/>
        <w:rPr>
          <w:sz w:val="20"/>
          <w:szCs w:val="20"/>
          <w:color w:val="auto"/>
        </w:rPr>
      </w:pPr>
    </w:p>
    <w:p>
      <w:pPr>
        <w:ind w:left="1720" w:right="200" w:hanging="301"/>
        <w:spacing w:after="0" w:line="268" w:lineRule="auto"/>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 additional clinical trials of our most advanced product candidate, LYR-210, including the Phase 2 LANTERN trial, which commenced in May 2019 and one or more planned pivotal Phase 3 clinical trials of LYR-210;</w:t>
      </w:r>
    </w:p>
    <w:p>
      <w:pPr>
        <w:spacing w:after="0" w:line="78"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advance the development of LYR-220;</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 to discover and develop additional product candidates;</w:t>
      </w:r>
    </w:p>
    <w:p>
      <w:pPr>
        <w:spacing w:after="0" w:line="231" w:lineRule="exact"/>
        <w:rPr>
          <w:rFonts w:ascii="Arial" w:cs="Arial" w:eastAsia="Arial" w:hAnsi="Arial"/>
          <w:sz w:val="17"/>
          <w:szCs w:val="17"/>
          <w:color w:val="auto"/>
        </w:rPr>
      </w:pPr>
    </w:p>
    <w:p>
      <w:pPr>
        <w:ind w:left="1720" w:hanging="301"/>
        <w:spacing w:after="0" w:line="268" w:lineRule="auto"/>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manufacturing and supply chain capacity sufficient to provide commercial quantities of any product candidates for which we may obtain marketing approval;</w:t>
      </w:r>
    </w:p>
    <w:p>
      <w:pPr>
        <w:spacing w:after="0" w:line="78"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seek regulatory and marketing approvals for product candidates that successfully complete clinical trials, if any;</w:t>
      </w:r>
    </w:p>
    <w:p>
      <w:pPr>
        <w:spacing w:after="0" w:line="231" w:lineRule="exact"/>
        <w:rPr>
          <w:rFonts w:ascii="Arial" w:cs="Arial" w:eastAsia="Arial" w:hAnsi="Arial"/>
          <w:sz w:val="17"/>
          <w:szCs w:val="17"/>
          <w:color w:val="auto"/>
        </w:rPr>
      </w:pPr>
    </w:p>
    <w:p>
      <w:pPr>
        <w:ind w:left="1720" w:right="560" w:hanging="301"/>
        <w:spacing w:after="0" w:line="268" w:lineRule="auto"/>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 in geographies in which we plan to commercialize our products ourselves;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31" w:lineRule="exact"/>
        <w:rPr>
          <w:rFonts w:ascii="Arial" w:cs="Arial" w:eastAsia="Arial" w:hAnsi="Arial"/>
          <w:sz w:val="17"/>
          <w:szCs w:val="17"/>
          <w:color w:val="auto"/>
        </w:rPr>
      </w:pPr>
    </w:p>
    <w:p>
      <w:pPr>
        <w:ind w:left="1720" w:right="160" w:hanging="301"/>
        <w:spacing w:after="0" w:line="268" w:lineRule="auto"/>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hire additional staff, including clinical, scientific, technical, regulatory, operational, financial, commercial and support personnel, to execute our business plan;</w:t>
      </w:r>
    </w:p>
    <w:p>
      <w:pPr>
        <w:spacing w:after="0" w:line="191" w:lineRule="exact"/>
        <w:rPr>
          <w:rFonts w:ascii="Arial" w:cs="Arial" w:eastAsia="Arial" w:hAnsi="Arial"/>
          <w:sz w:val="17"/>
          <w:szCs w:val="17"/>
          <w:color w:val="auto"/>
        </w:rPr>
      </w:pPr>
    </w:p>
    <w:p>
      <w:pPr>
        <w:ind w:left="1720" w:right="40" w:hanging="301"/>
        <w:spacing w:after="0" w:line="299" w:lineRule="auto"/>
        <w:tabs>
          <w:tab w:leader="none" w:pos="1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 clinical, scientific operational, financial and management information systems and personnel to support our product development and potential future commercialization efforts, and as to enable us to operate as a public reporting company;</w:t>
      </w:r>
    </w:p>
    <w:p>
      <w:pPr>
        <w:spacing w:after="0" w:line="169" w:lineRule="exact"/>
        <w:rPr>
          <w:rFonts w:ascii="Arial" w:cs="Arial" w:eastAsia="Arial" w:hAnsi="Arial"/>
          <w:sz w:val="16"/>
          <w:szCs w:val="16"/>
          <w:color w:val="auto"/>
        </w:rPr>
      </w:pPr>
    </w:p>
    <w:p>
      <w:pPr>
        <w:ind w:left="1720" w:right="320" w:hanging="301"/>
        <w:spacing w:after="0" w:line="268" w:lineRule="auto"/>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utilize external vendors for support with respect to research, development, commercialization, regulatory, pharmacovigilance and other functions;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acquire or in-license other commercial products, product candidates and technologies;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 internationally;</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make royalty, milestone or other payments under current and any future in-license agreements;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implement additional internal systems and infrastructure;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operate as a public company.</w:t>
      </w:r>
    </w:p>
    <w:p>
      <w:pPr>
        <w:spacing w:after="0" w:line="206" w:lineRule="exact"/>
        <w:rPr>
          <w:sz w:val="20"/>
          <w:szCs w:val="20"/>
          <w:color w:val="auto"/>
        </w:rPr>
      </w:pPr>
    </w:p>
    <w:p>
      <w:pPr>
        <w:ind w:left="500" w:right="20" w:firstLine="819"/>
        <w:spacing w:after="0" w:line="269" w:lineRule="auto"/>
        <w:rPr>
          <w:sz w:val="20"/>
          <w:szCs w:val="20"/>
          <w:color w:val="auto"/>
        </w:rPr>
      </w:pPr>
      <w:r>
        <w:rPr>
          <w:rFonts w:ascii="Arial" w:cs="Arial" w:eastAsia="Arial" w:hAnsi="Arial"/>
          <w:sz w:val="16"/>
          <w:szCs w:val="16"/>
          <w:color w:val="auto"/>
        </w:rPr>
        <w:t>Furthermore, our ability to successfully develop, commercialize and license our products and generate product revenue is subject to substantial additional risks and uncertainties. Each of our product candidates will require additional pre-clinical and/or clinical development, potential regulatory approval in multiple jurisdictions, the securing of manufacturing supply, capacity and expertise, the use of external vendors, the building of a commercial organization, substantial investment and significant marketing efforts before we generate any revenue from product sales. As a result, we expect to continue to incur net losses and negative cash flows for the foreseeable future. These net losses and negative cash flows have had, and will continue to have, an adverse effect on our stockholders’ equity and working capital.</w:t>
      </w:r>
    </w:p>
    <w:p>
      <w:pPr>
        <w:spacing w:after="0" w:line="10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700"/>
          </w:cols>
          <w:pgMar w:left="320" w:top="437" w:right="8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firstLine="819"/>
        <w:spacing w:after="0" w:line="288" w:lineRule="auto"/>
        <w:rPr>
          <w:sz w:val="20"/>
          <w:szCs w:val="20"/>
          <w:color w:val="auto"/>
        </w:rPr>
      </w:pPr>
      <w:r>
        <w:rPr>
          <w:rFonts w:ascii="Arial" w:cs="Arial" w:eastAsia="Arial" w:hAnsi="Arial"/>
          <w:sz w:val="15"/>
          <w:szCs w:val="15"/>
          <w:color w:val="auto"/>
        </w:rPr>
        <w:t>The amount of future losses and when, if ever, we will achieve profitability are uncertain. We have no products that have generated any commercial revenue, do not expect to generate revenues from the commercial sale of products in the foreseeable future, and might never generate revenues from the sale of products. Our ability to generate revenue and achieve profitability will depend on, among other things, successful completion of the clinical development of our product candidates; obtaining necessary regulatory approvals from the FDA and international regulatory agencies; establishing manufacturing, sales, market acceptance of our products and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w:t>
      </w:r>
    </w:p>
    <w:p>
      <w:pPr>
        <w:spacing w:after="0" w:line="158" w:lineRule="exact"/>
        <w:rPr>
          <w:sz w:val="20"/>
          <w:szCs w:val="20"/>
          <w:color w:val="auto"/>
        </w:rPr>
      </w:pPr>
    </w:p>
    <w:p>
      <w:pPr>
        <w:ind w:left="500" w:right="20"/>
        <w:spacing w:after="0" w:line="280" w:lineRule="auto"/>
        <w:rPr>
          <w:sz w:val="20"/>
          <w:szCs w:val="20"/>
          <w:color w:val="auto"/>
        </w:rPr>
      </w:pPr>
      <w:r>
        <w:rPr>
          <w:rFonts w:ascii="Arial" w:cs="Arial" w:eastAsia="Arial" w:hAnsi="Arial"/>
          <w:sz w:val="16"/>
          <w:szCs w:val="16"/>
          <w:b w:val="1"/>
          <w:bCs w:val="1"/>
          <w:i w:val="1"/>
          <w:iCs w:val="1"/>
          <w:color w:val="auto"/>
        </w:rPr>
        <w:t>Even if this offering is successful, we will need significant additional funding in order to complete development of and obtain regulatory approval for our product candidates and commercialize our products, if approved.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left="500" w:right="60" w:firstLine="819"/>
        <w:spacing w:after="0" w:line="290" w:lineRule="auto"/>
        <w:rPr>
          <w:sz w:val="20"/>
          <w:szCs w:val="20"/>
          <w:color w:val="auto"/>
        </w:rPr>
      </w:pPr>
      <w:r>
        <w:rPr>
          <w:rFonts w:ascii="Arial" w:cs="Arial" w:eastAsia="Arial" w:hAnsi="Arial"/>
          <w:sz w:val="15"/>
          <w:szCs w:val="15"/>
          <w:color w:val="auto"/>
        </w:rPr>
        <w:t>Even after the consummation of this offering, we will continue to need additional capital beyond the proceeds of this offering,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complete planned clinical trials or obtain approval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w:t>
      </w:r>
    </w:p>
    <w:p>
      <w:pPr>
        <w:spacing w:after="0" w:line="155"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We will require substantial funds to further develop, obtain approval for and commercialize our product candidates, including LYR-210, which is currently in Phase 2 clinical development. We will also require substantial funds to further develop, obtain approval for and commercialize our other product candidate, LYR-220, which is in pre-clinical development.</w:t>
      </w:r>
    </w:p>
    <w:p>
      <w:pPr>
        <w:spacing w:after="0" w:line="175" w:lineRule="exact"/>
        <w:rPr>
          <w:sz w:val="20"/>
          <w:szCs w:val="20"/>
          <w:color w:val="auto"/>
        </w:rPr>
      </w:pPr>
    </w:p>
    <w:p>
      <w:pPr>
        <w:ind w:left="500" w:right="40" w:firstLine="819"/>
        <w:spacing w:after="0" w:line="249" w:lineRule="auto"/>
        <w:rPr>
          <w:sz w:val="20"/>
          <w:szCs w:val="20"/>
          <w:color w:val="auto"/>
        </w:rPr>
      </w:pPr>
      <w:r>
        <w:rPr>
          <w:rFonts w:ascii="Arial" w:cs="Arial" w:eastAsia="Arial" w:hAnsi="Arial"/>
          <w:sz w:val="17"/>
          <w:szCs w:val="17"/>
          <w:color w:val="auto"/>
        </w:rPr>
        <w:t>Based on our current operating plan, we believe that the anticipated net proceeds from this offering and our current cash and cash equivalents will be sufficient to enable us to fund our operating expenses and capital expenditure requirements into the fourth quarter of 2023. This estimate is based on assumptions that may prove to be wrong, and we could use our available capital resources sooner than we currently expect. Changing circumstances could cause us to consume capital significantly faster than we currently anticipate, and we may need to spend more than currently expected because of circumstances beyond our control. Because the length of time and activities associated with successful development of LYR-210 and LYR-220 is highly uncertain, we are unable to estimate the actual funds we will require for development, approval and any approved marketing and commercialization activities. Our future funding requirements, both near and long-term, will depend on many factors, including, but not limited to:</w:t>
      </w:r>
    </w:p>
    <w:p>
      <w:pPr>
        <w:spacing w:after="0" w:line="210" w:lineRule="exact"/>
        <w:rPr>
          <w:sz w:val="20"/>
          <w:szCs w:val="20"/>
          <w:color w:val="auto"/>
        </w:rPr>
      </w:pPr>
    </w:p>
    <w:p>
      <w:pPr>
        <w:ind w:left="1720" w:right="300" w:hanging="301"/>
        <w:spacing w:after="0" w:line="268" w:lineRule="auto"/>
        <w:tabs>
          <w:tab w:leader="none" w:pos="1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and results of our pre-clinical studies and clinical trials, including any unforeseen costs we may incur as a result of pre-clinical study or clinical trial delays due to the COVID-19 global pandemic or other causes;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LYR-210 and LYR-220;</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and timing of changes in the regulatory environment and enforcement rules;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and timing in changes in pharmaceutical pricing and reimbursement infrastructure;</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60"/>
          </w:cols>
          <w:pgMar w:left="320" w:top="437" w:right="91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120" w:hanging="301"/>
        <w:spacing w:after="0" w:line="268" w:lineRule="auto"/>
        <w:tabs>
          <w:tab w:leader="none" w:pos="1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and enforcing patent claims and other patent-related costs, including any litigation costs and the results of such litigation;</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extent to which we in-license or acquire other products and technologies;</w:t>
      </w:r>
    </w:p>
    <w:p>
      <w:pPr>
        <w:spacing w:after="0" w:line="231" w:lineRule="exact"/>
        <w:rPr>
          <w:rFonts w:ascii="Arial" w:cs="Arial" w:eastAsia="Arial" w:hAnsi="Arial"/>
          <w:sz w:val="17"/>
          <w:szCs w:val="17"/>
          <w:color w:val="auto"/>
        </w:rPr>
      </w:pPr>
    </w:p>
    <w:p>
      <w:pPr>
        <w:ind w:left="1720" w:right="560" w:hanging="301"/>
        <w:spacing w:after="0" w:line="268" w:lineRule="auto"/>
        <w:tabs>
          <w:tab w:leader="none" w:pos="1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our product candidates in regions where we choose to commercialize our products; and</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initiation, progress, timing and results of our commercialization of LYR-210 and LYR-220, if approved for commercial sale.</w:t>
      </w:r>
    </w:p>
    <w:p>
      <w:pPr>
        <w:spacing w:after="0" w:line="218" w:lineRule="exact"/>
        <w:rPr>
          <w:sz w:val="20"/>
          <w:szCs w:val="20"/>
          <w:color w:val="auto"/>
        </w:rPr>
      </w:pPr>
    </w:p>
    <w:p>
      <w:pPr>
        <w:ind w:left="500" w:right="60" w:firstLine="819"/>
        <w:spacing w:after="0" w:line="293" w:lineRule="auto"/>
        <w:rPr>
          <w:sz w:val="20"/>
          <w:szCs w:val="20"/>
          <w:color w:val="auto"/>
        </w:rPr>
      </w:pPr>
      <w:r>
        <w:rPr>
          <w:rFonts w:ascii="Arial" w:cs="Arial" w:eastAsia="Arial" w:hAnsi="Arial"/>
          <w:sz w:val="15"/>
          <w:szCs w:val="15"/>
          <w:color w:val="auto"/>
        </w:rPr>
        <w:t>Depending on our business performance, the economic climate and market conditions, we may be unable to raise additional funds through any sources. Market volatility resulting from the COVID-19 global pandemic could also adversely impact our ability to access capital as and when needed. If we are unable to obtain adequate funding on a timely basis, we may be required to curtail or discontinue one or more of our development programs for LYR-210 or LYR-220, or to reduce our operations. If we raise additional funds by issuing equity securities, our then-existing stockholders will experience dilution and the terms of any new equity securities may have preference over those of our existing common stock.</w:t>
      </w:r>
    </w:p>
    <w:p>
      <w:pPr>
        <w:spacing w:after="0" w:line="152" w:lineRule="exact"/>
        <w:rPr>
          <w:sz w:val="20"/>
          <w:szCs w:val="20"/>
          <w:color w:val="auto"/>
        </w:rPr>
      </w:pPr>
    </w:p>
    <w:p>
      <w:pPr>
        <w:ind w:left="500" w:right="100"/>
        <w:spacing w:after="0" w:line="268"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66" w:lineRule="exact"/>
        <w:rPr>
          <w:sz w:val="20"/>
          <w:szCs w:val="20"/>
          <w:color w:val="auto"/>
        </w:rPr>
      </w:pPr>
    </w:p>
    <w:p>
      <w:pPr>
        <w:ind w:left="500" w:right="80" w:firstLine="819"/>
        <w:spacing w:after="0" w:line="25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w:t>
      </w:r>
    </w:p>
    <w:p>
      <w:pPr>
        <w:spacing w:after="0" w:line="180" w:lineRule="exact"/>
        <w:rPr>
          <w:sz w:val="20"/>
          <w:szCs w:val="20"/>
          <w:color w:val="auto"/>
        </w:rPr>
      </w:pPr>
    </w:p>
    <w:p>
      <w:pPr>
        <w:ind w:left="500" w:firstLine="819"/>
        <w:spacing w:after="0" w:line="286" w:lineRule="auto"/>
        <w:rPr>
          <w:sz w:val="20"/>
          <w:szCs w:val="20"/>
          <w:color w:val="auto"/>
        </w:rPr>
      </w:pPr>
      <w:r>
        <w:rPr>
          <w:rFonts w:ascii="Arial" w:cs="Arial" w:eastAsia="Arial" w:hAnsi="Arial"/>
          <w:sz w:val="15"/>
          <w:szCs w:val="15"/>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have no approved products.</w:t>
      </w:r>
    </w:p>
    <w:p>
      <w:pPr>
        <w:spacing w:after="0" w:line="206" w:lineRule="exact"/>
        <w:rPr>
          <w:sz w:val="20"/>
          <w:szCs w:val="20"/>
          <w:color w:val="auto"/>
        </w:rPr>
      </w:pPr>
    </w:p>
    <w:p>
      <w:pPr>
        <w:jc w:val="both"/>
        <w:ind w:left="500" w:right="20" w:firstLine="819"/>
        <w:spacing w:after="0" w:line="307" w:lineRule="auto"/>
        <w:rPr>
          <w:sz w:val="20"/>
          <w:szCs w:val="20"/>
          <w:color w:val="auto"/>
        </w:rPr>
      </w:pPr>
      <w:r>
        <w:rPr>
          <w:rFonts w:ascii="Arial" w:cs="Arial" w:eastAsia="Arial" w:hAnsi="Arial"/>
          <w:sz w:val="15"/>
          <w:szCs w:val="15"/>
          <w:color w:val="auto"/>
        </w:rPr>
        <w:t>To date, we have no approved product on the market and have generated no product revenues. Unless we receive approval from the FDA or other regulatory authorities for our product candidates, we will not have product revenues. Therefore, for the foreseeable future, we will have to fund all of our operations and capital expenditures from the net proceeds of this offering, cash on hand, and licensing fees and grants, if any.</w:t>
      </w:r>
    </w:p>
    <w:p>
      <w:pPr>
        <w:spacing w:after="0" w:line="7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720"/>
          </w:cols>
          <w:pgMar w:left="320" w:top="437" w:right="8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product candidates are in various stages of development.</w:t>
      </w:r>
    </w:p>
    <w:p>
      <w:pPr>
        <w:spacing w:after="0" w:line="206" w:lineRule="exact"/>
        <w:rPr>
          <w:sz w:val="20"/>
          <w:szCs w:val="20"/>
          <w:color w:val="auto"/>
        </w:rPr>
      </w:pPr>
    </w:p>
    <w:p>
      <w:pPr>
        <w:ind w:left="500" w:right="40" w:firstLine="819"/>
        <w:spacing w:after="0" w:line="290" w:lineRule="auto"/>
        <w:rPr>
          <w:sz w:val="20"/>
          <w:szCs w:val="20"/>
          <w:color w:val="auto"/>
        </w:rPr>
      </w:pPr>
      <w:r>
        <w:rPr>
          <w:rFonts w:ascii="Arial" w:cs="Arial" w:eastAsia="Arial" w:hAnsi="Arial"/>
          <w:sz w:val="15"/>
          <w:szCs w:val="15"/>
          <w:color w:val="auto"/>
        </w:rPr>
        <w:t>We are a therapeutics company focused on the development and commercialization of novel integrated drug and drug delivery solutions for the localized treatment of patients with ENT diseases. Our product candidates are at stages of pre-clinical or clinical development, and favorable results in pre-clinical or early stage clinical trials may not be predictive of success in later clinical trials and may not lead to commercially viable products for any of several reasons. For example, our product candidates may fail to be safe and effective in current or future clinical trials or pre-clinical studies, or we may have inadequate financial or other resources to pursue discovery and development efforts for new product candidates. Our product candidates will require significant additional development, clinical trials, regulatory clearances and additional investment by us before they can be commercialized.</w:t>
      </w:r>
    </w:p>
    <w:p>
      <w:pPr>
        <w:spacing w:after="0" w:line="155" w:lineRule="exact"/>
        <w:rPr>
          <w:sz w:val="20"/>
          <w:szCs w:val="20"/>
          <w:color w:val="auto"/>
        </w:rPr>
      </w:pPr>
    </w:p>
    <w:p>
      <w:pPr>
        <w:ind w:left="500"/>
        <w:spacing w:after="0" w:line="307" w:lineRule="auto"/>
        <w:rPr>
          <w:sz w:val="20"/>
          <w:szCs w:val="20"/>
          <w:color w:val="auto"/>
        </w:rPr>
      </w:pPr>
      <w:r>
        <w:rPr>
          <w:rFonts w:ascii="Arial" w:cs="Arial" w:eastAsia="Arial" w:hAnsi="Arial"/>
          <w:sz w:val="15"/>
          <w:szCs w:val="15"/>
          <w:b w:val="1"/>
          <w:bCs w:val="1"/>
          <w:i w:val="1"/>
          <w:iCs w:val="1"/>
          <w:color w:val="auto"/>
        </w:rPr>
        <w:t>Our business is highly dependent on the success of our most advanced product candidate, LYR-210, which will require significant additional clinical testing before we can seek regulatory approval and potentially launch commercial sales. If LYR-210 does not receive regulatory approval or is not successfully commercialized, or is significantly delayed in doing so, our business will be harmed.</w:t>
      </w:r>
    </w:p>
    <w:p>
      <w:pPr>
        <w:spacing w:after="0" w:line="141" w:lineRule="exact"/>
        <w:rPr>
          <w:sz w:val="20"/>
          <w:szCs w:val="20"/>
          <w:color w:val="auto"/>
        </w:rPr>
      </w:pPr>
    </w:p>
    <w:p>
      <w:pPr>
        <w:ind w:left="500" w:right="40" w:firstLine="819"/>
        <w:spacing w:after="0" w:line="285" w:lineRule="auto"/>
        <w:rPr>
          <w:sz w:val="20"/>
          <w:szCs w:val="20"/>
          <w:color w:val="auto"/>
        </w:rPr>
      </w:pPr>
      <w:r>
        <w:rPr>
          <w:rFonts w:ascii="Arial" w:cs="Arial" w:eastAsia="Arial" w:hAnsi="Arial"/>
          <w:sz w:val="15"/>
          <w:szCs w:val="15"/>
          <w:color w:val="auto"/>
        </w:rPr>
        <w:t>A substantial portion of our business and future success depends on our ability to develop, obtain regulatory approval for and successfully commercialize our most advanced product candidate, LYR-210. We currently have no products that are approved for commercial sale and have not completed the development of any product candidates, and may never be able to develop marketable products. We expect that a substantial portion of our efforts and expenditures over the next few years will be devoted to LYR-210, which will require additional clinical development and potential additional pre-clinical development, management of clinical, medical affairs and manufacturing activities, regulatory approval in multiple jurisdictions, the securing of manufacturing supply, the building of a commercial organization, substantial investment and significant marketing efforts before we can generate any revenues from any commercial sales. We cannot be certain that LYR-210 will be successful in ongoing or future clinical trials, receive regulatory approval or be successfully commercialized even if we receive regulatory approval. Even if we receive approval to market LYR-210 from the FDA or other regulatory bodies, we cannot be certain that our product candidates will be successfully commercialized, widely accepted in the marketplace or more effective than other commercially available alternatives. Nor can we be certain that, if and when approved, the safety and efficacy profile of LYR-210 or our other product candidates will be consistent with the profiles observed in clinical trials.</w:t>
      </w:r>
    </w:p>
    <w:p>
      <w:pPr>
        <w:spacing w:after="0" w:line="157" w:lineRule="exact"/>
        <w:rPr>
          <w:sz w:val="20"/>
          <w:szCs w:val="20"/>
          <w:color w:val="auto"/>
        </w:rPr>
      </w:pPr>
    </w:p>
    <w:p>
      <w:pPr>
        <w:ind w:left="500" w:right="80" w:firstLine="819"/>
        <w:spacing w:after="0" w:line="250" w:lineRule="auto"/>
        <w:rPr>
          <w:sz w:val="20"/>
          <w:szCs w:val="20"/>
          <w:color w:val="auto"/>
        </w:rPr>
      </w:pPr>
      <w:r>
        <w:rPr>
          <w:rFonts w:ascii="Arial" w:cs="Arial" w:eastAsia="Arial" w:hAnsi="Arial"/>
          <w:sz w:val="17"/>
          <w:szCs w:val="17"/>
          <w:color w:val="auto"/>
        </w:rPr>
        <w:t>LYR-210 is currently being studied in our Phase 2 randomized, sham procedure-controlled, patient blinded LANTERN clinical trial, evaluating the safety and efficacy in surgically-naïve CRS patients who have failed previous medical management. The trial was designed to enroll 99 evaluable patients with the potential to increase to up to 150 patients and was initiated in May 2019 at sites in Australia, Austria, Czech Republic, New Zealand and Poland. In December 2019, the FDA cleared our investigational new drug application, and, prior to the COVID-19 pandemic, we planned to enroll patients in the United States. However, in light of recent developments relating to the COVID-19 global pandemic, as described below, we discontinued enrollment at 67 patients in our ongoing Phase 2 LANTERN clinical trial and do not expect to enroll patients in the United States in Phase 2.</w:t>
      </w:r>
    </w:p>
    <w:p>
      <w:pPr>
        <w:spacing w:after="0" w:line="181" w:lineRule="exact"/>
        <w:rPr>
          <w:sz w:val="20"/>
          <w:szCs w:val="20"/>
          <w:color w:val="auto"/>
        </w:rPr>
      </w:pPr>
    </w:p>
    <w:p>
      <w:pPr>
        <w:ind w:left="500" w:right="40" w:firstLine="819"/>
        <w:spacing w:after="0" w:line="286" w:lineRule="auto"/>
        <w:rPr>
          <w:sz w:val="20"/>
          <w:szCs w:val="20"/>
          <w:color w:val="auto"/>
        </w:rPr>
      </w:pPr>
      <w:r>
        <w:rPr>
          <w:rFonts w:ascii="Arial" w:cs="Arial" w:eastAsia="Arial" w:hAnsi="Arial"/>
          <w:sz w:val="15"/>
          <w:szCs w:val="15"/>
          <w:color w:val="auto"/>
        </w:rPr>
        <w:t>As a result of the decrease in the number of patients enrolled from planned (99) to actually enrolled (67) patients in our ongoing Phase 2 LANTERN clinical trial, a greater magnitude of change in composite score of the seven-day average of four cardinal symptoms from baseline at week 4 and/or a smaller standard deviation associated with the change from baseline at week 4 will be required in order for the trial to achieve statistical significance for the primary endpoint. Moreover, while we are leveraging remote electronic data collection to enable us to complete the clinical assessments and generate sufficient information to design our Phase 3 clinical trial, there can be no assurance that the COVID-19 global pandemic or other delays or disruptions will not hinder our electronic data collection or our collection of data for certain secondary endpoints which require sinus imaging to assess reduction in inflammation and phlebotomy to assess pharmacokinetics/pharmacodynamics. For example, subjects may currently be unable or unwilling to attend a protocol-specified clinic visit due to restrictions caused by the COVID-19 global pandemic and therefore data for certain secondary endpoints will be unable to be timely collected and assessed in the clinical trial.</w:t>
      </w:r>
    </w:p>
    <w:p>
      <w:pPr>
        <w:spacing w:after="0" w:line="9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740"/>
          </w:cols>
          <w:pgMar w:left="320" w:top="437" w:right="8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If the required regulatory approvals for LYR-210 are not obtained or are significantly delayed, including as a result of the COVID-19 global pandemic, or any approved products are not commercially successful, our business, financial condition and results of operations may be materially harmed.</w:t>
      </w:r>
    </w:p>
    <w:p>
      <w:pPr>
        <w:spacing w:after="0" w:line="175" w:lineRule="exact"/>
        <w:rPr>
          <w:sz w:val="20"/>
          <w:szCs w:val="20"/>
          <w:color w:val="auto"/>
        </w:rPr>
      </w:pPr>
    </w:p>
    <w:p>
      <w:pPr>
        <w:ind w:left="500" w:right="180" w:firstLine="819"/>
        <w:spacing w:after="0" w:line="251" w:lineRule="auto"/>
        <w:rPr>
          <w:sz w:val="20"/>
          <w:szCs w:val="20"/>
          <w:color w:val="auto"/>
        </w:rPr>
      </w:pPr>
      <w:r>
        <w:rPr>
          <w:rFonts w:ascii="Arial" w:cs="Arial" w:eastAsia="Arial" w:hAnsi="Arial"/>
          <w:sz w:val="17"/>
          <w:szCs w:val="17"/>
          <w:color w:val="auto"/>
        </w:rPr>
        <w:t>LYR-210 is our most advanced product candidate, and if we experience regulatory or developmental issues with respect to LYR-210, our development plans and business could be significantly harmed. Moreover, if we experience similar regulatory or developmental issues with our other pipeline product candidates, our development plans and business could be significantly harmed. Further, our competitors may be developing products with similar mechanisms of action and may experience problems with their products that could identify problems that would potentially harm our business.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not be successful in our efforts to identify and successfully commercialize additional product candidates.</w:t>
      </w:r>
    </w:p>
    <w:p>
      <w:pPr>
        <w:spacing w:after="0" w:line="206" w:lineRule="exact"/>
        <w:rPr>
          <w:sz w:val="20"/>
          <w:szCs w:val="20"/>
          <w:color w:val="auto"/>
        </w:rPr>
      </w:pPr>
    </w:p>
    <w:p>
      <w:pPr>
        <w:ind w:left="500" w:right="200" w:firstLine="819"/>
        <w:spacing w:after="0" w:line="299" w:lineRule="auto"/>
        <w:rPr>
          <w:sz w:val="20"/>
          <w:szCs w:val="20"/>
          <w:color w:val="auto"/>
        </w:rPr>
      </w:pPr>
      <w:r>
        <w:rPr>
          <w:rFonts w:ascii="Arial" w:cs="Arial" w:eastAsia="Arial" w:hAnsi="Arial"/>
          <w:sz w:val="16"/>
          <w:szCs w:val="16"/>
          <w:color w:val="auto"/>
        </w:rPr>
        <w:t>Part of our strategy involves identifying novel product candidates. The process by which we identify product candidates may fail to yield product candidates for clinical development for a number of reasons, including those discussed in these risk factors and also:</w:t>
      </w:r>
    </w:p>
    <w:p>
      <w:pPr>
        <w:spacing w:after="0" w:line="169" w:lineRule="exact"/>
        <w:rPr>
          <w:sz w:val="20"/>
          <w:szCs w:val="20"/>
          <w:color w:val="auto"/>
        </w:rPr>
      </w:pPr>
    </w:p>
    <w:p>
      <w:pPr>
        <w:ind w:left="1720" w:hanging="301"/>
        <w:spacing w:after="0"/>
        <w:tabs>
          <w:tab w:leader="none" w:pos="1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be able to assemble sufficient resources to acquire or discover additional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potential product candidates obsolete or less attractive;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product candidates we develop may nevertheless be covered by third parties’ patents or other exclusive rights;</w:t>
      </w:r>
    </w:p>
    <w:p>
      <w:pPr>
        <w:spacing w:after="0" w:line="242" w:lineRule="exact"/>
        <w:rPr>
          <w:rFonts w:ascii="Arial" w:cs="Arial" w:eastAsia="Arial" w:hAnsi="Arial"/>
          <w:sz w:val="16"/>
          <w:szCs w:val="16"/>
          <w:color w:val="auto"/>
        </w:rPr>
      </w:pPr>
    </w:p>
    <w:p>
      <w:pPr>
        <w:ind w:left="1720" w:right="460" w:hanging="301"/>
        <w:spacing w:after="0" w:line="335" w:lineRule="auto"/>
        <w:tabs>
          <w:tab w:leader="none" w:pos="1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potential product candidates may, on further study, be shown to have harmful side effects, toxicities or other characteristics that indicate that they are unlikely to be products that will receive marketing approval or achieve market acceptance;</w:t>
      </w:r>
    </w:p>
    <w:p>
      <w:pPr>
        <w:spacing w:after="0" w:line="146" w:lineRule="exact"/>
        <w:rPr>
          <w:rFonts w:ascii="Arial" w:cs="Arial" w:eastAsia="Arial" w:hAnsi="Arial"/>
          <w:sz w:val="15"/>
          <w:szCs w:val="15"/>
          <w:color w:val="auto"/>
        </w:rPr>
      </w:pPr>
    </w:p>
    <w:p>
      <w:pPr>
        <w:ind w:left="1720" w:hanging="301"/>
        <w:spacing w:after="0"/>
        <w:tabs>
          <w:tab w:leader="none" w:pos="1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product candidates may not be effective in treating their targeted diseases or symptoms;</w:t>
      </w:r>
    </w:p>
    <w:p>
      <w:pPr>
        <w:spacing w:after="0" w:line="231" w:lineRule="exact"/>
        <w:rPr>
          <w:rFonts w:ascii="Arial" w:cs="Arial" w:eastAsia="Arial" w:hAnsi="Arial"/>
          <w:sz w:val="17"/>
          <w:szCs w:val="17"/>
          <w:color w:val="auto"/>
        </w:rPr>
      </w:pPr>
    </w:p>
    <w:p>
      <w:pPr>
        <w:ind w:left="1720" w:right="320" w:hanging="301"/>
        <w:spacing w:after="0" w:line="268" w:lineRule="auto"/>
        <w:tabs>
          <w:tab w:leader="none" w:pos="1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 for a potential product candidate may change so that the continued development of that product candidate is no longer reasonable;</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potential product candidate may not be capable of being produced in commercial quantities at an acceptable cost, or at all; or</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regulatory pathway for a potential product candidate is highly complex and difficult to navigate successfully or economically.</w:t>
      </w:r>
    </w:p>
    <w:p>
      <w:pPr>
        <w:spacing w:after="0" w:line="229" w:lineRule="exact"/>
        <w:rPr>
          <w:sz w:val="20"/>
          <w:szCs w:val="20"/>
          <w:color w:val="auto"/>
        </w:rPr>
      </w:pPr>
    </w:p>
    <w:p>
      <w:pPr>
        <w:ind w:left="500" w:right="80" w:firstLine="819"/>
        <w:spacing w:after="0" w:line="250" w:lineRule="auto"/>
        <w:rPr>
          <w:sz w:val="20"/>
          <w:szCs w:val="20"/>
          <w:color w:val="auto"/>
        </w:rPr>
      </w:pPr>
      <w:r>
        <w:rPr>
          <w:rFonts w:ascii="Arial" w:cs="Arial" w:eastAsia="Arial" w:hAnsi="Arial"/>
          <w:sz w:val="17"/>
          <w:szCs w:val="17"/>
          <w:color w:val="auto"/>
        </w:rPr>
        <w:t>In addition, 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If we are unable to identify and successfully commercialize additional suitable product candidates, this would adversely impact our business strategy and our financial position.</w:t>
      </w:r>
    </w:p>
    <w:p>
      <w:pPr>
        <w:spacing w:after="0" w:line="181" w:lineRule="exact"/>
        <w:rPr>
          <w:sz w:val="20"/>
          <w:szCs w:val="20"/>
          <w:color w:val="auto"/>
        </w:rPr>
      </w:pPr>
    </w:p>
    <w:p>
      <w:pPr>
        <w:ind w:left="500" w:right="660"/>
        <w:spacing w:after="0" w:line="26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6" w:lineRule="exact"/>
        <w:rPr>
          <w:sz w:val="20"/>
          <w:szCs w:val="20"/>
          <w:color w:val="auto"/>
        </w:rPr>
      </w:pPr>
    </w:p>
    <w:p>
      <w:pPr>
        <w:ind w:left="500" w:right="260" w:firstLine="819"/>
        <w:spacing w:after="0" w:line="268"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700"/>
          </w:cols>
          <w:pgMar w:left="320" w:top="437" w:right="8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spacing w:after="0" w:line="269" w:lineRule="auto"/>
        <w:rPr>
          <w:sz w:val="20"/>
          <w:szCs w:val="20"/>
          <w:color w:val="auto"/>
        </w:rPr>
      </w:pPr>
      <w:r>
        <w:rPr>
          <w:rFonts w:ascii="Arial" w:cs="Arial" w:eastAsia="Arial" w:hAnsi="Arial"/>
          <w:sz w:val="16"/>
          <w:szCs w:val="16"/>
          <w:color w:val="auto"/>
        </w:rPr>
        <w:t>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Risks Related to Discovery, Development, Clinical Testing, Manufacturing and Regulatory Approval</w:t>
      </w:r>
    </w:p>
    <w:p>
      <w:pPr>
        <w:spacing w:after="0" w:line="210" w:lineRule="exact"/>
        <w:rPr>
          <w:sz w:val="20"/>
          <w:szCs w:val="20"/>
          <w:color w:val="auto"/>
        </w:rPr>
      </w:pPr>
    </w:p>
    <w:p>
      <w:pPr>
        <w:ind w:left="500" w:right="100"/>
        <w:spacing w:after="0" w:line="257" w:lineRule="auto"/>
        <w:rPr>
          <w:sz w:val="20"/>
          <w:szCs w:val="20"/>
          <w:color w:val="auto"/>
        </w:rPr>
      </w:pPr>
      <w:r>
        <w:rPr>
          <w:rFonts w:ascii="Arial" w:cs="Arial" w:eastAsia="Arial" w:hAnsi="Arial"/>
          <w:sz w:val="17"/>
          <w:szCs w:val="17"/>
          <w:b w:val="1"/>
          <w:bCs w:val="1"/>
          <w:i w:val="1"/>
          <w:iCs w:val="1"/>
          <w:color w:val="auto"/>
        </w:rPr>
        <w:t>Clinical trials required for our product candidates are expensive and time-consuming, their outcome is uncertain, and if our clinical trials do not meet safety or efficacy endpoints in these evaluations, or if we experience significant delays in these trials, our ability to commercialize our product candidates and our financial position will be impaired.</w:t>
      </w:r>
    </w:p>
    <w:p>
      <w:pPr>
        <w:spacing w:after="0" w:line="175" w:lineRule="exact"/>
        <w:rPr>
          <w:sz w:val="20"/>
          <w:szCs w:val="20"/>
          <w:color w:val="auto"/>
        </w:rPr>
      </w:pPr>
    </w:p>
    <w:p>
      <w:pPr>
        <w:jc w:val="both"/>
        <w:ind w:left="500" w:firstLine="819"/>
        <w:spacing w:after="0" w:line="285" w:lineRule="auto"/>
        <w:rPr>
          <w:sz w:val="20"/>
          <w:szCs w:val="20"/>
          <w:color w:val="auto"/>
        </w:rPr>
      </w:pPr>
      <w:r>
        <w:rPr>
          <w:rFonts w:ascii="Arial" w:cs="Arial" w:eastAsia="Arial" w:hAnsi="Arial"/>
          <w:sz w:val="15"/>
          <w:szCs w:val="15"/>
          <w:color w:val="auto"/>
        </w:rPr>
        <w:t>We began dosing patients in our Phase 2 LANTERN clinical trial of our most advanced product, LYR-210, in May 2019. Our other product candidate, LYR-220, is in pre-clinical development. It is impossible to predict when or if either of our product candidates will prove effective and safe in humans or if we will receive regulatory approval for any of our product candidates, and the risk of failure through the development process is high.</w:t>
      </w:r>
    </w:p>
    <w:p>
      <w:pPr>
        <w:ind w:left="500" w:right="120"/>
        <w:spacing w:after="0" w:line="253" w:lineRule="auto"/>
        <w:rPr>
          <w:sz w:val="20"/>
          <w:szCs w:val="20"/>
          <w:color w:val="auto"/>
        </w:rPr>
      </w:pPr>
      <w:r>
        <w:rPr>
          <w:rFonts w:ascii="Arial" w:cs="Arial" w:eastAsia="Arial" w:hAnsi="Arial"/>
          <w:sz w:val="17"/>
          <w:szCs w:val="17"/>
          <w:color w:val="auto"/>
        </w:rPr>
        <w:t>Before obtaining marketing approval from regulatory authorities for the sale of any product candidate, we must complete pre-clinical development and then conduct extensive clinical trials to demonstrate the safety and efficacy of our product candidates in humans.</w:t>
      </w:r>
    </w:p>
    <w:p>
      <w:pPr>
        <w:spacing w:after="0" w:line="178" w:lineRule="exact"/>
        <w:rPr>
          <w:sz w:val="20"/>
          <w:szCs w:val="20"/>
          <w:color w:val="auto"/>
        </w:rPr>
      </w:pPr>
    </w:p>
    <w:p>
      <w:pPr>
        <w:ind w:left="500" w:right="240" w:firstLine="819"/>
        <w:spacing w:after="0" w:line="288" w:lineRule="auto"/>
        <w:rPr>
          <w:sz w:val="20"/>
          <w:szCs w:val="20"/>
          <w:color w:val="auto"/>
        </w:rPr>
      </w:pPr>
      <w:r>
        <w:rPr>
          <w:rFonts w:ascii="Arial" w:cs="Arial" w:eastAsia="Arial" w:hAnsi="Arial"/>
          <w:sz w:val="15"/>
          <w:szCs w:val="15"/>
          <w:color w:val="auto"/>
        </w:rPr>
        <w:t>Clinical development is a long, expensive and uncertain process that is subject to significant delays. Due to known or unknown circumstances beyond our control, it may take us several years to complete our testing, and failure can occur at any stage of testing. The outcome of pre-clinical testing and early clinical trials may not be predictive of the results of later clinical trials, and interim results of a clinical trial do not necessarily predict final results. We cannot assure you that any clinical trial that we are conducting, or may conduct in the future, will demonstrate consistent or adequate efficacy and safety to obtain regulatory approval to market our product candidates. Moreover, pre-clinical and clinical data are often susceptible to varying interpretations and analysis, and many companies that have believed their product candidates performed satisfactorily in pre-clinical studies and clinical trials have nonetheless failed to obtain marketing approval of their products.</w:t>
      </w:r>
    </w:p>
    <w:p>
      <w:pPr>
        <w:spacing w:after="0" w:line="158" w:lineRule="exact"/>
        <w:rPr>
          <w:sz w:val="20"/>
          <w:szCs w:val="20"/>
          <w:color w:val="auto"/>
        </w:rPr>
      </w:pPr>
    </w:p>
    <w:p>
      <w:pPr>
        <w:ind w:left="500" w:right="140" w:firstLine="819"/>
        <w:spacing w:after="0" w:line="257" w:lineRule="auto"/>
        <w:rPr>
          <w:sz w:val="20"/>
          <w:szCs w:val="20"/>
          <w:color w:val="auto"/>
        </w:rPr>
      </w:pPr>
      <w:r>
        <w:rPr>
          <w:rFonts w:ascii="Arial" w:cs="Arial" w:eastAsia="Arial" w:hAnsi="Arial"/>
          <w:sz w:val="17"/>
          <w:szCs w:val="17"/>
          <w:color w:val="auto"/>
        </w:rPr>
        <w:t>Delays associated with products for which we are directly conducting pre-clinical studies or clinical trials may cause us to incur additional operating expenses. The commencement and rate of completion of pre-clinical studies or clinical trials may be delayed by, or terminated because of, many factors, including:</w:t>
      </w:r>
    </w:p>
    <w:p>
      <w:pPr>
        <w:spacing w:after="0" w:line="201" w:lineRule="exact"/>
        <w:rPr>
          <w:sz w:val="20"/>
          <w:szCs w:val="20"/>
          <w:color w:val="auto"/>
        </w:rPr>
      </w:pPr>
    </w:p>
    <w:p>
      <w:pPr>
        <w:ind w:left="1720" w:right="320" w:hanging="301"/>
        <w:spacing w:after="0" w:line="268" w:lineRule="auto"/>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disagreeing as to the design or implementation of our pre-clinical studies or clinical trials;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obtain regulatory approval to commence a trial;</w:t>
      </w:r>
    </w:p>
    <w:p>
      <w:pPr>
        <w:spacing w:after="0" w:line="231" w:lineRule="exact"/>
        <w:rPr>
          <w:rFonts w:ascii="Arial" w:cs="Arial" w:eastAsia="Arial" w:hAnsi="Arial"/>
          <w:sz w:val="17"/>
          <w:szCs w:val="17"/>
          <w:color w:val="auto"/>
        </w:rPr>
      </w:pPr>
    </w:p>
    <w:p>
      <w:pPr>
        <w:jc w:val="both"/>
        <w:ind w:left="1720" w:right="160" w:hanging="301"/>
        <w:spacing w:after="0" w:line="257" w:lineRule="auto"/>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reach, or delays in 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slower than expected rates of recruitment of patients or failure to recruit a sufficient number of patients;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modification of pre-clinical studies or clinical trial protocols;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regulatory requirements for pre-clinical studies or clinical trials;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unusual placebo effects;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lack of effectiveness during pre-clinical studies or clinical trials;</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720"/>
          </w:cols>
          <w:pgMar w:left="320" w:top="437" w:right="8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emergence of unforeseen safety issues or undesirable side effects;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obtain institutional review board, or the IRB, approval at each site;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suspension, or termination of clinical trials by the IRB responsible for overseeing the trial at a particular trial site;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of patients in completing a trial or returning for post-treatment follow-up;</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clinical sites deviating from trial protocol, dropping out of a trial or failing to comply with regulatory requirements;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address patient safety concerns that arise during the course of a trial;</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manufacture sufficient quantities of product candidate for use in clinical trials;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government, IRB or other regulatory delays or “clinical holds” requiring suspension or termination of the trials;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business interruptions resulting from the COVID-19 global pandemic.</w:t>
      </w:r>
    </w:p>
    <w:p>
      <w:pPr>
        <w:spacing w:after="0" w:line="206" w:lineRule="exact"/>
        <w:rPr>
          <w:sz w:val="20"/>
          <w:szCs w:val="20"/>
          <w:color w:val="auto"/>
        </w:rPr>
      </w:pPr>
    </w:p>
    <w:p>
      <w:pPr>
        <w:ind w:left="500" w:right="340" w:firstLine="819"/>
        <w:spacing w:after="0" w:line="299" w:lineRule="auto"/>
        <w:rPr>
          <w:sz w:val="20"/>
          <w:szCs w:val="20"/>
          <w:color w:val="auto"/>
        </w:rPr>
      </w:pPr>
      <w:r>
        <w:rPr>
          <w:rFonts w:ascii="Arial" w:cs="Arial" w:eastAsia="Arial" w:hAnsi="Arial"/>
          <w:sz w:val="16"/>
          <w:szCs w:val="16"/>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169" w:lineRule="exact"/>
        <w:rPr>
          <w:sz w:val="20"/>
          <w:szCs w:val="20"/>
          <w:color w:val="auto"/>
        </w:rPr>
      </w:pPr>
    </w:p>
    <w:p>
      <w:pPr>
        <w:ind w:left="1720" w:hanging="301"/>
        <w:spacing w:after="0"/>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receive feedback from regulatory authorities that requires us to modify the design of our clinical trials;</w:t>
      </w:r>
    </w:p>
    <w:p>
      <w:pPr>
        <w:spacing w:after="0" w:line="231" w:lineRule="exact"/>
        <w:rPr>
          <w:rFonts w:ascii="Arial" w:cs="Arial" w:eastAsia="Arial" w:hAnsi="Arial"/>
          <w:sz w:val="17"/>
          <w:szCs w:val="17"/>
          <w:color w:val="auto"/>
        </w:rPr>
      </w:pPr>
    </w:p>
    <w:p>
      <w:pPr>
        <w:ind w:left="1720" w:right="180" w:hanging="301"/>
        <w:spacing w:after="0" w:line="268" w:lineRule="auto"/>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and we may decide, or regulators may require us, to conduct additional clinical trials or abandon development programs;</w:t>
      </w:r>
    </w:p>
    <w:p>
      <w:pPr>
        <w:spacing w:after="0" w:line="191" w:lineRule="exact"/>
        <w:rPr>
          <w:rFonts w:ascii="Arial" w:cs="Arial" w:eastAsia="Arial" w:hAnsi="Arial"/>
          <w:sz w:val="17"/>
          <w:szCs w:val="17"/>
          <w:color w:val="auto"/>
        </w:rPr>
      </w:pPr>
    </w:p>
    <w:p>
      <w:pPr>
        <w:ind w:left="1720" w:right="160" w:hanging="301"/>
        <w:spacing w:after="0" w:line="257" w:lineRule="auto"/>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200" w:lineRule="exact"/>
        <w:rPr>
          <w:rFonts w:ascii="Arial" w:cs="Arial" w:eastAsia="Arial" w:hAnsi="Arial"/>
          <w:sz w:val="17"/>
          <w:szCs w:val="17"/>
          <w:color w:val="auto"/>
        </w:rPr>
      </w:pPr>
    </w:p>
    <w:p>
      <w:pPr>
        <w:ind w:left="1720" w:right="460" w:hanging="301"/>
        <w:spacing w:after="0" w:line="268" w:lineRule="auto"/>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unable to enroll a sufficient number of patients in our clinical trials to ensure adequate statistical power to detect any statistically significant treatment effects;</w:t>
      </w:r>
    </w:p>
    <w:p>
      <w:pPr>
        <w:spacing w:after="0" w:line="191" w:lineRule="exact"/>
        <w:rPr>
          <w:rFonts w:ascii="Arial" w:cs="Arial" w:eastAsia="Arial" w:hAnsi="Arial"/>
          <w:sz w:val="17"/>
          <w:szCs w:val="17"/>
          <w:color w:val="auto"/>
        </w:rPr>
      </w:pPr>
    </w:p>
    <w:p>
      <w:pPr>
        <w:ind w:left="1720" w:right="380" w:hanging="301"/>
        <w:spacing w:after="0" w:line="268" w:lineRule="auto"/>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w:t>
      </w:r>
    </w:p>
    <w:p>
      <w:pPr>
        <w:spacing w:after="0" w:line="191" w:lineRule="exact"/>
        <w:rPr>
          <w:rFonts w:ascii="Arial" w:cs="Arial" w:eastAsia="Arial" w:hAnsi="Arial"/>
          <w:sz w:val="17"/>
          <w:szCs w:val="17"/>
          <w:color w:val="auto"/>
        </w:rPr>
      </w:pPr>
    </w:p>
    <w:p>
      <w:pPr>
        <w:ind w:left="1720" w:right="80" w:hanging="301"/>
        <w:spacing w:after="0" w:line="251" w:lineRule="auto"/>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regulators, IRBs or independent ethics committees, or IECs, may not authorize us or our investigators to commence a clinical trial or conduct a clinical trial at a prospective trial site or may require that we or our investigators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207" w:lineRule="exact"/>
        <w:rPr>
          <w:rFonts w:ascii="Arial" w:cs="Arial" w:eastAsia="Arial" w:hAnsi="Arial"/>
          <w:sz w:val="17"/>
          <w:szCs w:val="17"/>
          <w:color w:val="auto"/>
        </w:rPr>
      </w:pPr>
    </w:p>
    <w:p>
      <w:pPr>
        <w:ind w:left="1720" w:right="700" w:hanging="301"/>
        <w:spacing w:after="0" w:line="268" w:lineRule="auto"/>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pre-clinical study or clinical trial contracts or pre-clinical study or clinical trial protocols with prospective trial sites;</w:t>
      </w:r>
    </w:p>
    <w:p>
      <w:pPr>
        <w:spacing w:after="0" w:line="191" w:lineRule="exact"/>
        <w:rPr>
          <w:rFonts w:ascii="Arial" w:cs="Arial" w:eastAsia="Arial" w:hAnsi="Arial"/>
          <w:sz w:val="17"/>
          <w:szCs w:val="17"/>
          <w:color w:val="auto"/>
        </w:rPr>
      </w:pPr>
    </w:p>
    <w:p>
      <w:pPr>
        <w:ind w:left="1720" w:hanging="301"/>
        <w:spacing w:after="0" w:line="268" w:lineRule="auto"/>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pre-clinical studies or clinical trials of our product candidates may be greater than we anticipate and we may not have funds to cover the costs;</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740"/>
          </w:cols>
          <w:pgMar w:left="320" w:top="437" w:right="8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380" w:hanging="301"/>
        <w:spacing w:after="0" w:line="268" w:lineRule="auto"/>
        <w:tabs>
          <w:tab w:leader="none" w:pos="1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pre-clinical studies or clinical trials of our product candidates may be insufficient or inadequate;</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anticipate; and</w:t>
      </w:r>
    </w:p>
    <w:p>
      <w:pPr>
        <w:spacing w:after="0" w:line="254" w:lineRule="exact"/>
        <w:rPr>
          <w:rFonts w:ascii="Arial" w:cs="Arial" w:eastAsia="Arial" w:hAnsi="Arial"/>
          <w:sz w:val="15"/>
          <w:szCs w:val="15"/>
          <w:color w:val="auto"/>
        </w:rPr>
      </w:pPr>
    </w:p>
    <w:p>
      <w:pPr>
        <w:ind w:left="1720" w:right="560" w:hanging="301"/>
        <w:spacing w:after="0" w:line="335" w:lineRule="auto"/>
        <w:tabs>
          <w:tab w:leader="none" w:pos="17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current or future collaborators that conduct pre-clinical studies or clinical trials may face any of the above issues, and may conduct pre-clinical studies or clinical trials in ways they view as advantageous to them but that are suboptimal for us.</w:t>
      </w:r>
    </w:p>
    <w:p>
      <w:pPr>
        <w:spacing w:after="0" w:line="121" w:lineRule="exact"/>
        <w:rPr>
          <w:sz w:val="20"/>
          <w:szCs w:val="20"/>
          <w:color w:val="auto"/>
        </w:rPr>
      </w:pPr>
    </w:p>
    <w:p>
      <w:pPr>
        <w:ind w:left="500" w:right="320" w:firstLine="819"/>
        <w:spacing w:after="0" w:line="251" w:lineRule="auto"/>
        <w:rPr>
          <w:sz w:val="20"/>
          <w:szCs w:val="20"/>
          <w:color w:val="auto"/>
        </w:rPr>
      </w:pPr>
      <w:r>
        <w:rPr>
          <w:rFonts w:ascii="Arial" w:cs="Arial" w:eastAsia="Arial" w:hAnsi="Arial"/>
          <w:sz w:val="17"/>
          <w:szCs w:val="17"/>
          <w:color w:val="auto"/>
        </w:rPr>
        <w:t>If we are required to extend the duration of current pre-clinical studies or clinical trials or to conduct additional pre-clinical studies or clinical trials or other testing of our product candidates beyond those that we currently contemplate, if we are unable to successfully complete pre-clinical studies or clinical trials of our product candidates or other testing, if the results of these trials, studies or tests are not positive or are only modestly positive, if there are safety concerns or if we determine that the observed safety or efficacy profile would not be competitive in the marketplace, we may:</w:t>
      </w:r>
    </w:p>
    <w:p>
      <w:pPr>
        <w:spacing w:after="0" w:line="208" w:lineRule="exact"/>
        <w:rPr>
          <w:sz w:val="20"/>
          <w:szCs w:val="20"/>
          <w:color w:val="auto"/>
        </w:rPr>
      </w:pPr>
    </w:p>
    <w:p>
      <w:pPr>
        <w:ind w:left="1720" w:hanging="301"/>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incur unplanned costs;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 or not obtain marketing approval at all;</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marketing approval in some countries and not in others;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marketing approval for indications or patient populations that are not as broad as intended or desired;</w:t>
      </w:r>
    </w:p>
    <w:p>
      <w:pPr>
        <w:spacing w:after="0" w:line="231" w:lineRule="exact"/>
        <w:rPr>
          <w:rFonts w:ascii="Arial" w:cs="Arial" w:eastAsia="Arial" w:hAnsi="Arial"/>
          <w:sz w:val="17"/>
          <w:szCs w:val="17"/>
          <w:color w:val="auto"/>
        </w:rPr>
      </w:pPr>
    </w:p>
    <w:p>
      <w:pPr>
        <w:ind w:left="1720" w:right="200" w:hanging="301"/>
        <w:spacing w:after="0" w:line="268" w:lineRule="auto"/>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marketing approval with labeling that includes significant use or distribution restrictions or safety warnings, including boxed warnings;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206" w:lineRule="exact"/>
        <w:rPr>
          <w:sz w:val="20"/>
          <w:szCs w:val="20"/>
          <w:color w:val="auto"/>
        </w:rPr>
      </w:pPr>
    </w:p>
    <w:p>
      <w:pPr>
        <w:ind w:left="500" w:firstLine="819"/>
        <w:spacing w:after="0" w:line="286" w:lineRule="auto"/>
        <w:rPr>
          <w:sz w:val="20"/>
          <w:szCs w:val="20"/>
          <w:color w:val="auto"/>
        </w:rPr>
      </w:pPr>
      <w:r>
        <w:rPr>
          <w:rFonts w:ascii="Arial" w:cs="Arial" w:eastAsia="Arial" w:hAnsi="Arial"/>
          <w:sz w:val="15"/>
          <w:szCs w:val="15"/>
          <w:color w:val="auto"/>
        </w:rPr>
        <w:t>We could encounter delays if a clinical trial is materially modified, suspended or terminated by us, by the IRBs of the institutions in which such trials are being conducted, by the Data Safety Monitoring Board, or DSMB, for such trial or by the FDA or other regulatory authorities. Such authorities may impose such a material modification,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for our product candidates, or other products or product candidates in the same drug class, failure to demonstrate a benefit from using a drug, changes in governmental regulations or administrative actions or lack of adequate funding to continue the clinical trial. Furthermore, we may rely on CROs and clinical trial sites to ensure the proper and timely conduct of clinical trials and while we would have agreements governing their committed activities, we would have limited influence over their actual performance, as described in “—Risks Related to Our Dependence on Third Parties.”</w:t>
      </w:r>
    </w:p>
    <w:p>
      <w:pPr>
        <w:spacing w:after="0" w:line="159" w:lineRule="exact"/>
        <w:rPr>
          <w:sz w:val="20"/>
          <w:szCs w:val="20"/>
          <w:color w:val="auto"/>
        </w:rPr>
      </w:pPr>
    </w:p>
    <w:p>
      <w:pPr>
        <w:ind w:left="500" w:right="60" w:firstLine="819"/>
        <w:spacing w:after="0" w:line="274" w:lineRule="auto"/>
        <w:rPr>
          <w:sz w:val="20"/>
          <w:szCs w:val="20"/>
          <w:color w:val="auto"/>
        </w:rPr>
      </w:pPr>
      <w:r>
        <w:rPr>
          <w:rFonts w:ascii="Arial" w:cs="Arial" w:eastAsia="Arial" w:hAnsi="Arial"/>
          <w:sz w:val="16"/>
          <w:szCs w:val="16"/>
          <w:color w:val="auto"/>
        </w:rPr>
        <w:t>Our most advanced product candidate, LYR-210, is in clinical development and will require the completion of clinical testing before we are prepared to submit an NDA for regulatory approval. We cannot predict if or when we might complete the development of LYR-210 and submit an NDA or whether any such NDA will be approved by the FDA. We may also seek feedback from the FDA or other regulatory authorities on our clinical development programs, and the FDA or such regulatory authorities may not provide such feedback</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740"/>
          </w:cols>
          <w:pgMar w:left="320" w:top="437" w:right="8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00"/>
        <w:spacing w:after="0" w:line="257" w:lineRule="auto"/>
        <w:rPr>
          <w:sz w:val="20"/>
          <w:szCs w:val="20"/>
          <w:color w:val="auto"/>
        </w:rPr>
      </w:pPr>
      <w:r>
        <w:rPr>
          <w:rFonts w:ascii="Arial" w:cs="Arial" w:eastAsia="Arial" w:hAnsi="Arial"/>
          <w:sz w:val="17"/>
          <w:szCs w:val="17"/>
          <w:color w:val="auto"/>
        </w:rPr>
        <w:t>on a timely basis, or such feedback may not be favorable, which could further delay our development programs. If the results of ongoing and future clinical trials for LYR-210 are positive, we plan to submit an NDA in the United States. However, no assurance can be given that we will be successful in the near term, obtain regulatory approval or have any commercial sales of LYR-210.</w:t>
      </w:r>
    </w:p>
    <w:p>
      <w:pPr>
        <w:spacing w:after="0" w:line="175"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Any clinical test may fail to produce results satisfactory to the FDA or foreign regulatory authorities. Pre-clinical and clinical data can be interpreted in different ways by different reviewers and regulators, which could delay, limit or prevent regulatory approval. Drug-related adverse events during a pre-clinical study or clinical trial could cause us to repeat a trial or study, perform an additional trial or study, expand the size and/or duration of a trial or study, terminate a trial or study or even cancel a pre-clinical or clinical program. The failure of pre-clinical studies or clinical trials to demonstrate safety and effectiveness for the desired indications could harm the development of that product candidate and other product candidates. This failure could cause us to abandon a product candidate and could delay development of other product candidates. Any delay in, or termination of, our clinical trials would delay the filing of our NDAs with the FDA and, ultimately, our ability to commercialize our product candidates and generate product revenues. A number of companies in the biotechnology and pharmaceutical industry have suffered significant setbacks in advanced clinical trials due to lack of efficacy or adverse safety profiles, notwithstanding promising results in earlier trials. Even if our future and ongoing pre-clinical studies and clinical trials are completed as planned, we cannot be certain that their results will support the safety and effectiveness of LYR-210, LYR-220 and/or any future product candidate.</w:t>
      </w:r>
    </w:p>
    <w:p>
      <w:pPr>
        <w:spacing w:after="0" w:line="175" w:lineRule="exact"/>
        <w:rPr>
          <w:sz w:val="20"/>
          <w:szCs w:val="20"/>
          <w:color w:val="auto"/>
        </w:rPr>
      </w:pPr>
    </w:p>
    <w:p>
      <w:pPr>
        <w:ind w:left="500" w:right="40" w:firstLine="819"/>
        <w:spacing w:after="0" w:line="268" w:lineRule="auto"/>
        <w:rPr>
          <w:sz w:val="20"/>
          <w:szCs w:val="20"/>
          <w:color w:val="auto"/>
        </w:rPr>
      </w:pPr>
      <w:r>
        <w:rPr>
          <w:rFonts w:ascii="Arial" w:cs="Arial" w:eastAsia="Arial" w:hAnsi="Arial"/>
          <w:sz w:val="16"/>
          <w:szCs w:val="16"/>
          <w:color w:val="auto"/>
        </w:rPr>
        <w:t>If we experience delays in the commencement or completion of, or have to extend or expand, our pre-clinical studies or clinical trials, or if we terminate a pre-clinical study or clinical trial prior to completion, the commercial prospects of LYR-210, LYR-220 or any future product candidate could be harmed, and our ability to generate revenues from LYR-210, LYR-220 or any future product candidate may be delayed. In addition, any delays in our pre-clinical studies or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pre-clinical studies or clinical trials may also ultimately lead to the denial of regulatory approval of our product candidates.</w:t>
      </w:r>
    </w:p>
    <w:p>
      <w:pPr>
        <w:spacing w:after="0" w:line="169" w:lineRule="exact"/>
        <w:rPr>
          <w:sz w:val="20"/>
          <w:szCs w:val="20"/>
          <w:color w:val="auto"/>
        </w:rPr>
      </w:pPr>
    </w:p>
    <w:p>
      <w:pPr>
        <w:ind w:left="500" w:right="180"/>
        <w:spacing w:after="0" w:line="377" w:lineRule="auto"/>
        <w:rPr>
          <w:sz w:val="20"/>
          <w:szCs w:val="20"/>
          <w:color w:val="auto"/>
        </w:rPr>
      </w:pPr>
      <w:r>
        <w:rPr>
          <w:rFonts w:ascii="Arial" w:cs="Arial" w:eastAsia="Arial" w:hAnsi="Arial"/>
          <w:sz w:val="14"/>
          <w:szCs w:val="14"/>
          <w:b w:val="1"/>
          <w:bCs w:val="1"/>
          <w:i w:val="1"/>
          <w:iCs w:val="1"/>
          <w:color w:val="auto"/>
        </w:rPr>
        <w:t>Our pre-clinical studies and clinical trials may fail to demonstrate adequately the safety and efficacy of any of our product candidates and the development of our product candidates may be delayed or unsuccessful, which could prevent or delay regulatory approval and commercialization.</w:t>
      </w:r>
    </w:p>
    <w:p>
      <w:pPr>
        <w:spacing w:after="0" w:line="97" w:lineRule="exact"/>
        <w:rPr>
          <w:sz w:val="20"/>
          <w:szCs w:val="20"/>
          <w:color w:val="auto"/>
        </w:rPr>
      </w:pPr>
    </w:p>
    <w:p>
      <w:pPr>
        <w:ind w:left="500" w:right="20" w:firstLine="819"/>
        <w:spacing w:after="0" w:line="293" w:lineRule="auto"/>
        <w:rPr>
          <w:sz w:val="20"/>
          <w:szCs w:val="20"/>
          <w:color w:val="auto"/>
        </w:rPr>
      </w:pPr>
      <w:r>
        <w:rPr>
          <w:rFonts w:ascii="Arial" w:cs="Arial" w:eastAsia="Arial" w:hAnsi="Arial"/>
          <w:sz w:val="15"/>
          <w:szCs w:val="15"/>
          <w:color w:val="auto"/>
        </w:rPr>
        <w:t>Both of our current product candidates are in clinical or pre-clinical development stages. Notwithstanding the data obtained to date with respect to LYR-210 and LYR-220 in CRS, LYR-210 and LYR-220 will require additional clinical and non-clinical development, regulatory review and approval in multiple jurisdictions, substantial investment, access to sufficient commercial manufacturing capacity and significant marketing efforts before we can generate any revenue from our product sales. In addition, if we encounter safety or efficacy problems, developmental delays or regulatory issues, delays caused by the COVID-19 global pandemic or other problems, our developmental plans and business could be significantly harmed.</w:t>
      </w:r>
    </w:p>
    <w:p>
      <w:pPr>
        <w:spacing w:after="0" w:line="152" w:lineRule="exact"/>
        <w:rPr>
          <w:sz w:val="20"/>
          <w:szCs w:val="20"/>
          <w:color w:val="auto"/>
        </w:rPr>
      </w:pPr>
    </w:p>
    <w:p>
      <w:pPr>
        <w:ind w:left="500" w:right="140" w:firstLine="819"/>
        <w:spacing w:after="0" w:line="257" w:lineRule="auto"/>
        <w:rPr>
          <w:sz w:val="20"/>
          <w:szCs w:val="20"/>
          <w:color w:val="auto"/>
        </w:rPr>
      </w:pPr>
      <w:r>
        <w:rPr>
          <w:rFonts w:ascii="Arial" w:cs="Arial" w:eastAsia="Arial" w:hAnsi="Arial"/>
          <w:sz w:val="17"/>
          <w:szCs w:val="17"/>
          <w:color w:val="auto"/>
        </w:rPr>
        <w:t>If the development of LYR-210, LYR-220 or any other future product candidate is unsuccessful, our ability to generate revenues will be adversely affected. Our development of current and future product candidates is subject to the risks of failure and delay inherent in the development of new products and product candidates, including:</w:t>
      </w:r>
    </w:p>
    <w:p>
      <w:pPr>
        <w:spacing w:after="0" w:line="201" w:lineRule="exact"/>
        <w:rPr>
          <w:sz w:val="20"/>
          <w:szCs w:val="20"/>
          <w:color w:val="auto"/>
        </w:rPr>
      </w:pPr>
    </w:p>
    <w:p>
      <w:pPr>
        <w:ind w:left="1720" w:hanging="301"/>
        <w:spacing w:after="0"/>
        <w:tabs>
          <w:tab w:leader="none" w:pos="1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product development, pre-clinical or clinical testing or manufacturing;</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unplanned expenditures in product development, pre-clinical or clinical testing or manufacturing;</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receive regulatory approvals;</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720"/>
          </w:cols>
          <w:pgMar w:left="320" w:top="437" w:right="8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tabs>
          <w:tab w:leader="none" w:pos="1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secure rights from third parties for new technology;</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achieve market acceptance;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emergence of superior or equivalent products.</w:t>
      </w:r>
    </w:p>
    <w:p>
      <w:pPr>
        <w:spacing w:after="0" w:line="206"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In addition, product candidates in later stages of clinical trials may fail to show the desired safety profiles and efficacy results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trials and studies are susceptible to varying interpretations, and regulators may not interpret our data as favorably as we do, which may delay, limit or prevent regulatory approval.</w:t>
      </w:r>
    </w:p>
    <w:p>
      <w:pPr>
        <w:spacing w:after="0" w:line="184"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Additionally, we have not conducted, nor do we believe we are required to conduct, any head-to-head trials comparing LYR-210 to other approved or experimental treatments for CRS. Any such head-to-head trial, if conducted, may show that LYR-210 is not more effective than any of such other drugs. Material adverse differences in the relative efficacy of LYR-210 could significantly harm the adoption of LYR-210 and our business prospects.</w:t>
      </w:r>
    </w:p>
    <w:p>
      <w:pPr>
        <w:spacing w:after="0" w:line="180" w:lineRule="exact"/>
        <w:rPr>
          <w:sz w:val="20"/>
          <w:szCs w:val="20"/>
          <w:color w:val="auto"/>
        </w:rPr>
      </w:pPr>
    </w:p>
    <w:p>
      <w:pPr>
        <w:ind w:left="500" w:right="100" w:firstLine="819"/>
        <w:spacing w:after="0" w:line="280" w:lineRule="auto"/>
        <w:rPr>
          <w:sz w:val="20"/>
          <w:szCs w:val="20"/>
          <w:color w:val="auto"/>
        </w:rPr>
      </w:pPr>
      <w:r>
        <w:rPr>
          <w:rFonts w:ascii="Arial" w:cs="Arial" w:eastAsia="Arial" w:hAnsi="Arial"/>
          <w:sz w:val="16"/>
          <w:szCs w:val="16"/>
          <w:color w:val="auto"/>
        </w:rPr>
        <w:t>Because of these risks, our research and development efforts may not result in any commercially viable products. If a significant portion of these development efforts are not successfully completed, required regulatory approvals are not obtained, or any approved products are not commercially successful, our business, financial condition and results of operations may be materially harmed.</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Success in pre-clinical or earlier clinical trials may not be indicative of results in future clinical trials.</w:t>
      </w:r>
    </w:p>
    <w:p>
      <w:pPr>
        <w:spacing w:after="0" w:line="206" w:lineRule="exact"/>
        <w:rPr>
          <w:sz w:val="20"/>
          <w:szCs w:val="20"/>
          <w:color w:val="auto"/>
        </w:rPr>
      </w:pPr>
    </w:p>
    <w:p>
      <w:pPr>
        <w:ind w:left="500" w:right="160" w:firstLine="819"/>
        <w:spacing w:after="0" w:line="269" w:lineRule="auto"/>
        <w:rPr>
          <w:sz w:val="20"/>
          <w:szCs w:val="20"/>
          <w:color w:val="auto"/>
        </w:rPr>
      </w:pPr>
      <w:r>
        <w:rPr>
          <w:rFonts w:ascii="Arial" w:cs="Arial" w:eastAsia="Arial" w:hAnsi="Arial"/>
          <w:sz w:val="16"/>
          <w:szCs w:val="16"/>
          <w:color w:val="auto"/>
        </w:rPr>
        <w:t>Success in pre-clinical studies and early clinical trials does not ensure that later clinical trials will generate the same results or otherwise provide adequate data to demonstrate the efficacy and safety of a product candidate. Pre-clinical studies and Phase 1 and Phase 2 clinical trials are primarily designed to test safety, to study pharmacokinetics and pharmacodynamics and to understand the side effects of product candidates at various doses and schedules. Success in pre-clinical studies and early clinical trials does not ensure that later, large-scale efficacy trials will be successful nor does it predict final results. Our product candidates may fail to show the desired safety and efficacy in clinical development despite positive results in pre-clinical studies or having successfully advanced through initial clinical trials.</w:t>
      </w:r>
    </w:p>
    <w:p>
      <w:pPr>
        <w:spacing w:after="0" w:line="169" w:lineRule="exact"/>
        <w:rPr>
          <w:sz w:val="20"/>
          <w:szCs w:val="20"/>
          <w:color w:val="auto"/>
        </w:rPr>
      </w:pPr>
    </w:p>
    <w:p>
      <w:pPr>
        <w:ind w:left="500" w:right="140" w:firstLine="819"/>
        <w:spacing w:after="0" w:line="249" w:lineRule="auto"/>
        <w:rPr>
          <w:sz w:val="20"/>
          <w:szCs w:val="20"/>
          <w:color w:val="auto"/>
        </w:rPr>
      </w:pPr>
      <w:r>
        <w:rPr>
          <w:rFonts w:ascii="Arial" w:cs="Arial" w:eastAsia="Arial" w:hAnsi="Arial"/>
          <w:sz w:val="17"/>
          <w:szCs w:val="17"/>
          <w:color w:val="auto"/>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 late-stage clinical trials even after achieving promising results in pre-clinical studies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2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720"/>
          </w:cols>
          <w:pgMar w:left="320" w:top="437" w:right="8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60"/>
        <w:spacing w:after="0" w:line="253" w:lineRule="auto"/>
        <w:rPr>
          <w:sz w:val="20"/>
          <w:szCs w:val="20"/>
          <w:color w:val="auto"/>
        </w:rPr>
      </w:pPr>
      <w:r>
        <w:rPr>
          <w:rFonts w:ascii="Arial" w:cs="Arial" w:eastAsia="Arial" w:hAnsi="Arial"/>
          <w:sz w:val="17"/>
          <w:szCs w:val="17"/>
          <w:b w:val="1"/>
          <w:bCs w:val="1"/>
          <w:i w:val="1"/>
          <w:iCs w:val="1"/>
          <w:color w:val="auto"/>
        </w:rPr>
        <w:t>If the FDA does not conclude that certain of our product candidates satisfy the requirements for the Section 505(b)(2) regulatory approval pathway, or if the requirements for such product candidates under Section 505(b)(2) are not as we expect, the approval pathway for those product candidates may likely take significantly longer, cost significantly more and entail significantly greater complications and risks than anticipated, and in either case may not be successful.</w:t>
      </w:r>
    </w:p>
    <w:p>
      <w:pPr>
        <w:spacing w:after="0" w:line="180" w:lineRule="exact"/>
        <w:rPr>
          <w:sz w:val="20"/>
          <w:szCs w:val="20"/>
          <w:color w:val="auto"/>
        </w:rPr>
      </w:pPr>
    </w:p>
    <w:p>
      <w:pPr>
        <w:ind w:left="500" w:firstLine="819"/>
        <w:spacing w:after="0" w:line="283" w:lineRule="auto"/>
        <w:rPr>
          <w:sz w:val="20"/>
          <w:szCs w:val="20"/>
          <w:color w:val="auto"/>
        </w:rPr>
      </w:pPr>
      <w:r>
        <w:rPr>
          <w:rFonts w:ascii="Arial" w:cs="Arial" w:eastAsia="Arial" w:hAnsi="Arial"/>
          <w:sz w:val="15"/>
          <w:szCs w:val="15"/>
          <w:color w:val="auto"/>
        </w:rPr>
        <w:t>We intend to seek FDA approval for our current product candidates, LYR-210 and LYR-220, and we may seek FDA approval for future product candidates, through the Section 505(b)(2) regulatory pathway. The Drug Price Competition and Patent Term Restoration Act of 1984, also known as the Hatch-Waxman Amendments, added Section 505(b)(2) to the Federal Food, Drug and Cosmetic Act, or FDCA. Section 505(b)(2) permits the filing of an NDA where at least some of the information required for approval comes from trials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drugs, which could expedite the development program for our product candidates by potentially decreasing the amount of clinical data that we would need to generate in order to obtain FDA approval. If the FDA does not allow us to pursue the Section 505(b)(2) regulatory pathway as we anticipate,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the development of our product candidates, would likely substantially increase. 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along with subsequent market exclusivity from the FDA, thereby delaying potential approval of our product.</w:t>
      </w:r>
    </w:p>
    <w:p>
      <w:pPr>
        <w:spacing w:after="0" w:line="366" w:lineRule="exact"/>
        <w:rPr>
          <w:sz w:val="20"/>
          <w:szCs w:val="20"/>
          <w:color w:val="auto"/>
        </w:rPr>
      </w:pPr>
    </w:p>
    <w:p>
      <w:pPr>
        <w:ind w:left="500" w:firstLine="819"/>
        <w:spacing w:after="0" w:line="267" w:lineRule="auto"/>
        <w:rPr>
          <w:sz w:val="20"/>
          <w:szCs w:val="20"/>
          <w:color w:val="auto"/>
        </w:rPr>
      </w:pPr>
      <w:r>
        <w:rPr>
          <w:rFonts w:ascii="Arial" w:cs="Arial" w:eastAsia="Arial" w:hAnsi="Arial"/>
          <w:sz w:val="16"/>
          <w:szCs w:val="16"/>
          <w:color w:val="auto"/>
        </w:rPr>
        <w:t>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accelerated product development or earlier approval.</w:t>
      </w:r>
    </w:p>
    <w:p>
      <w:pPr>
        <w:spacing w:after="0" w:line="170" w:lineRule="exact"/>
        <w:rPr>
          <w:sz w:val="20"/>
          <w:szCs w:val="20"/>
          <w:color w:val="auto"/>
        </w:rPr>
      </w:pPr>
    </w:p>
    <w:p>
      <w:pPr>
        <w:ind w:left="500" w:right="100" w:firstLine="819"/>
        <w:spacing w:after="0" w:line="257" w:lineRule="auto"/>
        <w:rPr>
          <w:sz w:val="20"/>
          <w:szCs w:val="20"/>
          <w:color w:val="auto"/>
        </w:rPr>
      </w:pPr>
      <w:r>
        <w:rPr>
          <w:rFonts w:ascii="Arial" w:cs="Arial" w:eastAsia="Arial" w:hAnsi="Arial"/>
          <w:sz w:val="17"/>
          <w:szCs w:val="17"/>
          <w:color w:val="auto"/>
        </w:rPr>
        <w:t>Moreover, 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75" w:lineRule="exact"/>
        <w:rPr>
          <w:sz w:val="20"/>
          <w:szCs w:val="20"/>
          <w:color w:val="auto"/>
        </w:rPr>
      </w:pPr>
    </w:p>
    <w:p>
      <w:pPr>
        <w:ind w:left="500" w:right="260"/>
        <w:spacing w:after="0" w:line="268" w:lineRule="auto"/>
        <w:rPr>
          <w:sz w:val="20"/>
          <w:szCs w:val="20"/>
          <w:color w:val="auto"/>
        </w:rPr>
      </w:pPr>
      <w:r>
        <w:rPr>
          <w:rFonts w:ascii="Arial" w:cs="Arial" w:eastAsia="Arial" w:hAnsi="Arial"/>
          <w:sz w:val="17"/>
          <w:szCs w:val="17"/>
          <w:b w:val="1"/>
          <w:bCs w:val="1"/>
          <w:i w:val="1"/>
          <w:iCs w:val="1"/>
          <w:color w:val="auto"/>
        </w:rPr>
        <w:t>We have conducted, are conducting and in the future, we may conduct clinical trials for our product candidates in sites outside the United States, and the FDA may not accept data from trials conducted in foreign locations.</w:t>
      </w:r>
    </w:p>
    <w:p>
      <w:pPr>
        <w:spacing w:after="0" w:line="166" w:lineRule="exact"/>
        <w:rPr>
          <w:sz w:val="20"/>
          <w:szCs w:val="20"/>
          <w:color w:val="auto"/>
        </w:rPr>
      </w:pPr>
    </w:p>
    <w:p>
      <w:pPr>
        <w:ind w:left="500" w:right="60" w:firstLine="819"/>
        <w:spacing w:after="0" w:line="274" w:lineRule="auto"/>
        <w:rPr>
          <w:sz w:val="20"/>
          <w:szCs w:val="20"/>
          <w:color w:val="auto"/>
        </w:rPr>
      </w:pPr>
      <w:r>
        <w:rPr>
          <w:rFonts w:ascii="Arial" w:cs="Arial" w:eastAsia="Arial" w:hAnsi="Arial"/>
          <w:sz w:val="16"/>
          <w:szCs w:val="16"/>
          <w:color w:val="auto"/>
        </w:rPr>
        <w:t>We have conducted and are conducting clinical trials for LYR-210 outside the United States, specifically in Australia, Austria, Czech Republic, New Zealand and Poland, and we may in the future choose to conduct other clinical trials outside the United States for LYR-210, LYR-220 or any of our other future product candidates. Although the FDA may accept data from clinical trials conducted outside the United States, acceptance of this data is subject to certain conditions imposed by the FDA. For example, the clinical trial must</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740"/>
          </w:cols>
          <w:pgMar w:left="320" w:top="437" w:right="8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68" w:lineRule="auto"/>
        <w:rPr>
          <w:sz w:val="20"/>
          <w:szCs w:val="20"/>
          <w:color w:val="auto"/>
        </w:rPr>
      </w:pPr>
      <w:r>
        <w:rPr>
          <w:rFonts w:ascii="Arial" w:cs="Arial" w:eastAsia="Arial" w:hAnsi="Arial"/>
          <w:sz w:val="16"/>
          <w:szCs w:val="16"/>
          <w:color w:val="auto"/>
        </w:rPr>
        <w:t>be well designed and conducted and performed by qualified investigators in accordance with good clinical practice, or GCP, including review and approval by an IEC and receipt of informed consent from subjects. In general, the patient population for any clinical trials conducted outside of the United States must be representative of the population for which we intend to seek approval for the product in the United States. In addition, while these clinical trials are subject to the applicable local laws, FDA acceptance of the data will be dependent upon its determination that the trials also complied with all applicable U.S. laws and regulations. There can be no assurance the FDA will accept data from trials conducted outside of the United States. If the FDA does not accept the data from our clinical trials of our product candidates, it would likely result in the need for additional trials, which would be costly and time-consuming and delay or permanently halt our development of our product candidates.</w:t>
      </w:r>
    </w:p>
    <w:p>
      <w:pPr>
        <w:spacing w:after="0" w:line="169"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In addition, there are risks inherent in conducting clinical trials in multiple jurisdictions, inside and outside of the United States, such as:</w:t>
      </w:r>
    </w:p>
    <w:p>
      <w:pPr>
        <w:spacing w:after="0" w:line="254" w:lineRule="exact"/>
        <w:rPr>
          <w:sz w:val="20"/>
          <w:szCs w:val="20"/>
          <w:color w:val="auto"/>
        </w:rPr>
      </w:pPr>
    </w:p>
    <w:p>
      <w:pPr>
        <w:ind w:left="1720" w:right="360" w:hanging="301"/>
        <w:spacing w:after="0" w:line="268" w:lineRule="auto"/>
        <w:tabs>
          <w:tab w:leader="none" w:pos="1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and administrative requirements of the jurisdiction where the trial is conducted that could burden or limit our ability to conduct our clinical trials;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foreign exchange fluctuations;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manufacturing, customs, shipment and storage requirements;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cultural differences in medical practice and clinical research; and</w:t>
      </w:r>
    </w:p>
    <w:p>
      <w:pPr>
        <w:spacing w:after="0" w:line="231" w:lineRule="exact"/>
        <w:rPr>
          <w:rFonts w:ascii="Arial" w:cs="Arial" w:eastAsia="Arial" w:hAnsi="Arial"/>
          <w:sz w:val="17"/>
          <w:szCs w:val="17"/>
          <w:color w:val="auto"/>
        </w:rPr>
      </w:pPr>
    </w:p>
    <w:p>
      <w:pPr>
        <w:ind w:left="1720" w:right="120" w:hanging="301"/>
        <w:spacing w:after="0" w:line="268" w:lineRule="auto"/>
        <w:tabs>
          <w:tab w:leader="none" w:pos="1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risk that the patient populations in such trials are not considered representative as compared to the patient population in the target markets where approval is being sought.</w:t>
      </w:r>
    </w:p>
    <w:p>
      <w:pPr>
        <w:spacing w:after="0" w:line="166" w:lineRule="exact"/>
        <w:rPr>
          <w:sz w:val="20"/>
          <w:szCs w:val="20"/>
          <w:color w:val="auto"/>
        </w:rPr>
      </w:pPr>
    </w:p>
    <w:p>
      <w:pPr>
        <w:ind w:left="500" w:right="500"/>
        <w:spacing w:after="0" w:line="335" w:lineRule="auto"/>
        <w:rPr>
          <w:sz w:val="20"/>
          <w:szCs w:val="20"/>
          <w:color w:val="auto"/>
        </w:rPr>
      </w:pPr>
      <w:r>
        <w:rPr>
          <w:rFonts w:ascii="Arial" w:cs="Arial" w:eastAsia="Arial" w:hAnsi="Arial"/>
          <w:sz w:val="15"/>
          <w:szCs w:val="15"/>
          <w:b w:val="1"/>
          <w:bCs w:val="1"/>
          <w:i w:val="1"/>
          <w:iCs w:val="1"/>
          <w:color w:val="auto"/>
        </w:rPr>
        <w:t>Interim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1" w:lineRule="exact"/>
        <w:rPr>
          <w:sz w:val="20"/>
          <w:szCs w:val="20"/>
          <w:color w:val="auto"/>
        </w:rPr>
      </w:pPr>
    </w:p>
    <w:p>
      <w:pPr>
        <w:ind w:left="500" w:right="80" w:firstLine="819"/>
        <w:spacing w:after="0" w:line="293" w:lineRule="auto"/>
        <w:rPr>
          <w:sz w:val="20"/>
          <w:szCs w:val="20"/>
          <w:color w:val="auto"/>
        </w:rPr>
      </w:pPr>
      <w:r>
        <w:rPr>
          <w:rFonts w:ascii="Arial" w:cs="Arial" w:eastAsia="Arial" w:hAnsi="Arial"/>
          <w:sz w:val="15"/>
          <w:szCs w:val="15"/>
          <w:color w:val="auto"/>
        </w:rPr>
        <w:t>From time to time, we may publish interim or preliminary data from our clinical trials. Interim data from clinical trials that we may complete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interim or preliminary data and final data could significantly harm our business prospects.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LYR-210 and LYR-220 are drug-device combinations, which may result in additional regulatory and other risks.</w:t>
      </w:r>
    </w:p>
    <w:p>
      <w:pPr>
        <w:spacing w:after="0" w:line="206"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LYR-210 and LYR-220 are drug-device combination products. We may experience delays in obtaining regulatory approval of these product candidates given the increased complexity of the review process when approval of a drug and a delivery device is sought under a single marketing application. Both LYR-210 and LYR-220 will be regulated as drug-device combination products, which require coordination within the FDA and similar foreign regulatory agencies for review of the product candidates’ device and drug components. The determination whether a combination product requires a single marketing application or two separate marketing applications for each component is made by the FDA on a case-by-case basis. Although we believe a single marketing application for the approval of a combination product would be successful, there can be no assurance that the FDA will not determine that separate marketing applications are necessary. This determination could significantly increase the resources and time required to bring a particular combination product to market. Although the FDA and similar foreign regulatory agencies have systems in place for the review and approval of</w:t>
      </w:r>
    </w:p>
    <w:p>
      <w:pPr>
        <w:spacing w:after="0" w:line="11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740"/>
          </w:cols>
          <w:pgMar w:left="320" w:top="437" w:right="8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57" w:lineRule="auto"/>
        <w:rPr>
          <w:sz w:val="20"/>
          <w:szCs w:val="20"/>
          <w:color w:val="auto"/>
        </w:rPr>
      </w:pPr>
      <w:r>
        <w:rPr>
          <w:rFonts w:ascii="Arial" w:cs="Arial" w:eastAsia="Arial" w:hAnsi="Arial"/>
          <w:sz w:val="17"/>
          <w:szCs w:val="17"/>
          <w:color w:val="auto"/>
        </w:rPr>
        <w:t>combination products such as ours, we may experience delays in the development and commercialization of our product candidates due to regulatory timing constraints and uncertainties in the product development and approval process, as well as coordination between two different centers within FDA responsible for review of the different components of the combination product.</w:t>
      </w:r>
    </w:p>
    <w:p>
      <w:pPr>
        <w:spacing w:after="0" w:line="175" w:lineRule="exact"/>
        <w:rPr>
          <w:sz w:val="20"/>
          <w:szCs w:val="20"/>
          <w:color w:val="auto"/>
        </w:rPr>
      </w:pPr>
    </w:p>
    <w:p>
      <w:pPr>
        <w:ind w:left="500" w:right="20" w:firstLine="819"/>
        <w:spacing w:after="0" w:line="271" w:lineRule="auto"/>
        <w:rPr>
          <w:sz w:val="20"/>
          <w:szCs w:val="20"/>
          <w:color w:val="auto"/>
        </w:rPr>
      </w:pPr>
      <w:r>
        <w:rPr>
          <w:rFonts w:ascii="Arial" w:cs="Arial" w:eastAsia="Arial" w:hAnsi="Arial"/>
          <w:sz w:val="16"/>
          <w:szCs w:val="16"/>
          <w:color w:val="auto"/>
        </w:rPr>
        <w:t>Failure to successfully develop or supply the device component, delays in or failure of the studies conducted by us, our collaborators, or third-party providers, or failure of our Company, our collaborators, or third-party providers to obtain or maintain regulatory approval or clearance of the device component of LYR-210 or LYR-220, as appropriate, could result in increased development costs, delays in or failure to obtain regulatory approval, and associated delays in these product candidates reaching the market. Further, failure to successfully develop or supply the device, or to gain or maintain its approval, could adversely affect sales of LYR-210 and LYR-220.</w:t>
      </w:r>
    </w:p>
    <w:p>
      <w:pPr>
        <w:spacing w:after="0" w:line="166" w:lineRule="exact"/>
        <w:rPr>
          <w:sz w:val="20"/>
          <w:szCs w:val="20"/>
          <w:color w:val="auto"/>
        </w:rPr>
      </w:pPr>
    </w:p>
    <w:p>
      <w:pPr>
        <w:ind w:left="500" w:right="180"/>
        <w:spacing w:after="0" w:line="268" w:lineRule="auto"/>
        <w:rPr>
          <w:sz w:val="20"/>
          <w:szCs w:val="20"/>
          <w:color w:val="auto"/>
        </w:rPr>
      </w:pPr>
      <w:r>
        <w:rPr>
          <w:rFonts w:ascii="Arial" w:cs="Arial" w:eastAsia="Arial" w:hAnsi="Arial"/>
          <w:sz w:val="17"/>
          <w:szCs w:val="17"/>
          <w:b w:val="1"/>
          <w:bCs w:val="1"/>
          <w:i w:val="1"/>
          <w:iCs w:val="1"/>
          <w:color w:val="auto"/>
        </w:rPr>
        <w:t>If we fail to obtain the necessary U.S. regulatory approvals to commercialize any product candidate, we will not be able to generate revenue in the U.S. market.</w:t>
      </w:r>
    </w:p>
    <w:p>
      <w:pPr>
        <w:spacing w:after="0" w:line="166" w:lineRule="exact"/>
        <w:rPr>
          <w:sz w:val="20"/>
          <w:szCs w:val="20"/>
          <w:color w:val="auto"/>
        </w:rPr>
      </w:pPr>
    </w:p>
    <w:p>
      <w:pPr>
        <w:ind w:left="500" w:right="40" w:firstLine="819"/>
        <w:spacing w:after="0" w:line="266" w:lineRule="auto"/>
        <w:rPr>
          <w:sz w:val="20"/>
          <w:szCs w:val="20"/>
          <w:color w:val="auto"/>
        </w:rPr>
      </w:pPr>
      <w:r>
        <w:rPr>
          <w:rFonts w:ascii="Arial" w:cs="Arial" w:eastAsia="Arial" w:hAnsi="Arial"/>
          <w:sz w:val="16"/>
          <w:szCs w:val="16"/>
          <w:color w:val="auto"/>
        </w:rPr>
        <w:t>We cannot assure you that we will receive the approvals necessary to commercialize our product candidates, or any product candidate we acquire or develop in the future. We will need FDA approval to commercialize our product candidates in the United States and approvals from equivalent regulatory authorities in foreign jurisdictions to commercialize our product candidates in those jurisdictions. Satisfaction of the FDA’s regulatory requirements typically takes many years, depends upon the type, complexity and novelty of the product candidate and requires substantial resources for research, development and testing. We cannot predict whether our research and clinical efforts will result in drugs that the FDA will determine are safe for humans and effective for their intended uses. The FDA has substantial discretion in the drug approval process and may require us to conduct additional pre-clinical and clinical testing, perform post-marketing studies, address manufacturing concerns, or otherwise limit or impose conditions on any approval we obtain. The approval process may also be delayed by changes in government regulation, the impact of the COVID-19 global pandemic, future legislation or administrative action or changes in FDA policy that occur prior to or during our regulatory review. Delays in obtaining regulatory approvals may:</w:t>
      </w:r>
    </w:p>
    <w:p>
      <w:pPr>
        <w:spacing w:after="0" w:line="195" w:lineRule="exact"/>
        <w:rPr>
          <w:sz w:val="20"/>
          <w:szCs w:val="20"/>
          <w:color w:val="auto"/>
        </w:rPr>
      </w:pPr>
    </w:p>
    <w:p>
      <w:pPr>
        <w:ind w:left="1720" w:hanging="301"/>
        <w:spacing w:after="0"/>
        <w:tabs>
          <w:tab w:leader="none" w:pos="1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 commercialization of, and our ability to derive product revenues from, our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impose costly procedures on us;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diminish any competitive advantages that we may otherwise enjoy.</w:t>
      </w:r>
    </w:p>
    <w:p>
      <w:pPr>
        <w:spacing w:after="0" w:line="206" w:lineRule="exact"/>
        <w:rPr>
          <w:sz w:val="20"/>
          <w:szCs w:val="20"/>
          <w:color w:val="auto"/>
        </w:rPr>
      </w:pPr>
    </w:p>
    <w:p>
      <w:pPr>
        <w:ind w:left="500" w:right="120" w:firstLine="819"/>
        <w:spacing w:after="0" w:line="280" w:lineRule="auto"/>
        <w:rPr>
          <w:sz w:val="20"/>
          <w:szCs w:val="20"/>
          <w:color w:val="auto"/>
        </w:rPr>
      </w:pPr>
      <w:r>
        <w:rPr>
          <w:rFonts w:ascii="Arial" w:cs="Arial" w:eastAsia="Arial" w:hAnsi="Arial"/>
          <w:sz w:val="16"/>
          <w:szCs w:val="16"/>
          <w:color w:val="auto"/>
        </w:rPr>
        <w:t>Even if we receive approval of an NDA or comparable foreign regulatory filing for our product candidates, the FDA or the applicable foreign regulatory body may approve our product candidates for a more limited indication than we originally requested, and the FDA may not approve the labeling that we believe is necessary or desirable for the successful commercialization of our product candidates.</w:t>
      </w:r>
    </w:p>
    <w:p>
      <w:pPr>
        <w:spacing w:after="0" w:line="159"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Even if we comply with all FDA requests, the FDA may ultimately reject one or more of our NDAs. We cannot be sure that we will ever obtain regulatory clearance for our product candidates. Failure to obtain FDA approval of our product candidates will severely undermine our business by leaving us without a commercially available product, and therefore without any source of revenues, until another product candidate can be developed or obtained and ultimately approved. There is no guarantee that we will ever be able to develop or acquire another product candidate or that we will be able to obtain FDA approval to commercialize such product candidate.</w:t>
      </w:r>
    </w:p>
    <w:p>
      <w:pPr>
        <w:spacing w:after="0" w:line="104"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700"/>
          </w:cols>
          <w:pgMar w:left="320" w:top="437" w:right="8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60"/>
        <w:spacing w:after="0" w:line="268" w:lineRule="auto"/>
        <w:rPr>
          <w:sz w:val="20"/>
          <w:szCs w:val="20"/>
          <w:color w:val="auto"/>
        </w:rPr>
      </w:pPr>
      <w:r>
        <w:rPr>
          <w:rFonts w:ascii="Arial" w:cs="Arial" w:eastAsia="Arial" w:hAnsi="Arial"/>
          <w:sz w:val="17"/>
          <w:szCs w:val="17"/>
          <w:b w:val="1"/>
          <w:bCs w:val="1"/>
          <w:i w:val="1"/>
          <w:iCs w:val="1"/>
          <w:color w:val="auto"/>
        </w:rPr>
        <w:t>Even if we obtain FDA approval for our product candidates in the United States, we may never obtain approval for or commercialize them in any other jurisdiction, which would limit our ability to realize its full market potential.</w:t>
      </w:r>
    </w:p>
    <w:p>
      <w:pPr>
        <w:spacing w:after="0" w:line="166" w:lineRule="exact"/>
        <w:rPr>
          <w:sz w:val="20"/>
          <w:szCs w:val="20"/>
          <w:color w:val="auto"/>
        </w:rPr>
      </w:pPr>
    </w:p>
    <w:p>
      <w:pPr>
        <w:ind w:left="500" w:right="100" w:firstLine="819"/>
        <w:spacing w:after="0" w:line="269" w:lineRule="auto"/>
        <w:rPr>
          <w:sz w:val="20"/>
          <w:szCs w:val="20"/>
          <w:color w:val="auto"/>
        </w:rPr>
      </w:pPr>
      <w:r>
        <w:rPr>
          <w:rFonts w:ascii="Arial" w:cs="Arial" w:eastAsia="Arial" w:hAnsi="Arial"/>
          <w:sz w:val="16"/>
          <w:szCs w:val="16"/>
          <w:color w:val="auto"/>
        </w:rPr>
        <w:t>We intend either on our own or through collaborations or partnerships, to market our products in international markets. In order to market any products in the European Union and many other foreign jurisdictions,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69" w:lineRule="exact"/>
        <w:rPr>
          <w:sz w:val="20"/>
          <w:szCs w:val="20"/>
          <w:color w:val="auto"/>
        </w:rPr>
      </w:pPr>
    </w:p>
    <w:p>
      <w:pPr>
        <w:ind w:left="500" w:right="40" w:firstLine="819"/>
        <w:spacing w:after="0" w:line="288" w:lineRule="auto"/>
        <w:rPr>
          <w:sz w:val="20"/>
          <w:szCs w:val="20"/>
          <w:color w:val="auto"/>
        </w:rPr>
      </w:pPr>
      <w:r>
        <w:rPr>
          <w:rFonts w:ascii="Arial" w:cs="Arial" w:eastAsia="Arial" w:hAnsi="Arial"/>
          <w:sz w:val="15"/>
          <w:szCs w:val="15"/>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58" w:lineRule="exact"/>
        <w:rPr>
          <w:sz w:val="20"/>
          <w:szCs w:val="20"/>
          <w:color w:val="auto"/>
        </w:rPr>
      </w:pPr>
    </w:p>
    <w:p>
      <w:pPr>
        <w:ind w:left="500"/>
        <w:spacing w:after="0" w:line="253"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authorities are lengthy, costly, time-consuming and inherently unpredictable, and if we are ultimately unable to obtain regulatory approval for our product candidates, our business will be substantially harmed. We cannot predict when or if, and in which territories, we, or any of our potential future collaborators, will obtain marketing approval to commercialize a product candidate.</w:t>
      </w:r>
    </w:p>
    <w:p>
      <w:pPr>
        <w:spacing w:after="0" w:line="180" w:lineRule="exact"/>
        <w:rPr>
          <w:sz w:val="20"/>
          <w:szCs w:val="20"/>
          <w:color w:val="auto"/>
        </w:rPr>
      </w:pPr>
    </w:p>
    <w:p>
      <w:pPr>
        <w:ind w:left="500" w:right="100" w:firstLine="819"/>
        <w:spacing w:after="0" w:line="287" w:lineRule="auto"/>
        <w:rPr>
          <w:sz w:val="20"/>
          <w:szCs w:val="20"/>
          <w:color w:val="auto"/>
        </w:rPr>
      </w:pPr>
      <w:r>
        <w:rPr>
          <w:rFonts w:ascii="Arial" w:cs="Arial" w:eastAsia="Arial" w:hAnsi="Arial"/>
          <w:sz w:val="15"/>
          <w:szCs w:val="15"/>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LYR-210, LYR-220 nor any future product candidates we may seek to develop in the future will ever obtain regulatory approval. Neither we nor any future collaborator is permitted to market any of our product candidates in the United States until we receive regulatory approval of an NDA from the FDA. It is possible that the FDA may refuse to accept for substantive review any NDAs that we submit for our product candidates or may conclude after review of our data that our application is insufficient to obtain marketing approval of our product candidates.</w:t>
      </w:r>
    </w:p>
    <w:p>
      <w:pPr>
        <w:spacing w:after="0" w:line="157" w:lineRule="exact"/>
        <w:rPr>
          <w:sz w:val="20"/>
          <w:szCs w:val="20"/>
          <w:color w:val="auto"/>
        </w:rPr>
      </w:pPr>
    </w:p>
    <w:p>
      <w:pPr>
        <w:ind w:left="500" w:right="160" w:firstLine="819"/>
        <w:spacing w:after="0" w:line="267" w:lineRule="auto"/>
        <w:rPr>
          <w:sz w:val="20"/>
          <w:szCs w:val="20"/>
          <w:color w:val="auto"/>
        </w:rPr>
      </w:pPr>
      <w:r>
        <w:rPr>
          <w:rFonts w:ascii="Arial" w:cs="Arial" w:eastAsia="Arial" w:hAnsi="Arial"/>
          <w:sz w:val="16"/>
          <w:szCs w:val="16"/>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for their intended uses in patients.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FDA-required studies, approval of any NDA or other application that we submit may be delayed by several years, or may require us to expend significantly more resources than we have available.</w:t>
      </w:r>
    </w:p>
    <w:p>
      <w:pPr>
        <w:spacing w:after="0" w:line="10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740"/>
          </w:cols>
          <w:pgMar w:left="320" w:top="437" w:right="8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40" w:firstLine="819"/>
        <w:spacing w:after="0" w:line="253" w:lineRule="auto"/>
        <w:rPr>
          <w:sz w:val="20"/>
          <w:szCs w:val="20"/>
          <w:color w:val="auto"/>
        </w:rPr>
      </w:pPr>
      <w:r>
        <w:rPr>
          <w:rFonts w:ascii="Arial" w:cs="Arial" w:eastAsia="Arial" w:hAnsi="Arial"/>
          <w:sz w:val="17"/>
          <w:szCs w:val="17"/>
          <w:color w:val="auto"/>
        </w:rPr>
        <w:t>Of the large number of potential products in development, only a small percentage successfully complete the FDA or foreign regulatory approval processes and are commercialized. The lengthy and costly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80" w:lineRule="exact"/>
        <w:rPr>
          <w:sz w:val="20"/>
          <w:szCs w:val="20"/>
          <w:color w:val="auto"/>
        </w:rPr>
      </w:pPr>
    </w:p>
    <w:p>
      <w:pPr>
        <w:ind w:left="500" w:firstLine="819"/>
        <w:spacing w:after="0" w:line="288" w:lineRule="auto"/>
        <w:rPr>
          <w:sz w:val="20"/>
          <w:szCs w:val="20"/>
          <w:color w:val="auto"/>
        </w:rPr>
      </w:pPr>
      <w:r>
        <w:rPr>
          <w:rFonts w:ascii="Arial" w:cs="Arial" w:eastAsia="Arial" w:hAnsi="Arial"/>
          <w:sz w:val="15"/>
          <w:szCs w:val="15"/>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58" w:lineRule="exact"/>
        <w:rPr>
          <w:sz w:val="20"/>
          <w:szCs w:val="20"/>
          <w:color w:val="auto"/>
        </w:rPr>
      </w:pPr>
    </w:p>
    <w:p>
      <w:pPr>
        <w:ind w:left="500" w:right="220" w:firstLine="819"/>
        <w:spacing w:after="0" w:line="268" w:lineRule="auto"/>
        <w:rPr>
          <w:sz w:val="20"/>
          <w:szCs w:val="20"/>
          <w:color w:val="auto"/>
        </w:rPr>
      </w:pPr>
      <w:r>
        <w:rPr>
          <w:rFonts w:ascii="Arial" w:cs="Arial" w:eastAsia="Arial" w:hAnsi="Arial"/>
          <w:sz w:val="16"/>
          <w:szCs w:val="16"/>
          <w:color w:val="auto"/>
        </w:rPr>
        <w:t>Separately, in response to the COVID-19 global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and provide guidance regarding the conduct of clinical trials.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69" w:lineRule="exact"/>
        <w:rPr>
          <w:sz w:val="20"/>
          <w:szCs w:val="20"/>
          <w:color w:val="auto"/>
        </w:rPr>
      </w:pPr>
    </w:p>
    <w:p>
      <w:pPr>
        <w:ind w:left="500" w:right="120"/>
        <w:spacing w:after="0" w:line="268" w:lineRule="auto"/>
        <w:rPr>
          <w:sz w:val="20"/>
          <w:szCs w:val="20"/>
          <w:color w:val="auto"/>
        </w:rPr>
      </w:pPr>
      <w:r>
        <w:rPr>
          <w:rFonts w:ascii="Arial" w:cs="Arial" w:eastAsia="Arial" w:hAnsi="Arial"/>
          <w:sz w:val="17"/>
          <w:szCs w:val="17"/>
          <w:b w:val="1"/>
          <w:bCs w:val="1"/>
          <w:i w:val="1"/>
          <w:iCs w:val="1"/>
          <w:color w:val="auto"/>
        </w:rPr>
        <w:t>If we encounter delays or difficulties enrolling patients in our clinical trials, our clinical development activities and receipt of regulatory approvals could be delayed or otherwise adversely affected.</w:t>
      </w:r>
    </w:p>
    <w:p>
      <w:pPr>
        <w:spacing w:after="0" w:line="166" w:lineRule="exact"/>
        <w:rPr>
          <w:sz w:val="20"/>
          <w:szCs w:val="20"/>
          <w:color w:val="auto"/>
        </w:rPr>
      </w:pPr>
    </w:p>
    <w:p>
      <w:pPr>
        <w:ind w:left="500" w:right="60" w:firstLine="819"/>
        <w:spacing w:after="0" w:line="288" w:lineRule="auto"/>
        <w:rPr>
          <w:sz w:val="20"/>
          <w:szCs w:val="20"/>
          <w:color w:val="auto"/>
        </w:rPr>
      </w:pPr>
      <w:r>
        <w:rPr>
          <w:rFonts w:ascii="Arial" w:cs="Arial" w:eastAsia="Arial" w:hAnsi="Arial"/>
          <w:sz w:val="15"/>
          <w:szCs w:val="15"/>
          <w:color w:val="auto"/>
        </w:rPr>
        <w:t>The timely completion of clinical trials in accordance with their protocols depends, among other things, on our ability to enroll a sufficient number of patients who remain in the trial until its conclusion. Trials may be subject to delays as a result of patient enrollment taking longer than anticipated or patient withdrawal. We may encounter delays in enrolling, or be unable to enroll, a sufficient number of patients to complete any of our clinical trials, and even once enrolled we may be unable to retain a sufficient number of patients to complete any of our trials.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cannot predict how successful we will be at enrolling subjects in future clinical trials. The enrollment of patients depends on many factors, including:</w:t>
      </w:r>
    </w:p>
    <w:p>
      <w:pPr>
        <w:spacing w:after="0" w:line="183" w:lineRule="exact"/>
        <w:rPr>
          <w:sz w:val="20"/>
          <w:szCs w:val="20"/>
          <w:color w:val="auto"/>
        </w:rPr>
      </w:pPr>
    </w:p>
    <w:p>
      <w:pPr>
        <w:ind w:left="1720" w:hanging="301"/>
        <w:spacing w:after="0"/>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patient eligibility criteria defined in the protocol;</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size of the patient population required for analysis of the trial’s primary endpoints;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231" w:lineRule="exact"/>
        <w:rPr>
          <w:rFonts w:ascii="Arial" w:cs="Arial" w:eastAsia="Arial" w:hAnsi="Arial"/>
          <w:sz w:val="17"/>
          <w:szCs w:val="17"/>
          <w:color w:val="auto"/>
        </w:rPr>
      </w:pPr>
    </w:p>
    <w:p>
      <w:pPr>
        <w:ind w:left="1720" w:right="20" w:hanging="301"/>
        <w:spacing w:after="0" w:line="268" w:lineRule="auto"/>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03"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700"/>
          </w:cols>
          <w:pgMar w:left="320" w:top="437" w:right="8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in the trial;</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availability of alternative therapies;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impact of the ongoing COVID-19 global pandemic.</w:t>
      </w:r>
    </w:p>
    <w:p>
      <w:pPr>
        <w:spacing w:after="0" w:line="206" w:lineRule="exact"/>
        <w:rPr>
          <w:sz w:val="20"/>
          <w:szCs w:val="20"/>
          <w:color w:val="auto"/>
        </w:rPr>
      </w:pPr>
    </w:p>
    <w:p>
      <w:pPr>
        <w:ind w:left="500" w:right="20" w:firstLine="819"/>
        <w:spacing w:after="0" w:line="25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83" w:lineRule="exact"/>
        <w:rPr>
          <w:sz w:val="20"/>
          <w:szCs w:val="20"/>
          <w:color w:val="auto"/>
        </w:rPr>
      </w:pPr>
    </w:p>
    <w:p>
      <w:pPr>
        <w:ind w:left="500" w:firstLine="819"/>
        <w:spacing w:after="0" w:line="335" w:lineRule="auto"/>
        <w:rPr>
          <w:sz w:val="20"/>
          <w:szCs w:val="20"/>
          <w:color w:val="auto"/>
        </w:rPr>
      </w:pPr>
      <w:r>
        <w:rPr>
          <w:rFonts w:ascii="Arial" w:cs="Arial" w:eastAsia="Arial" w:hAnsi="Arial"/>
          <w:sz w:val="15"/>
          <w:szCs w:val="15"/>
          <w:color w:val="auto"/>
        </w:rPr>
        <w:t>Delays or failures in planned patient enrollment or retention may result in increased costs, program delays or both, which could have a harmful effect on our ability to develop LYR-210, LYR-220 and/or any other future product candidates, or could render further development impossible.</w:t>
      </w:r>
    </w:p>
    <w:p>
      <w:pPr>
        <w:spacing w:after="0" w:line="121" w:lineRule="exact"/>
        <w:rPr>
          <w:sz w:val="20"/>
          <w:szCs w:val="20"/>
          <w:color w:val="auto"/>
        </w:rPr>
      </w:pPr>
    </w:p>
    <w:p>
      <w:pPr>
        <w:ind w:left="500"/>
        <w:spacing w:after="0" w:line="271" w:lineRule="auto"/>
        <w:rPr>
          <w:sz w:val="20"/>
          <w:szCs w:val="20"/>
          <w:color w:val="auto"/>
        </w:rPr>
      </w:pPr>
      <w:r>
        <w:rPr>
          <w:rFonts w:ascii="Arial" w:cs="Arial" w:eastAsia="Arial" w:hAnsi="Arial"/>
          <w:sz w:val="16"/>
          <w:szCs w:val="16"/>
          <w:b w:val="1"/>
          <w:bCs w:val="1"/>
          <w:i w:val="1"/>
          <w:iCs w:val="1"/>
          <w:color w:val="auto"/>
        </w:rPr>
        <w:t>Our product candidates may cause serious adverse events or undesirable side effects including injury and death or have other properties which may delay or prevent their regulatory approval, limit the commercial profile of an approved label, or, result in significant negative consequences following marketing approval, if any.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66" w:lineRule="exact"/>
        <w:rPr>
          <w:sz w:val="20"/>
          <w:szCs w:val="20"/>
          <w:color w:val="auto"/>
        </w:rPr>
      </w:pPr>
    </w:p>
    <w:p>
      <w:pPr>
        <w:ind w:left="500" w:firstLine="819"/>
        <w:spacing w:after="0" w:line="286" w:lineRule="auto"/>
        <w:rPr>
          <w:sz w:val="20"/>
          <w:szCs w:val="20"/>
          <w:color w:val="auto"/>
        </w:rPr>
      </w:pPr>
      <w:r>
        <w:rPr>
          <w:rFonts w:ascii="Arial" w:cs="Arial" w:eastAsia="Arial" w:hAnsi="Arial"/>
          <w:sz w:val="15"/>
          <w:szCs w:val="15"/>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efficacy of the product candidate studied for the target indication. Serious adverse events, or SAEs, or 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Results of our clinical trials or pre-clinical studies could reveal a high and unacceptable severity and prevalence of side effects, toxicities or unexpected characteristics, including death. For example, in our Phase 1 clinical trial for our most advanced product candidate, LYR-210, there has been one SAE in the active group (acute myocardial infarction), which was considered not related to LYR-210. For more information, see “Business—LYR-210 for the Treatment of CRS—Overview of Our Clinical Development.”</w:t>
      </w:r>
    </w:p>
    <w:p>
      <w:pPr>
        <w:spacing w:after="0" w:line="159" w:lineRule="exact"/>
        <w:rPr>
          <w:sz w:val="20"/>
          <w:szCs w:val="20"/>
          <w:color w:val="auto"/>
        </w:rPr>
      </w:pPr>
    </w:p>
    <w:p>
      <w:pPr>
        <w:ind w:left="500" w:right="620" w:firstLine="819"/>
        <w:spacing w:after="0" w:line="268" w:lineRule="auto"/>
        <w:rPr>
          <w:sz w:val="20"/>
          <w:szCs w:val="20"/>
          <w:color w:val="auto"/>
        </w:rPr>
      </w:pPr>
      <w:r>
        <w:rPr>
          <w:rFonts w:ascii="Arial" w:cs="Arial" w:eastAsia="Arial" w:hAnsi="Arial"/>
          <w:sz w:val="17"/>
          <w:szCs w:val="17"/>
          <w:color w:val="auto"/>
        </w:rPr>
        <w:t>In addition, subjects treated with LYR-210 have experienced adverse events, including facial pain, nasopharyngitis, sinusitis, upper respiratory tract infection, procedural headache, nasal discomfort and nasal odor, among others.</w:t>
      </w:r>
    </w:p>
    <w:p>
      <w:pPr>
        <w:spacing w:after="0" w:line="166"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If unacceptable side effects arise in the development of our product candidates, we, the FDA, the IRBs at the institutions in which our studies are conducted or DSMB, could materially modify, suspend or terminate our clinical trials or the FDA or comparable foreign regulatory authorities could order us to cease pre-clinical studies or clinical trials, require us to conduct additional animal or human studies regarding the safety and efficacy of our product candidates which we have not planned or anticipated, or deny approval of our product candidates for any or all targeted indications. Many product candidates that initially showed promise in early</w:t>
      </w:r>
    </w:p>
    <w:p>
      <w:pPr>
        <w:spacing w:after="0" w:line="12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20"/>
          </w:cols>
          <w:pgMar w:left="320" w:top="437" w:right="8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spacing w:after="0" w:line="290" w:lineRule="auto"/>
        <w:rPr>
          <w:sz w:val="20"/>
          <w:szCs w:val="20"/>
          <w:color w:val="auto"/>
        </w:rPr>
      </w:pPr>
      <w:r>
        <w:rPr>
          <w:rFonts w:ascii="Arial" w:cs="Arial" w:eastAsia="Arial" w:hAnsi="Arial"/>
          <w:sz w:val="15"/>
          <w:szCs w:val="15"/>
          <w:color w:val="auto"/>
        </w:rPr>
        <w:t>stage testing have later been found to cause side effects that prevented further development of the product candidate.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currently train and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55"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201" w:lineRule="exact"/>
        <w:rPr>
          <w:sz w:val="20"/>
          <w:szCs w:val="20"/>
          <w:color w:val="auto"/>
        </w:rPr>
      </w:pPr>
    </w:p>
    <w:p>
      <w:pPr>
        <w:ind w:left="1720" w:hanging="301"/>
        <w:spacing w:after="0"/>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product is administered to patients;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additional restrictions may be imposed on the marketing of the particular product or the manufacturing processes for the product;</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such as a “black box” warning or contraindication;</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authorities may require long-term patient registries for the product;</w:t>
      </w:r>
    </w:p>
    <w:p>
      <w:pPr>
        <w:spacing w:after="0" w:line="231" w:lineRule="exact"/>
        <w:rPr>
          <w:rFonts w:ascii="Arial" w:cs="Arial" w:eastAsia="Arial" w:hAnsi="Arial"/>
          <w:sz w:val="17"/>
          <w:szCs w:val="17"/>
          <w:color w:val="auto"/>
        </w:rPr>
      </w:pPr>
    </w:p>
    <w:p>
      <w:pPr>
        <w:ind w:left="1720" w:right="320" w:hanging="301"/>
        <w:spacing w:after="0" w:line="268" w:lineRule="auto"/>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required to implement a Risk Evaluation and Mitigation Strategy, or REMS, or create a medication guide outlining the risks of such side effects for distribution to patients;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product could become less competitive;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06" w:lineRule="exact"/>
        <w:rPr>
          <w:sz w:val="20"/>
          <w:szCs w:val="20"/>
          <w:color w:val="auto"/>
        </w:rPr>
      </w:pPr>
    </w:p>
    <w:p>
      <w:pPr>
        <w:ind w:left="500" w:right="40" w:firstLine="819"/>
        <w:spacing w:after="0" w:line="280" w:lineRule="auto"/>
        <w:rPr>
          <w:sz w:val="20"/>
          <w:szCs w:val="20"/>
          <w:color w:val="auto"/>
        </w:rPr>
      </w:pPr>
      <w:r>
        <w:rPr>
          <w:rFonts w:ascii="Arial" w:cs="Arial" w:eastAsia="Arial" w:hAnsi="Arial"/>
          <w:sz w:val="16"/>
          <w:szCs w:val="16"/>
          <w:color w:val="auto"/>
        </w:rPr>
        <w:t>There can be no assurance that we will resolve any issues related to any product-related adverse events to the satisfaction of the FDA or any regulatory agency in a timely manner or at all. Any of these events could prevent us from achieving or maintaining market acceptance of the particular product candidate, if approved, and could significantly harm our business, results of operations and prospects.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206"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740"/>
          </w:cols>
          <w:pgMar w:left="320" w:top="437" w:right="8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Our insurance policies are expensive and protect us only from some business risks, which leaves us exposed to significant uninsured liabilities.</w:t>
      </w:r>
    </w:p>
    <w:p>
      <w:pPr>
        <w:spacing w:after="0" w:line="241" w:lineRule="exact"/>
        <w:rPr>
          <w:sz w:val="20"/>
          <w:szCs w:val="20"/>
          <w:color w:val="auto"/>
        </w:rPr>
      </w:pPr>
    </w:p>
    <w:p>
      <w:pPr>
        <w:ind w:left="500" w:right="340" w:firstLine="819"/>
        <w:spacing w:after="0" w:line="335" w:lineRule="auto"/>
        <w:rPr>
          <w:sz w:val="20"/>
          <w:szCs w:val="20"/>
          <w:color w:val="auto"/>
        </w:rPr>
      </w:pPr>
      <w:r>
        <w:rPr>
          <w:rFonts w:ascii="Arial" w:cs="Arial" w:eastAsia="Arial" w:hAnsi="Arial"/>
          <w:sz w:val="15"/>
          <w:szCs w:val="15"/>
          <w:color w:val="auto"/>
        </w:rPr>
        <w:t>We do not carry insurance for all categories of risk that our business may encounter. Some of the policies we currently maintain include general liability, employment practices liability, property, auto, workers’ compensation, umbrella, and directors’ and officers’ insurance.</w:t>
      </w:r>
    </w:p>
    <w:p>
      <w:pPr>
        <w:spacing w:after="0" w:line="121"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LYR-210 and/or LYR-220,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61" w:lineRule="exact"/>
        <w:rPr>
          <w:sz w:val="20"/>
          <w:szCs w:val="20"/>
          <w:color w:val="auto"/>
        </w:rPr>
      </w:pPr>
    </w:p>
    <w:p>
      <w:pPr>
        <w:ind w:left="500" w:right="60" w:firstLine="819"/>
        <w:spacing w:after="0" w:line="293" w:lineRule="auto"/>
        <w:rPr>
          <w:sz w:val="20"/>
          <w:szCs w:val="20"/>
          <w:color w:val="auto"/>
        </w:rPr>
      </w:pPr>
      <w:r>
        <w:rPr>
          <w:rFonts w:ascii="Arial" w:cs="Arial" w:eastAsia="Arial" w:hAnsi="Arial"/>
          <w:sz w:val="15"/>
          <w:szCs w:val="15"/>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152" w:lineRule="exact"/>
        <w:rPr>
          <w:sz w:val="20"/>
          <w:szCs w:val="20"/>
          <w:color w:val="auto"/>
        </w:rPr>
      </w:pPr>
    </w:p>
    <w:p>
      <w:pPr>
        <w:ind w:left="500" w:right="100"/>
        <w:spacing w:after="0" w:line="253" w:lineRule="auto"/>
        <w:rPr>
          <w:sz w:val="20"/>
          <w:szCs w:val="20"/>
          <w:color w:val="auto"/>
        </w:rPr>
      </w:pPr>
      <w:r>
        <w:rPr>
          <w:rFonts w:ascii="Arial" w:cs="Arial" w:eastAsia="Arial" w:hAnsi="Arial"/>
          <w:sz w:val="17"/>
          <w:szCs w:val="17"/>
          <w:b w:val="1"/>
          <w:bCs w:val="1"/>
          <w:i w:val="1"/>
          <w:iCs w:val="1"/>
          <w:color w:val="auto"/>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p>
    <w:p>
      <w:pPr>
        <w:spacing w:after="0" w:line="180" w:lineRule="exact"/>
        <w:rPr>
          <w:sz w:val="20"/>
          <w:szCs w:val="20"/>
          <w:color w:val="auto"/>
        </w:rPr>
      </w:pPr>
    </w:p>
    <w:p>
      <w:pPr>
        <w:ind w:left="500" w:firstLine="819"/>
        <w:spacing w:after="0" w:line="284" w:lineRule="auto"/>
        <w:rPr>
          <w:sz w:val="20"/>
          <w:szCs w:val="20"/>
          <w:color w:val="auto"/>
        </w:rPr>
      </w:pPr>
      <w:r>
        <w:rPr>
          <w:rFonts w:ascii="Arial" w:cs="Arial" w:eastAsia="Arial" w:hAnsi="Arial"/>
          <w:sz w:val="15"/>
          <w:szCs w:val="15"/>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the European Medicines Agency, or the EMA,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w:t>
      </w:r>
    </w:p>
    <w:p>
      <w:pPr>
        <w:spacing w:after="0" w:line="9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740"/>
          </w:cols>
          <w:pgMar w:left="320" w:top="437" w:right="8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67" w:lineRule="auto"/>
        <w:rPr>
          <w:sz w:val="20"/>
          <w:szCs w:val="20"/>
          <w:color w:val="auto"/>
        </w:rPr>
      </w:pPr>
      <w:r>
        <w:rPr>
          <w:rFonts w:ascii="Arial" w:cs="Arial" w:eastAsia="Arial" w:hAnsi="Arial"/>
          <w:sz w:val="16"/>
          <w:szCs w:val="16"/>
          <w:color w:val="auto"/>
        </w:rPr>
        <w:t>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system failures.</w:t>
      </w:r>
    </w:p>
    <w:p>
      <w:pPr>
        <w:spacing w:after="0" w:line="206" w:lineRule="exact"/>
        <w:rPr>
          <w:sz w:val="20"/>
          <w:szCs w:val="20"/>
          <w:color w:val="auto"/>
        </w:rPr>
      </w:pPr>
    </w:p>
    <w:p>
      <w:pPr>
        <w:ind w:left="500" w:right="220" w:firstLine="819"/>
        <w:spacing w:after="0" w:line="288" w:lineRule="auto"/>
        <w:rPr>
          <w:sz w:val="20"/>
          <w:szCs w:val="20"/>
          <w:color w:val="auto"/>
        </w:rPr>
      </w:pPr>
      <w:r>
        <w:rPr>
          <w:rFonts w:ascii="Arial" w:cs="Arial" w:eastAsia="Arial" w:hAnsi="Arial"/>
          <w:sz w:val="15"/>
          <w:szCs w:val="15"/>
          <w:color w:val="auto"/>
        </w:rPr>
        <w:t>Our computer systems, as well as those of our CROs and other contractors, vendors, suppliers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product candidate development programs and our business. For example, the loss of pre-clinical studies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LYR-210, LYR-220 or any other product candidate could be delayed.</w:t>
      </w:r>
    </w:p>
    <w:p>
      <w:pPr>
        <w:spacing w:after="0" w:line="158" w:lineRule="exact"/>
        <w:rPr>
          <w:sz w:val="20"/>
          <w:szCs w:val="20"/>
          <w:color w:val="auto"/>
        </w:rPr>
      </w:pPr>
    </w:p>
    <w:p>
      <w:pPr>
        <w:ind w:left="500" w:right="60" w:firstLine="819"/>
        <w:spacing w:after="0" w:line="285" w:lineRule="auto"/>
        <w:rPr>
          <w:sz w:val="20"/>
          <w:szCs w:val="20"/>
          <w:color w:val="auto"/>
        </w:rPr>
      </w:pPr>
      <w:r>
        <w:rPr>
          <w:rFonts w:ascii="Arial" w:cs="Arial" w:eastAsia="Arial" w:hAnsi="Arial"/>
          <w:sz w:val="15"/>
          <w:szCs w:val="15"/>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has been and, from time to time, may be vulnerable to attacks by hackers or internal bad actors, or breached due to employee error, a technical vulnerability, malfeasance or other disruptions. For example, companies have experienced an increase in phishing and social engineering attacks from third parties in connection with the COVID-19 global pandemic. Although, to our knowledge, we have not experienced any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significant regulatory penalties, and such an event could disrupt our operations, damage our reputation, and cause a loss of confidence in us and our ability to conduct clinical trials, which could adversely affect our business reputation and delay our clinical development of our product candidates.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Risks Related to Healthcare Laws and Other Legal Compliance Matters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will be subject to extensive and costly government regulation.</w:t>
      </w:r>
    </w:p>
    <w:p>
      <w:pPr>
        <w:spacing w:after="0" w:line="206" w:lineRule="exact"/>
        <w:rPr>
          <w:sz w:val="20"/>
          <w:szCs w:val="20"/>
          <w:color w:val="auto"/>
        </w:rPr>
      </w:pPr>
    </w:p>
    <w:p>
      <w:pPr>
        <w:ind w:left="500" w:firstLine="819"/>
        <w:spacing w:after="0" w:line="290" w:lineRule="auto"/>
        <w:rPr>
          <w:sz w:val="20"/>
          <w:szCs w:val="20"/>
          <w:color w:val="auto"/>
        </w:rPr>
      </w:pPr>
      <w:r>
        <w:rPr>
          <w:rFonts w:ascii="Arial" w:cs="Arial" w:eastAsia="Arial" w:hAnsi="Arial"/>
          <w:sz w:val="15"/>
          <w:szCs w:val="15"/>
          <w:color w:val="auto"/>
        </w:rPr>
        <w:t>Product candidates employing our technology will be subject to extensive and rigorous domestic government regulation including regulation by the FDA, the Centers for Medicare and Medicaid Services, or CMS, other divisions of the United States Department of Health and Human Services, the United States Department of Justice, state and local governments, and their respective equivalents outside of the United States. The FDA regulates the research, development, pre-clinical and clinical testing, manufacture, safety, effectiveness, record-keeping, reporting, labeling, packaging, storage, approval, advertising, promotion, sale, distribution, import, and export of pharmaceutical products. If products employing our technologies are marketed abroad, they will also be subject to extensive regulation by foreign governments, whether or not they have</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740"/>
          </w:cols>
          <w:pgMar w:left="320" w:top="437" w:right="8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60"/>
        <w:spacing w:after="0" w:line="268" w:lineRule="auto"/>
        <w:rPr>
          <w:sz w:val="20"/>
          <w:szCs w:val="20"/>
          <w:color w:val="auto"/>
        </w:rPr>
      </w:pPr>
      <w:r>
        <w:rPr>
          <w:rFonts w:ascii="Arial" w:cs="Arial" w:eastAsia="Arial" w:hAnsi="Arial"/>
          <w:sz w:val="17"/>
          <w:szCs w:val="17"/>
          <w:color w:val="auto"/>
        </w:rPr>
        <w:t>obtained FDA approval for a given product and its uses. Such foreign regulation may be equally or more demanding than corresponding United States regulation.</w:t>
      </w:r>
    </w:p>
    <w:p>
      <w:pPr>
        <w:spacing w:after="0" w:line="166" w:lineRule="exact"/>
        <w:rPr>
          <w:sz w:val="20"/>
          <w:szCs w:val="20"/>
          <w:color w:val="auto"/>
        </w:rPr>
      </w:pPr>
    </w:p>
    <w:p>
      <w:pPr>
        <w:ind w:left="500" w:right="100" w:firstLine="819"/>
        <w:spacing w:after="0" w:line="312" w:lineRule="auto"/>
        <w:rPr>
          <w:sz w:val="20"/>
          <w:szCs w:val="20"/>
          <w:color w:val="auto"/>
        </w:rPr>
      </w:pPr>
      <w:r>
        <w:rPr>
          <w:rFonts w:ascii="Arial" w:cs="Arial" w:eastAsia="Arial" w:hAnsi="Arial"/>
          <w:sz w:val="14"/>
          <w:szCs w:val="14"/>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or our collaborators must obtain and maintain regulatory authorization to conduct pre-clinical studies and clinical trials. We or our collaborators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w:t>
      </w:r>
    </w:p>
    <w:p>
      <w:pPr>
        <w:spacing w:after="0" w:line="142" w:lineRule="exact"/>
        <w:rPr>
          <w:sz w:val="20"/>
          <w:szCs w:val="20"/>
          <w:color w:val="auto"/>
        </w:rPr>
      </w:pPr>
    </w:p>
    <w:p>
      <w:pPr>
        <w:ind w:left="500" w:right="40" w:firstLine="819"/>
        <w:spacing w:after="0" w:line="293" w:lineRule="auto"/>
        <w:rPr>
          <w:sz w:val="20"/>
          <w:szCs w:val="20"/>
          <w:color w:val="auto"/>
        </w:rPr>
      </w:pPr>
      <w:r>
        <w:rPr>
          <w:rFonts w:ascii="Arial" w:cs="Arial" w:eastAsia="Arial" w:hAnsi="Arial"/>
          <w:sz w:val="15"/>
          <w:szCs w:val="15"/>
          <w:color w:val="auto"/>
        </w:rPr>
        <w:t>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w:t>
      </w:r>
    </w:p>
    <w:p>
      <w:pPr>
        <w:spacing w:after="0" w:line="152"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If we, our collaborators, consultants, contract manufacturers,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169"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b w:val="1"/>
          <w:bCs w:val="1"/>
          <w:i w:val="1"/>
          <w:iCs w:val="1"/>
          <w:color w:val="auto"/>
        </w:rPr>
        <w:t>Enacted and future healthcare legislation may increase the difficulty and cost for us to obtain marketing approval of and commercialize our product candidates and could adversely affect our business.</w:t>
      </w:r>
    </w:p>
    <w:p>
      <w:pPr>
        <w:spacing w:after="0" w:line="166"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 addition, new regulations and interpretations of existing healthcare statutes and regulations are frequently adopted.</w:t>
      </w:r>
    </w:p>
    <w:p>
      <w:pPr>
        <w:spacing w:after="0" w:line="169" w:lineRule="exact"/>
        <w:rPr>
          <w:sz w:val="20"/>
          <w:szCs w:val="20"/>
          <w:color w:val="auto"/>
        </w:rPr>
      </w:pPr>
    </w:p>
    <w:p>
      <w:pPr>
        <w:ind w:left="500" w:right="140" w:firstLine="819"/>
        <w:spacing w:after="0" w:line="28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85" w:lineRule="exact"/>
        <w:rPr>
          <w:sz w:val="20"/>
          <w:szCs w:val="20"/>
          <w:color w:val="auto"/>
        </w:rPr>
      </w:pPr>
    </w:p>
    <w:p>
      <w:pPr>
        <w:ind w:left="1720" w:right="300" w:hanging="301"/>
        <w:spacing w:after="0" w:line="257" w:lineRule="auto"/>
        <w:tabs>
          <w:tab w:leader="none" w:pos="1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720"/>
          </w:cols>
          <w:pgMar w:left="320" w:top="437" w:right="8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540" w:hanging="301"/>
        <w:spacing w:after="0" w:line="257" w:lineRule="auto"/>
        <w:tabs>
          <w:tab w:leader="none" w:pos="1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200" w:lineRule="exact"/>
        <w:rPr>
          <w:rFonts w:ascii="Arial" w:cs="Arial" w:eastAsia="Arial" w:hAnsi="Arial"/>
          <w:sz w:val="17"/>
          <w:szCs w:val="17"/>
          <w:color w:val="auto"/>
        </w:rPr>
      </w:pPr>
    </w:p>
    <w:p>
      <w:pPr>
        <w:jc w:val="both"/>
        <w:ind w:left="1720" w:right="260" w:hanging="301"/>
        <w:spacing w:after="0" w:line="257" w:lineRule="auto"/>
        <w:tabs>
          <w:tab w:leader="none" w:pos="1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200" w:lineRule="exact"/>
        <w:rPr>
          <w:rFonts w:ascii="Arial" w:cs="Arial" w:eastAsia="Arial" w:hAnsi="Arial"/>
          <w:sz w:val="17"/>
          <w:szCs w:val="17"/>
          <w:color w:val="auto"/>
        </w:rPr>
      </w:pPr>
    </w:p>
    <w:p>
      <w:pPr>
        <w:ind w:left="1720" w:right="40" w:hanging="301"/>
        <w:spacing w:after="0" w:line="268" w:lineRule="auto"/>
        <w:tabs>
          <w:tab w:leader="none" w:pos="1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13.0% of the average manufacturer price for branded and generic drugs, respectively;</w:t>
      </w:r>
    </w:p>
    <w:p>
      <w:pPr>
        <w:spacing w:after="0" w:line="191" w:lineRule="exact"/>
        <w:rPr>
          <w:rFonts w:ascii="Arial" w:cs="Arial" w:eastAsia="Arial" w:hAnsi="Arial"/>
          <w:sz w:val="17"/>
          <w:szCs w:val="17"/>
          <w:color w:val="auto"/>
        </w:rPr>
      </w:pPr>
    </w:p>
    <w:p>
      <w:pPr>
        <w:ind w:left="1720" w:right="140" w:hanging="301"/>
        <w:spacing w:after="0" w:line="268" w:lineRule="auto"/>
        <w:tabs>
          <w:tab w:leader="none" w:pos="1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191" w:lineRule="exact"/>
        <w:rPr>
          <w:rFonts w:ascii="Arial" w:cs="Arial" w:eastAsia="Arial" w:hAnsi="Arial"/>
          <w:sz w:val="17"/>
          <w:szCs w:val="17"/>
          <w:color w:val="auto"/>
        </w:rPr>
      </w:pPr>
    </w:p>
    <w:p>
      <w:pPr>
        <w:ind w:left="1720" w:right="500" w:hanging="301"/>
        <w:spacing w:after="0" w:line="268" w:lineRule="auto"/>
        <w:tabs>
          <w:tab w:leader="none" w:pos="1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extension of a manufacturer’s Medicaid rebate liability to covered drugs dispensed to individuals who are enrolled in Medicaid managed care organizations;</w:t>
      </w:r>
    </w:p>
    <w:p>
      <w:pPr>
        <w:spacing w:after="0" w:line="191" w:lineRule="exact"/>
        <w:rPr>
          <w:rFonts w:ascii="Arial" w:cs="Arial" w:eastAsia="Arial" w:hAnsi="Arial"/>
          <w:sz w:val="17"/>
          <w:szCs w:val="17"/>
          <w:color w:val="auto"/>
        </w:rPr>
      </w:pPr>
    </w:p>
    <w:p>
      <w:pPr>
        <w:ind w:left="1720" w:right="160" w:hanging="301"/>
        <w:spacing w:after="0" w:line="257" w:lineRule="auto"/>
        <w:tabs>
          <w:tab w:leader="none" w:pos="1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00" w:lineRule="exact"/>
        <w:rPr>
          <w:rFonts w:ascii="Arial" w:cs="Arial" w:eastAsia="Arial" w:hAnsi="Arial"/>
          <w:sz w:val="17"/>
          <w:szCs w:val="17"/>
          <w:color w:val="auto"/>
        </w:rPr>
      </w:pPr>
    </w:p>
    <w:p>
      <w:pPr>
        <w:ind w:left="1720" w:right="120" w:hanging="301"/>
        <w:spacing w:after="0" w:line="268" w:lineRule="auto"/>
        <w:tabs>
          <w:tab w:leader="none" w:pos="1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191" w:lineRule="exact"/>
        <w:rPr>
          <w:rFonts w:ascii="Arial" w:cs="Arial" w:eastAsia="Arial" w:hAnsi="Arial"/>
          <w:sz w:val="17"/>
          <w:szCs w:val="17"/>
          <w:color w:val="auto"/>
        </w:rPr>
      </w:pPr>
    </w:p>
    <w:p>
      <w:pPr>
        <w:ind w:left="1720" w:right="60" w:hanging="301"/>
        <w:spacing w:after="0" w:line="268" w:lineRule="auto"/>
        <w:tabs>
          <w:tab w:leader="none" w:pos="1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CMS to test innovative payment and service delivery models to lower Medicare and Medicaid spending, potentially including prescription drug spending.</w:t>
      </w:r>
    </w:p>
    <w:p>
      <w:pPr>
        <w:spacing w:after="0" w:line="166"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For example, the creation of the Independent Payment Advisory Board, which had been included as part of the provisions of the ACA, was repealed in February 2018. The current presidential administration and Congress will likely continue to seek to modify, repeal, or otherwise invalidate all, or certain provisions of, the ACA. It is uncertain the extent to which any such changes may impact our business or financial condition.</w:t>
      </w:r>
    </w:p>
    <w:p>
      <w:pPr>
        <w:spacing w:after="0" w:line="183" w:lineRule="exact"/>
        <w:rPr>
          <w:sz w:val="20"/>
          <w:szCs w:val="20"/>
          <w:color w:val="auto"/>
        </w:rPr>
      </w:pPr>
    </w:p>
    <w:p>
      <w:pPr>
        <w:ind w:left="500" w:right="20" w:firstLine="819"/>
        <w:spacing w:after="0" w:line="285" w:lineRule="auto"/>
        <w:rPr>
          <w:sz w:val="20"/>
          <w:szCs w:val="20"/>
          <w:color w:val="auto"/>
        </w:rPr>
      </w:pPr>
      <w:r>
        <w:rPr>
          <w:rFonts w:ascii="Arial" w:cs="Arial" w:eastAsia="Arial" w:hAnsi="Arial"/>
          <w:sz w:val="15"/>
          <w:szCs w:val="15"/>
          <w:color w:val="auto"/>
        </w:rPr>
        <w:t>In addition, other legislative changes have been proposed and adopted in the United States since the ACA was enacted. In August 2011, the Budget Control Act of 2011 resulted in aggregate reductions of Medicare payments to providers of 2% per fiscal year, which went into effect in April 2013 and, due to subsequent legislative amendments to the statute, will remain in effect through 2029 unless additional action is taken by Congress. The CARES Act, which was signed into law on March 27, 2020, and designed to provide financial support and resources to individuals and businesses affected by the COVID-19 global pandemic, suspended the 2% Medicare sequester from May 1, 2020, through December 31, 2020, and extended the sequester by one year, through 2030, in order to offset the added expense of the 2020 cancellation.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healthcare funding, which could negatively affect our customers and accordingly, our financial operations.</w:t>
      </w:r>
    </w:p>
    <w:p>
      <w:pPr>
        <w:spacing w:after="0" w:line="9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720"/>
          </w:cols>
          <w:pgMar w:left="320" w:top="437" w:right="8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60" w:firstLine="819"/>
        <w:spacing w:after="0" w:line="283" w:lineRule="auto"/>
        <w:rPr>
          <w:sz w:val="20"/>
          <w:szCs w:val="20"/>
          <w:color w:val="auto"/>
        </w:rPr>
      </w:pPr>
      <w:r>
        <w:rPr>
          <w:rFonts w:ascii="Arial" w:cs="Arial" w:eastAsia="Arial" w:hAnsi="Arial"/>
          <w:sz w:val="15"/>
          <w:szCs w:val="15"/>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2020 contains further drug price control measures that could be enacted during the 2020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has already started the process of soliciting feedback on some of these measures and, at the same, is immediately implementing others under its existing authority. While any proposed measures will require authorization through additional legislation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60"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69" w:lineRule="exact"/>
        <w:rPr>
          <w:sz w:val="20"/>
          <w:szCs w:val="20"/>
          <w:color w:val="auto"/>
        </w:rPr>
      </w:pPr>
    </w:p>
    <w:p>
      <w:pPr>
        <w:ind w:left="500" w:right="20" w:firstLine="819"/>
        <w:spacing w:after="0" w:line="286" w:lineRule="auto"/>
        <w:rPr>
          <w:sz w:val="20"/>
          <w:szCs w:val="20"/>
          <w:color w:val="auto"/>
        </w:rPr>
      </w:pPr>
      <w:r>
        <w:rPr>
          <w:rFonts w:ascii="Arial" w:cs="Arial" w:eastAsia="Arial" w:hAnsi="Arial"/>
          <w:sz w:val="15"/>
          <w:szCs w:val="15"/>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59" w:lineRule="exact"/>
        <w:rPr>
          <w:sz w:val="20"/>
          <w:szCs w:val="20"/>
          <w:color w:val="auto"/>
        </w:rPr>
      </w:pPr>
    </w:p>
    <w:p>
      <w:pPr>
        <w:ind w:left="500" w:right="20" w:firstLine="819"/>
        <w:spacing w:after="0" w:line="268" w:lineRule="auto"/>
        <w:rPr>
          <w:sz w:val="20"/>
          <w:szCs w:val="20"/>
          <w:color w:val="auto"/>
        </w:rPr>
      </w:pPr>
      <w:r>
        <w:rPr>
          <w:rFonts w:ascii="Arial" w:cs="Arial" w:eastAsia="Arial" w:hAnsi="Arial"/>
          <w:sz w:val="17"/>
          <w:szCs w:val="17"/>
          <w:color w:val="auto"/>
        </w:rPr>
        <w:t>In markets outside of the United States and the EU, reimbursement and healthcare payment systems vary significantly by country, and many countries have instituted price ceilings on specific products and therapies.</w:t>
      </w:r>
    </w:p>
    <w:p>
      <w:pPr>
        <w:spacing w:after="0" w:line="166" w:lineRule="exact"/>
        <w:rPr>
          <w:sz w:val="20"/>
          <w:szCs w:val="20"/>
          <w:color w:val="auto"/>
        </w:rPr>
      </w:pPr>
    </w:p>
    <w:p>
      <w:pPr>
        <w:ind w:left="500" w:right="220" w:firstLine="819"/>
        <w:spacing w:after="0" w:line="268" w:lineRule="auto"/>
        <w:rPr>
          <w:sz w:val="20"/>
          <w:szCs w:val="20"/>
          <w:color w:val="auto"/>
        </w:rPr>
      </w:pPr>
      <w:r>
        <w:rPr>
          <w:rFonts w:ascii="Arial" w:cs="Arial" w:eastAsia="Arial" w:hAnsi="Arial"/>
          <w:sz w:val="17"/>
          <w:szCs w:val="17"/>
          <w:color w:val="auto"/>
        </w:rPr>
        <w:t>In addition, legislative and regulatory proposals have been made to expand post-approval requirements and restrict sales and promotional activities for pharmaceutical products. We cannot be sure whether additional</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740"/>
          </w:cols>
          <w:pgMar w:left="320" w:top="437" w:right="8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53" w:lineRule="auto"/>
        <w:rPr>
          <w:sz w:val="20"/>
          <w:szCs w:val="20"/>
          <w:color w:val="auto"/>
        </w:rPr>
      </w:pPr>
      <w:r>
        <w:rPr>
          <w:rFonts w:ascii="Arial" w:cs="Arial" w:eastAsia="Arial" w:hAnsi="Arial"/>
          <w:sz w:val="17"/>
          <w:szCs w:val="17"/>
          <w:color w:val="auto"/>
        </w:rPr>
        <w:t>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left="500" w:right="40" w:firstLine="819"/>
        <w:spacing w:after="0" w:line="298" w:lineRule="auto"/>
        <w:rPr>
          <w:sz w:val="20"/>
          <w:szCs w:val="20"/>
          <w:color w:val="auto"/>
        </w:rPr>
      </w:pPr>
      <w:r>
        <w:rPr>
          <w:rFonts w:ascii="Arial" w:cs="Arial" w:eastAsia="Arial" w:hAnsi="Arial"/>
          <w:sz w:val="15"/>
          <w:szCs w:val="15"/>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48" w:lineRule="exact"/>
        <w:rPr>
          <w:sz w:val="20"/>
          <w:szCs w:val="20"/>
          <w:color w:val="auto"/>
        </w:rPr>
      </w:pPr>
    </w:p>
    <w:p>
      <w:pPr>
        <w:ind w:left="500" w:right="200"/>
        <w:spacing w:after="0" w:line="257"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ind w:left="500" w:right="40" w:firstLine="819"/>
        <w:spacing w:after="0" w:line="284"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the EMA and other regulatory authorities. These requirements include submissions of safety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 In addition, the sponsor of an approved NDA is subject to periodic inspections and other FDA monitoring and reporting obligations, including obligations to monitor and report adverse events and other information such as the failure of a product to meet the specifications in the NDA. NDA sponsors must submit new or supplemental applications and obtain FDA approval for certain changes to the approved product, product labeling, or manufacturing process. Application holders must also submit advertising and other promotional material to the FDA and report on ongoing clinical trials. The FDA may require changes in the labeling of already approved drug products and require that sponsors conduct post-marketing studies. Accordingly, we and others with whom we work must continue to expend time, money and effort in all areas of regulatory compliance, including manufacturing, production and quality control.</w:t>
      </w:r>
    </w:p>
    <w:p>
      <w:pPr>
        <w:spacing w:after="0" w:line="158" w:lineRule="exact"/>
        <w:rPr>
          <w:sz w:val="20"/>
          <w:szCs w:val="20"/>
          <w:color w:val="auto"/>
        </w:rPr>
      </w:pPr>
    </w:p>
    <w:p>
      <w:pPr>
        <w:ind w:left="500" w:right="80" w:firstLine="819"/>
        <w:spacing w:after="0" w:line="251"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may be marketed or to the conditions of approval, including the requirement to implement a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3" w:lineRule="exact"/>
        <w:rPr>
          <w:sz w:val="20"/>
          <w:szCs w:val="20"/>
          <w:color w:val="auto"/>
        </w:rPr>
      </w:pPr>
    </w:p>
    <w:p>
      <w:pPr>
        <w:ind w:left="500" w:right="40" w:firstLine="819"/>
        <w:spacing w:after="0" w:line="290" w:lineRule="auto"/>
        <w:rPr>
          <w:sz w:val="20"/>
          <w:szCs w:val="20"/>
          <w:color w:val="auto"/>
        </w:rPr>
      </w:pPr>
      <w:r>
        <w:rPr>
          <w:rFonts w:ascii="Arial" w:cs="Arial" w:eastAsia="Arial" w:hAnsi="Arial"/>
          <w:sz w:val="15"/>
          <w:szCs w:val="15"/>
          <w:color w:val="auto"/>
        </w:rPr>
        <w:t>The FDA may also impose requirements for costly post-marketing studies or clinical trials and surveillance to monitor the safety or efficacy of our approved products. In addition, advertising and promotional materials must comply with FDA rules in addition to other potentially applicable federal and state laws. The FDA closely regulates the post-approval marketing and promotion of drugs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740"/>
          </w:cols>
          <w:pgMar w:left="320" w:top="437" w:right="8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investigations alleging violations of federal and state health care fraud and abuse laws, as well as state consumer protection laws.</w:t>
      </w:r>
    </w:p>
    <w:p>
      <w:pPr>
        <w:spacing w:after="0" w:line="206" w:lineRule="exact"/>
        <w:rPr>
          <w:sz w:val="20"/>
          <w:szCs w:val="20"/>
          <w:color w:val="auto"/>
        </w:rPr>
      </w:pPr>
    </w:p>
    <w:p>
      <w:pPr>
        <w:ind w:left="500" w:right="60" w:firstLine="819"/>
        <w:spacing w:after="0" w:line="251" w:lineRule="auto"/>
        <w:rPr>
          <w:sz w:val="20"/>
          <w:szCs w:val="20"/>
          <w:color w:val="auto"/>
        </w:rPr>
      </w:pPr>
      <w:r>
        <w:rPr>
          <w:rFonts w:ascii="Arial" w:cs="Arial" w:eastAsia="Arial" w:hAnsi="Arial"/>
          <w:sz w:val="17"/>
          <w:szCs w:val="17"/>
          <w:color w:val="auto"/>
        </w:rPr>
        <w:t>The distribution of product samples to physicians must comply with the requirements of the FDCA. NDA sponsors must obtain FDA approval for product, manufacturing, and labeling changes, depending on the nature of the change. Depending on the circumstances, failure to meet these post-approval requirements can result in criminal prosecution, fines, injunctions, consent decrees of permanent injunction, recall or seizure of products, total or partial suspension of production, denial or withdrawal of pre-marketing product approvals, or refusal to allow us to enter into supply contracts, including government contracts.</w:t>
      </w:r>
    </w:p>
    <w:p>
      <w:pPr>
        <w:spacing w:after="0" w:line="183"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In addition, later discovery of previously unknown adverse events or other problems with our products, manufacturers or manufacturing processes, including adverse events of unanticipated severity or frequency, or with our third-party manufacturers or manufacturing processes, or failure to comply with regulatory requirements, may yield various results, including:</w:t>
      </w:r>
    </w:p>
    <w:p>
      <w:pPr>
        <w:spacing w:after="0" w:line="201" w:lineRule="exact"/>
        <w:rPr>
          <w:sz w:val="20"/>
          <w:szCs w:val="20"/>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manufacturing such products;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the labeling or marketing of a product;</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warning letters or holds on clinical trials;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withdrawal of the products from the market;</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 seizure or detention; or</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06"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0" w:lineRule="exact"/>
        <w:rPr>
          <w:sz w:val="20"/>
          <w:szCs w:val="20"/>
          <w:color w:val="auto"/>
        </w:rPr>
      </w:pPr>
    </w:p>
    <w:p>
      <w:pPr>
        <w:ind w:left="500" w:right="40" w:firstLine="819"/>
        <w:spacing w:after="0" w:line="298" w:lineRule="auto"/>
        <w:rPr>
          <w:sz w:val="20"/>
          <w:szCs w:val="20"/>
          <w:color w:val="auto"/>
        </w:rPr>
      </w:pPr>
      <w:r>
        <w:rPr>
          <w:rFonts w:ascii="Arial" w:cs="Arial" w:eastAsia="Arial" w:hAnsi="Arial"/>
          <w:sz w:val="15"/>
          <w:szCs w:val="15"/>
          <w:color w:val="auto"/>
        </w:rPr>
        <w:t>The FDA’s policies may change and additional government regulations may be enacted that could prevent, limit or delay regulatory approval of LYR-210, LYR-220 and/or any other future product candidate.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620"/>
          </w:cols>
          <w:pgMar w:left="320" w:top="437" w:right="9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88" w:lineRule="auto"/>
        <w:rPr>
          <w:sz w:val="20"/>
          <w:szCs w:val="20"/>
          <w:color w:val="auto"/>
        </w:rPr>
      </w:pPr>
      <w:r>
        <w:rPr>
          <w:rFonts w:ascii="Arial" w:cs="Arial" w:eastAsia="Arial" w:hAnsi="Arial"/>
          <w:sz w:val="15"/>
          <w:szCs w:val="15"/>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58" w:lineRule="exact"/>
        <w:rPr>
          <w:sz w:val="20"/>
          <w:szCs w:val="20"/>
          <w:color w:val="auto"/>
        </w:rPr>
      </w:pPr>
    </w:p>
    <w:p>
      <w:pPr>
        <w:ind w:left="500"/>
        <w:spacing w:after="0" w:line="257" w:lineRule="auto"/>
        <w:rPr>
          <w:sz w:val="20"/>
          <w:szCs w:val="20"/>
          <w:color w:val="auto"/>
        </w:rPr>
      </w:pPr>
      <w:r>
        <w:rPr>
          <w:rFonts w:ascii="Arial" w:cs="Arial" w:eastAsia="Arial" w:hAnsi="Arial"/>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sz w:val="20"/>
          <w:szCs w:val="20"/>
          <w:color w:val="auto"/>
        </w:rPr>
      </w:pPr>
    </w:p>
    <w:p>
      <w:pPr>
        <w:ind w:left="500" w:right="60" w:firstLine="819"/>
        <w:spacing w:after="0" w:line="274"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64" w:lineRule="exact"/>
        <w:rPr>
          <w:sz w:val="20"/>
          <w:szCs w:val="20"/>
          <w:color w:val="auto"/>
        </w:rPr>
      </w:pPr>
    </w:p>
    <w:p>
      <w:pPr>
        <w:ind w:left="500" w:right="180" w:firstLine="819"/>
        <w:spacing w:after="0" w:line="25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w:t>
      </w:r>
    </w:p>
    <w:p>
      <w:pPr>
        <w:spacing w:after="0" w:line="180"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Separately, in response to the COVID-19 global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Regulatory authorities outside the United States may adopt similar restrictions or other policy measures in response to the COVID-19 global pandemic or issue guidance materially affecting the conduct of clinical trials.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173" w:lineRule="exact"/>
        <w:rPr>
          <w:sz w:val="20"/>
          <w:szCs w:val="20"/>
          <w:color w:val="auto"/>
        </w:rPr>
      </w:pPr>
    </w:p>
    <w:p>
      <w:pPr>
        <w:jc w:val="both"/>
        <w:ind w:left="500" w:right="140"/>
        <w:spacing w:after="0" w:line="335" w:lineRule="auto"/>
        <w:rPr>
          <w:sz w:val="20"/>
          <w:szCs w:val="20"/>
          <w:color w:val="auto"/>
        </w:rPr>
      </w:pPr>
      <w:r>
        <w:rPr>
          <w:rFonts w:ascii="Arial" w:cs="Arial" w:eastAsia="Arial" w:hAnsi="Arial"/>
          <w:sz w:val="15"/>
          <w:szCs w:val="15"/>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21" w:lineRule="exact"/>
        <w:rPr>
          <w:sz w:val="20"/>
          <w:szCs w:val="20"/>
          <w:color w:val="auto"/>
        </w:rPr>
      </w:pPr>
    </w:p>
    <w:p>
      <w:pPr>
        <w:jc w:val="both"/>
        <w:ind w:left="500" w:right="160" w:firstLine="819"/>
        <w:spacing w:after="0" w:line="253"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205" w:lineRule="exact"/>
        <w:rPr>
          <w:sz w:val="20"/>
          <w:szCs w:val="20"/>
          <w:color w:val="auto"/>
        </w:rPr>
      </w:pPr>
    </w:p>
    <w:p>
      <w:pPr>
        <w:ind w:left="1720" w:right="520" w:hanging="301"/>
        <w:spacing w:after="0" w:line="268" w:lineRule="auto"/>
        <w:tabs>
          <w:tab w:leader="none" w:pos="1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660"/>
          </w:cols>
          <w:pgMar w:left="320" w:top="437" w:right="91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80"/>
        <w:spacing w:after="0" w:line="251" w:lineRule="auto"/>
        <w:rPr>
          <w:sz w:val="20"/>
          <w:szCs w:val="20"/>
          <w:color w:val="auto"/>
        </w:rPr>
      </w:pPr>
      <w:r>
        <w:rPr>
          <w:rFonts w:ascii="Arial" w:cs="Arial" w:eastAsia="Arial" w:hAnsi="Arial"/>
          <w:sz w:val="17"/>
          <w:szCs w:val="17"/>
          <w:color w:val="auto"/>
        </w:rPr>
        <w:t>(including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208" w:lineRule="exact"/>
        <w:rPr>
          <w:sz w:val="20"/>
          <w:szCs w:val="20"/>
          <w:color w:val="auto"/>
        </w:rPr>
      </w:pPr>
    </w:p>
    <w:p>
      <w:pPr>
        <w:ind w:left="1720" w:hanging="301"/>
        <w:spacing w:after="0" w:line="268" w:lineRule="auto"/>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U.S. federal civil and criminal false claims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93" w:lineRule="exact"/>
        <w:rPr>
          <w:rFonts w:ascii="Arial" w:cs="Arial" w:eastAsia="Arial" w:hAnsi="Arial"/>
          <w:sz w:val="16"/>
          <w:szCs w:val="16"/>
          <w:color w:val="auto"/>
        </w:rPr>
      </w:pPr>
    </w:p>
    <w:p>
      <w:pPr>
        <w:ind w:left="1720" w:right="60" w:hanging="301"/>
        <w:spacing w:after="0" w:line="253" w:lineRule="auto"/>
        <w:tabs>
          <w:tab w:leader="none" w:pos="1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5" w:lineRule="exact"/>
        <w:rPr>
          <w:rFonts w:ascii="Arial" w:cs="Arial" w:eastAsia="Arial" w:hAnsi="Arial"/>
          <w:sz w:val="17"/>
          <w:szCs w:val="17"/>
          <w:color w:val="auto"/>
        </w:rPr>
      </w:pPr>
    </w:p>
    <w:p>
      <w:pPr>
        <w:ind w:left="1720" w:right="40" w:hanging="301"/>
        <w:spacing w:after="0" w:line="250" w:lineRule="auto"/>
        <w:tabs>
          <w:tab w:leader="none" w:pos="1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9" w:lineRule="exact"/>
        <w:rPr>
          <w:rFonts w:ascii="Arial" w:cs="Arial" w:eastAsia="Arial" w:hAnsi="Arial"/>
          <w:sz w:val="17"/>
          <w:szCs w:val="17"/>
          <w:color w:val="auto"/>
        </w:rPr>
      </w:pPr>
    </w:p>
    <w:p>
      <w:pPr>
        <w:ind w:left="1720" w:right="60" w:hanging="301"/>
        <w:spacing w:after="0" w:line="271" w:lineRule="auto"/>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191" w:lineRule="exact"/>
        <w:rPr>
          <w:rFonts w:ascii="Arial" w:cs="Arial" w:eastAsia="Arial" w:hAnsi="Arial"/>
          <w:sz w:val="16"/>
          <w:szCs w:val="16"/>
          <w:color w:val="auto"/>
        </w:rPr>
      </w:pPr>
    </w:p>
    <w:p>
      <w:pPr>
        <w:ind w:left="1720" w:hanging="301"/>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FDCA, which prohibits, among other things, the adulteration or misbranding of drugs, biologics and medical devices;</w:t>
      </w:r>
    </w:p>
    <w:p>
      <w:pPr>
        <w:spacing w:after="0" w:line="242" w:lineRule="exact"/>
        <w:rPr>
          <w:rFonts w:ascii="Arial" w:cs="Arial" w:eastAsia="Arial" w:hAnsi="Arial"/>
          <w:sz w:val="16"/>
          <w:szCs w:val="16"/>
          <w:color w:val="auto"/>
        </w:rPr>
      </w:pPr>
    </w:p>
    <w:p>
      <w:pPr>
        <w:ind w:left="1720" w:right="40" w:hanging="301"/>
        <w:spacing w:after="0" w:line="271" w:lineRule="auto"/>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191" w:lineRule="exact"/>
        <w:rPr>
          <w:rFonts w:ascii="Arial" w:cs="Arial" w:eastAsia="Arial" w:hAnsi="Arial"/>
          <w:sz w:val="16"/>
          <w:szCs w:val="16"/>
          <w:color w:val="auto"/>
        </w:rPr>
      </w:pPr>
    </w:p>
    <w:p>
      <w:pPr>
        <w:ind w:left="1720" w:right="80" w:hanging="301"/>
        <w:spacing w:after="0" w:line="268" w:lineRule="auto"/>
        <w:tabs>
          <w:tab w:leader="none" w:pos="1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700"/>
          </w:cols>
          <w:pgMar w:left="320" w:top="437" w:right="8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40" w:hanging="301"/>
        <w:spacing w:after="0" w:line="285" w:lineRule="auto"/>
        <w:tabs>
          <w:tab w:leader="none" w:pos="17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186" w:lineRule="exact"/>
        <w:rPr>
          <w:rFonts w:ascii="Arial" w:cs="Arial" w:eastAsia="Arial" w:hAnsi="Arial"/>
          <w:sz w:val="15"/>
          <w:szCs w:val="15"/>
          <w:color w:val="auto"/>
        </w:rPr>
      </w:pPr>
    </w:p>
    <w:p>
      <w:pPr>
        <w:ind w:left="1720" w:right="120" w:hanging="301"/>
        <w:spacing w:after="0" w:line="253" w:lineRule="auto"/>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similar healthcare laws and regulations in the EU and other jurisdictions, including reporting requirements detailing interactions with and payments to healthcare providers and laws governing the privacy and security of certain protected information, such as the General Data Protection Regulation, or the GDPR, which imposes obligations and restrictions on the collection and use of personal data relating to individuals located in the EU (including health data).</w:t>
      </w:r>
    </w:p>
    <w:p>
      <w:pPr>
        <w:spacing w:after="0" w:line="180" w:lineRule="exact"/>
        <w:rPr>
          <w:sz w:val="20"/>
          <w:szCs w:val="20"/>
          <w:color w:val="auto"/>
        </w:rPr>
      </w:pPr>
    </w:p>
    <w:p>
      <w:pPr>
        <w:ind w:left="500" w:right="100" w:firstLine="819"/>
        <w:spacing w:after="0" w:line="284" w:lineRule="auto"/>
        <w:rPr>
          <w:sz w:val="20"/>
          <w:szCs w:val="20"/>
          <w:color w:val="auto"/>
        </w:rPr>
      </w:pPr>
      <w:r>
        <w:rPr>
          <w:rFonts w:ascii="Arial" w:cs="Arial" w:eastAsia="Arial" w:hAnsi="Arial"/>
          <w:sz w:val="15"/>
          <w:szCs w:val="15"/>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options for consulting services provided,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58" w:lineRule="exact"/>
        <w:rPr>
          <w:sz w:val="20"/>
          <w:szCs w:val="20"/>
          <w:color w:val="auto"/>
        </w:rPr>
      </w:pPr>
    </w:p>
    <w:p>
      <w:pPr>
        <w:ind w:left="500" w:right="100"/>
        <w:spacing w:after="0" w:line="280" w:lineRule="auto"/>
        <w:rPr>
          <w:sz w:val="20"/>
          <w:szCs w:val="20"/>
          <w:color w:val="auto"/>
        </w:rPr>
      </w:pPr>
      <w:r>
        <w:rPr>
          <w:rFonts w:ascii="Arial" w:cs="Arial" w:eastAsia="Arial" w:hAnsi="Arial"/>
          <w:sz w:val="16"/>
          <w:szCs w:val="16"/>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159" w:lineRule="exact"/>
        <w:rPr>
          <w:sz w:val="20"/>
          <w:szCs w:val="20"/>
          <w:color w:val="auto"/>
        </w:rPr>
      </w:pPr>
    </w:p>
    <w:p>
      <w:pPr>
        <w:ind w:left="500" w:firstLine="819"/>
        <w:spacing w:after="0" w:line="290" w:lineRule="auto"/>
        <w:rPr>
          <w:sz w:val="20"/>
          <w:szCs w:val="20"/>
          <w:color w:val="auto"/>
        </w:rPr>
      </w:pPr>
      <w:r>
        <w:rPr>
          <w:rFonts w:ascii="Arial" w:cs="Arial" w:eastAsia="Arial" w:hAnsi="Arial"/>
          <w:sz w:val="15"/>
          <w:szCs w:val="15"/>
          <w:color w:val="auto"/>
        </w:rPr>
        <w:t>We are subject to diverse laws and regulations relating to data privacy and security, including, in the United States, HIPAA and, in the EU and the European Economic Area, or EEA, Regulation 2016/679, known as the GDPR. New privacy rules are being enacted in the United States and globally, and existing ones are being updated and strengthened. For example, on June 28, 2018, California enacted the California Consumer Privacy Act, or CCPA, which took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Complying with these numerous, complex and often changing</w:t>
      </w:r>
    </w:p>
    <w:p>
      <w:pPr>
        <w:spacing w:after="0" w:line="9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740"/>
          </w:cols>
          <w:pgMar w:left="320" w:top="437" w:right="8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80"/>
        <w:spacing w:after="0" w:line="266" w:lineRule="auto"/>
        <w:rPr>
          <w:sz w:val="20"/>
          <w:szCs w:val="20"/>
          <w:color w:val="auto"/>
        </w:rPr>
      </w:pPr>
      <w:r>
        <w:rPr>
          <w:rFonts w:ascii="Arial" w:cs="Arial" w:eastAsia="Arial" w:hAnsi="Arial"/>
          <w:sz w:val="16"/>
          <w:szCs w:val="16"/>
          <w:color w:val="auto"/>
        </w:rPr>
        <w:t>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and injunctive relief. Furthermore, these rules are constantly changing; for example, the GDPR came into force in May 2018 changing the European regime. Before that, the US-EU Safe Harbor framework was declared invalid in 2015 and replaced with the EU-U.S. Privacy Shield framework which, along with other methods which permit transfer under European privacy law, are under ongoing review and subject to challenge.</w:t>
      </w:r>
    </w:p>
    <w:p>
      <w:pPr>
        <w:spacing w:after="0" w:line="173" w:lineRule="exact"/>
        <w:rPr>
          <w:sz w:val="20"/>
          <w:szCs w:val="20"/>
          <w:color w:val="auto"/>
        </w:rPr>
      </w:pPr>
    </w:p>
    <w:p>
      <w:pPr>
        <w:ind w:left="500" w:right="20" w:firstLine="819"/>
        <w:spacing w:after="0" w:line="286" w:lineRule="auto"/>
        <w:rPr>
          <w:sz w:val="20"/>
          <w:szCs w:val="20"/>
          <w:color w:val="auto"/>
        </w:rPr>
      </w:pPr>
      <w:r>
        <w:rPr>
          <w:rFonts w:ascii="Arial" w:cs="Arial" w:eastAsia="Arial" w:hAnsi="Arial"/>
          <w:sz w:val="15"/>
          <w:szCs w:val="15"/>
          <w:color w:val="auto"/>
        </w:rPr>
        <w:t>The privacy laws in the EU have been significantly reformed. On May 25, 2018, the GDPR entered into force and became directly applicable in all EU member states.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will require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greater of €20 million or up to 4% of our total global annual revenue in the event of a significant breach. In addition, we may be the subject of litigation and/or adverse publicity, which could adversely affect our business, results of operations and financial condition.</w:t>
      </w:r>
    </w:p>
    <w:p>
      <w:pPr>
        <w:spacing w:after="0" w:line="159" w:lineRule="exact"/>
        <w:rPr>
          <w:sz w:val="20"/>
          <w:szCs w:val="20"/>
          <w:color w:val="auto"/>
        </w:rPr>
      </w:pPr>
    </w:p>
    <w:p>
      <w:pPr>
        <w:ind w:left="500" w:right="60" w:firstLine="819"/>
        <w:spacing w:after="0" w:line="290" w:lineRule="auto"/>
        <w:rPr>
          <w:sz w:val="20"/>
          <w:szCs w:val="20"/>
          <w:color w:val="auto"/>
        </w:rPr>
      </w:pPr>
      <w:r>
        <w:rPr>
          <w:rFonts w:ascii="Arial" w:cs="Arial" w:eastAsia="Arial" w:hAnsi="Arial"/>
          <w:sz w:val="15"/>
          <w:szCs w:val="15"/>
          <w:color w:val="auto"/>
        </w:rPr>
        <w:t>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face potential liability related to the privacy of health information we obtain from clinical trials sponsored by us.</w:t>
      </w:r>
    </w:p>
    <w:p>
      <w:pPr>
        <w:spacing w:after="0" w:line="206"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Most healthcare providers, including research institutions from which we obtain patient health information, are subject to privacy and security regulations promulgated under HIPAA, as amended by the HITECH. We are not currently classified as a covered entity or business associate under HIPAA and thus are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EU Data Protection Directive and legislation of the EU member states implementing it.</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740"/>
          </w:cols>
          <w:pgMar w:left="320" w:top="437" w:right="8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European Union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ind w:left="500" w:right="60" w:firstLine="819"/>
        <w:spacing w:after="0" w:line="269" w:lineRule="auto"/>
        <w:rPr>
          <w:sz w:val="20"/>
          <w:szCs w:val="20"/>
          <w:color w:val="auto"/>
        </w:rPr>
      </w:pPr>
      <w:r>
        <w:rPr>
          <w:rFonts w:ascii="Arial" w:cs="Arial" w:eastAsia="Arial" w:hAnsi="Arial"/>
          <w:sz w:val="16"/>
          <w:szCs w:val="16"/>
          <w:color w:val="auto"/>
        </w:rPr>
        <w:t>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69" w:lineRule="exact"/>
        <w:rPr>
          <w:sz w:val="20"/>
          <w:szCs w:val="20"/>
          <w:color w:val="auto"/>
        </w:rPr>
      </w:pPr>
    </w:p>
    <w:p>
      <w:pPr>
        <w:ind w:left="500" w:right="560"/>
        <w:spacing w:after="0" w:line="268" w:lineRule="auto"/>
        <w:rPr>
          <w:sz w:val="20"/>
          <w:szCs w:val="20"/>
          <w:color w:val="auto"/>
        </w:rPr>
      </w:pPr>
      <w:r>
        <w:rPr>
          <w:rFonts w:ascii="Arial" w:cs="Arial" w:eastAsia="Arial" w:hAnsi="Arial"/>
          <w:sz w:val="17"/>
          <w:szCs w:val="17"/>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166" w:lineRule="exact"/>
        <w:rPr>
          <w:sz w:val="20"/>
          <w:szCs w:val="20"/>
          <w:color w:val="auto"/>
        </w:rPr>
      </w:pPr>
    </w:p>
    <w:p>
      <w:pPr>
        <w:ind w:left="500" w:right="100" w:firstLine="819"/>
        <w:spacing w:after="0" w:line="271" w:lineRule="auto"/>
        <w:rPr>
          <w:sz w:val="20"/>
          <w:szCs w:val="20"/>
          <w:color w:val="auto"/>
        </w:rPr>
      </w:pPr>
      <w:r>
        <w:rPr>
          <w:rFonts w:ascii="Arial" w:cs="Arial" w:eastAsia="Arial" w:hAnsi="Arial"/>
          <w:sz w:val="16"/>
          <w:szCs w:val="16"/>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166" w:lineRule="exact"/>
        <w:rPr>
          <w:sz w:val="20"/>
          <w:szCs w:val="20"/>
          <w:color w:val="auto"/>
        </w:rPr>
      </w:pPr>
    </w:p>
    <w:p>
      <w:pPr>
        <w:ind w:left="500" w:right="80" w:firstLine="819"/>
        <w:spacing w:after="0" w:line="298" w:lineRule="auto"/>
        <w:rPr>
          <w:sz w:val="20"/>
          <w:szCs w:val="20"/>
          <w:color w:val="auto"/>
        </w:rPr>
      </w:pPr>
      <w:r>
        <w:rPr>
          <w:rFonts w:ascii="Arial" w:cs="Arial" w:eastAsia="Arial" w:hAnsi="Arial"/>
          <w:sz w:val="15"/>
          <w:szCs w:val="15"/>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and our employees are increasingly utilizing social media tools as a means of communication both internally and externally.</w:t>
      </w:r>
    </w:p>
    <w:p>
      <w:pPr>
        <w:spacing w:after="0" w:line="218" w:lineRule="exact"/>
        <w:rPr>
          <w:sz w:val="20"/>
          <w:szCs w:val="20"/>
          <w:color w:val="auto"/>
        </w:rPr>
      </w:pPr>
    </w:p>
    <w:p>
      <w:pPr>
        <w:ind w:left="500" w:right="140" w:firstLine="819"/>
        <w:spacing w:after="0" w:line="290" w:lineRule="auto"/>
        <w:rPr>
          <w:sz w:val="20"/>
          <w:szCs w:val="20"/>
          <w:color w:val="auto"/>
        </w:rPr>
      </w:pPr>
      <w:r>
        <w:rPr>
          <w:rFonts w:ascii="Arial" w:cs="Arial" w:eastAsia="Arial" w:hAnsi="Arial"/>
          <w:sz w:val="15"/>
          <w:szCs w:val="15"/>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our policies and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740"/>
          </w:cols>
          <w:pgMar w:left="320" w:top="437" w:right="8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380"/>
        <w:spacing w:after="0" w:line="268" w:lineRule="auto"/>
        <w:rPr>
          <w:sz w:val="20"/>
          <w:szCs w:val="20"/>
          <w:color w:val="auto"/>
        </w:rPr>
      </w:pPr>
      <w:r>
        <w:rPr>
          <w:rFonts w:ascii="Arial" w:cs="Arial" w:eastAsia="Arial" w:hAnsi="Arial"/>
          <w:sz w:val="17"/>
          <w:szCs w:val="17"/>
          <w:color w:val="auto"/>
        </w:rPr>
        <w:t>could have a material adverse effect on our business, prospects, operating results and financial condition and could adversely affect the price of our common stock.</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Risks Related to Commercialization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Developments by competitors may render our products or technologies obsolete or non-competitive or may reduce the size of our markets.</w:t>
      </w:r>
    </w:p>
    <w:p>
      <w:pPr>
        <w:spacing w:after="0" w:line="229" w:lineRule="exact"/>
        <w:rPr>
          <w:sz w:val="20"/>
          <w:szCs w:val="20"/>
          <w:color w:val="auto"/>
        </w:rPr>
      </w:pPr>
    </w:p>
    <w:p>
      <w:pPr>
        <w:ind w:left="500" w:firstLine="819"/>
        <w:spacing w:after="0" w:line="284" w:lineRule="auto"/>
        <w:rPr>
          <w:sz w:val="20"/>
          <w:szCs w:val="20"/>
          <w:color w:val="auto"/>
        </w:rPr>
      </w:pPr>
      <w:r>
        <w:rPr>
          <w:rFonts w:ascii="Arial" w:cs="Arial" w:eastAsia="Arial" w:hAnsi="Arial"/>
          <w:sz w:val="15"/>
          <w:szCs w:val="15"/>
          <w:color w:val="auto"/>
        </w:rPr>
        <w:t>Our industry has been characterized by extensive research and development efforts, rapid developments in technologies, intense competition and a strong emphasis on proprietary products. We face potential competition from many different sources, including pharmaceutical, biotechnology and specialty pharmaceutical companies either marketing or developing therapeutics to treat CRS. Academic research institutions, governmental agencies, as well as public and private institutions are also potential sources of competitive products and technologies. Our competitors may have or may develop superior technologies or approaches, which may provide them with competitive advantages. Our potential products may not compete successfully. If these competitors access the marketplace before we do with better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w:t>
      </w:r>
    </w:p>
    <w:p>
      <w:pPr>
        <w:spacing w:after="0" w:line="162" w:lineRule="exact"/>
        <w:rPr>
          <w:sz w:val="20"/>
          <w:szCs w:val="20"/>
          <w:color w:val="auto"/>
        </w:rPr>
      </w:pPr>
    </w:p>
    <w:p>
      <w:pPr>
        <w:ind w:left="500" w:right="80" w:firstLine="819"/>
        <w:spacing w:after="0" w:line="251" w:lineRule="auto"/>
        <w:rPr>
          <w:sz w:val="20"/>
          <w:szCs w:val="20"/>
          <w:color w:val="auto"/>
        </w:rPr>
      </w:pPr>
      <w:r>
        <w:rPr>
          <w:rFonts w:ascii="Arial" w:cs="Arial" w:eastAsia="Arial" w:hAnsi="Arial"/>
          <w:sz w:val="17"/>
          <w:szCs w:val="17"/>
          <w:color w:val="auto"/>
        </w:rPr>
        <w:t>Our product candidates are intended to compete directly or indirectly with existing products and treatments. Even if approved and commercialized, our product candidates may fail to achieve market acceptance with hospitals, physicians or patients. Hospitals, physicians or patients may conclude that our potential products are less safe or effective or otherwise less attractive than these existing drugs. If our product candidates do not receive market acceptance for any reason, our revenue potential would be diminished, which would materially adversely affect our ability to become profitable.</w:t>
      </w:r>
    </w:p>
    <w:p>
      <w:pPr>
        <w:spacing w:after="0" w:line="183"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Significant competition exists in the treatment of CRS. We will need to compete with all currently available or future therapies within the indications where our development is focused. LYR-210, if approved and commercialized, will face significant competition. The main classes of marketed products that are available for the treatment of CRS include nasal saline irrigation, intranasal corticosteroidal sprays and antibiotics, as well as surgical intervention. In addition, one company is currently marketing, and several companies are also currently developing, biologic monoclonal antibodies, or mAbs, for the treatment of nasal polyps. If these biologic mAbs are successfully developed and approved for marketing, they could represent competition for LYR-220 for the segment of patients that have polyps. Finally, one company is developing an oral DP-2 antagonist currently in Phase 2 clinical trials for CRS patients that could represent competition across the spectrum of CRS patients.</w:t>
      </w:r>
    </w:p>
    <w:p>
      <w:pPr>
        <w:spacing w:after="0" w:line="169" w:lineRule="exact"/>
        <w:rPr>
          <w:sz w:val="20"/>
          <w:szCs w:val="20"/>
          <w:color w:val="auto"/>
        </w:rPr>
      </w:pPr>
    </w:p>
    <w:p>
      <w:pPr>
        <w:jc w:val="both"/>
        <w:ind w:left="500" w:right="120" w:firstLine="819"/>
        <w:spacing w:after="0" w:line="257" w:lineRule="auto"/>
        <w:rPr>
          <w:sz w:val="20"/>
          <w:szCs w:val="20"/>
          <w:color w:val="auto"/>
        </w:rPr>
      </w:pPr>
      <w:r>
        <w:rPr>
          <w:rFonts w:ascii="Arial" w:cs="Arial" w:eastAsia="Arial" w:hAnsi="Arial"/>
          <w:sz w:val="17"/>
          <w:szCs w:val="17"/>
          <w:color w:val="auto"/>
        </w:rPr>
        <w:t>There are a number of companies developing or marketing therapies for the treatment and management of CRS that may compete with our current product candidates, including many major pharmaceutical and biotechnology companies. These companies include, among others: Hoffman-La Roche, GlaxoSmithKline, Gossamer Bio, AnaptysBio, Regeneron, OptiNose and Intersect ENT.</w:t>
      </w:r>
    </w:p>
    <w:p>
      <w:pPr>
        <w:spacing w:after="0" w:line="175" w:lineRule="exact"/>
        <w:rPr>
          <w:sz w:val="20"/>
          <w:szCs w:val="20"/>
          <w:color w:val="auto"/>
        </w:rPr>
      </w:pPr>
    </w:p>
    <w:p>
      <w:pPr>
        <w:ind w:left="500" w:right="440" w:firstLine="819"/>
        <w:spacing w:after="0" w:line="298" w:lineRule="auto"/>
        <w:rPr>
          <w:sz w:val="20"/>
          <w:szCs w:val="20"/>
          <w:color w:val="auto"/>
        </w:rPr>
      </w:pPr>
      <w:r>
        <w:rPr>
          <w:rFonts w:ascii="Arial" w:cs="Arial" w:eastAsia="Arial" w:hAnsi="Arial"/>
          <w:sz w:val="15"/>
          <w:szCs w:val="15"/>
          <w:color w:val="auto"/>
        </w:rPr>
        <w:t>Most of our competitors, including many of those listed above,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patent protection earlier than we can. Smaller or early-stage companies may also prove to</w:t>
      </w:r>
    </w:p>
    <w:p>
      <w:pPr>
        <w:spacing w:after="0" w:line="8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740"/>
          </w:cols>
          <w:pgMar w:left="320" w:top="437" w:right="8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spacing w:after="0" w:line="250" w:lineRule="auto"/>
        <w:rPr>
          <w:sz w:val="20"/>
          <w:szCs w:val="20"/>
          <w:color w:val="auto"/>
        </w:rPr>
      </w:pPr>
      <w:r>
        <w:rPr>
          <w:rFonts w:ascii="Arial" w:cs="Arial" w:eastAsia="Arial" w:hAnsi="Arial"/>
          <w:sz w:val="17"/>
          <w:szCs w:val="17"/>
          <w:color w:val="auto"/>
        </w:rPr>
        <w:t>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w:t>
      </w:r>
    </w:p>
    <w:p>
      <w:pPr>
        <w:spacing w:after="0" w:line="184" w:lineRule="exact"/>
        <w:rPr>
          <w:sz w:val="20"/>
          <w:szCs w:val="20"/>
          <w:color w:val="auto"/>
        </w:rPr>
      </w:pPr>
    </w:p>
    <w:p>
      <w:pPr>
        <w:jc w:val="both"/>
        <w:ind w:left="500" w:right="20"/>
        <w:spacing w:after="0" w:line="338" w:lineRule="auto"/>
        <w:rPr>
          <w:sz w:val="20"/>
          <w:szCs w:val="20"/>
          <w:color w:val="auto"/>
        </w:rPr>
      </w:pPr>
      <w:r>
        <w:rPr>
          <w:rFonts w:ascii="Arial" w:cs="Arial" w:eastAsia="Arial" w:hAnsi="Arial"/>
          <w:sz w:val="14"/>
          <w:szCs w:val="14"/>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123" w:lineRule="exact"/>
        <w:rPr>
          <w:sz w:val="20"/>
          <w:szCs w:val="20"/>
          <w:color w:val="auto"/>
        </w:rPr>
      </w:pPr>
    </w:p>
    <w:p>
      <w:pPr>
        <w:ind w:left="500" w:firstLine="819"/>
        <w:spacing w:after="0" w:line="282" w:lineRule="auto"/>
        <w:rPr>
          <w:sz w:val="20"/>
          <w:szCs w:val="20"/>
          <w:color w:val="auto"/>
        </w:rPr>
      </w:pPr>
      <w:r>
        <w:rPr>
          <w:rFonts w:ascii="Arial" w:cs="Arial" w:eastAsia="Arial" w:hAnsi="Arial"/>
          <w:sz w:val="15"/>
          <w:szCs w:val="15"/>
          <w:color w:val="auto"/>
        </w:rPr>
        <w:t>The availability of coverage and adequacy of reimbursement by governmental healthcare programs such as Medicare and Medicaid, private health insurers and other third-party payors are essential for most patients to be able to afford medical services and pharmaceutical products such as our product candidates, assuming FDA approval. Our ability to achieve acceptable levels of coverage and reimbursement for our products or procedures using our products by governmental authorities, private health insurers and other organizations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Patients are unlikely to use our product candidates unless coverage is provided and reimbursement is adequate to cover a significant portion of the cost of our product candidates. Similarly, our product candidates are physician-administered treatments and as such, separate reimbursement for the product itself may or may not be available. Instead, the hospital or administering physician may be reimbursed only for providing the treatment or procedure in which our product is used. To the extent separate coverage and reimbursement should become available for LYR-210, we anticipate that it will be sold to physicians on a “buy and bill” basis. Buy and bill products must be purchased by healthcare providers before they can be administered to patients. Healthcare providers subsequently must seek reimbursement for the product from the applicable third-party payor, such as Medicare or a health insurance company. Healthcare providers may be reluctant to administer our product candidates, if approved, because they would have to fund the purchase of the product and then seek reimbursement, which may be lower than their purchase price, or because they do not want the additional administrative burden required to obtain reimbursement for the product.</w:t>
      </w:r>
    </w:p>
    <w:p>
      <w:pPr>
        <w:spacing w:after="0" w:line="168" w:lineRule="exact"/>
        <w:rPr>
          <w:sz w:val="20"/>
          <w:szCs w:val="20"/>
          <w:color w:val="auto"/>
        </w:rPr>
      </w:pPr>
    </w:p>
    <w:p>
      <w:pPr>
        <w:ind w:left="500" w:right="60" w:firstLine="819"/>
        <w:spacing w:after="0" w:line="266" w:lineRule="auto"/>
        <w:rPr>
          <w:sz w:val="20"/>
          <w:szCs w:val="20"/>
          <w:color w:val="auto"/>
        </w:rPr>
      </w:pPr>
      <w:r>
        <w:rPr>
          <w:rFonts w:ascii="Arial" w:cs="Arial" w:eastAsia="Arial" w:hAnsi="Arial"/>
          <w:sz w:val="16"/>
          <w:szCs w:val="16"/>
          <w:color w:val="auto"/>
        </w:rPr>
        <w:t>Further, the status of reimbursement codes for any of our product candidates, if approved, could also affect reimbursement. J-Codes and Q-Codes are reimbursement codes maintained by the Centers for Medicare and Medicaid Services, or CMS, that are a component of the Healthcare Common Procedure Coding System and are typically used to report injectable drugs that ordinarily cannot be self-administered. We currently do not have a specific J-Code or Q-Code for any of our product candidates. If our product candidates are approved, we may apply for one but cannot guarantee that a J-Code or Q-Code will be granted. To the extent separate coverage or reimbursement is available for any product candidate, if approved, and a specific J-Code or Q-Code is not available, physicians would need to use a non-specific miscellaneous J-Code to bill third-party payors for these physician-administered drugs. Because miscellaneous J-Codes may be used for a wide variety of products, health plans may have more difficulty determining the actual product used and billed for the patient. These claims must often be submitted with additional information and manually processed, which can delay claims processing times as well as increase the likelihood for claim denials and claim errors. We cannot be sure that coverage and</w:t>
      </w:r>
    </w:p>
    <w:p>
      <w:pPr>
        <w:spacing w:after="0" w:line="10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740"/>
          </w:cols>
          <w:pgMar w:left="320" w:top="437" w:right="8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0"/>
        <w:spacing w:after="0" w:line="299" w:lineRule="auto"/>
        <w:rPr>
          <w:sz w:val="20"/>
          <w:szCs w:val="20"/>
          <w:color w:val="auto"/>
        </w:rPr>
      </w:pPr>
      <w:r>
        <w:rPr>
          <w:rFonts w:ascii="Arial" w:cs="Arial" w:eastAsia="Arial" w:hAnsi="Arial"/>
          <w:sz w:val="16"/>
          <w:szCs w:val="16"/>
          <w:color w:val="auto"/>
        </w:rPr>
        <w:t>reimbursement in the United States, the EU or elsewhere will be available for our product candidates or any product that we may develop, and any reimbursement that may become available may not be adequate or may be decreased or eliminated in the future.</w:t>
      </w:r>
    </w:p>
    <w:p>
      <w:pPr>
        <w:spacing w:after="0" w:line="144" w:lineRule="exact"/>
        <w:rPr>
          <w:sz w:val="20"/>
          <w:szCs w:val="20"/>
          <w:color w:val="auto"/>
        </w:rPr>
      </w:pPr>
    </w:p>
    <w:p>
      <w:pPr>
        <w:ind w:left="500" w:firstLine="819"/>
        <w:spacing w:after="0" w:line="287" w:lineRule="auto"/>
        <w:rPr>
          <w:sz w:val="20"/>
          <w:szCs w:val="20"/>
          <w:color w:val="auto"/>
        </w:rPr>
      </w:pPr>
      <w:r>
        <w:rPr>
          <w:rFonts w:ascii="Arial" w:cs="Arial" w:eastAsia="Arial" w:hAnsi="Arial"/>
          <w:sz w:val="15"/>
          <w:szCs w:val="15"/>
          <w:color w:val="auto"/>
        </w:rPr>
        <w:t>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57" w:lineRule="exact"/>
        <w:rPr>
          <w:sz w:val="20"/>
          <w:szCs w:val="20"/>
          <w:color w:val="auto"/>
        </w:rPr>
      </w:pPr>
    </w:p>
    <w:p>
      <w:pPr>
        <w:ind w:left="500" w:right="40" w:firstLine="819"/>
        <w:spacing w:after="0" w:line="290" w:lineRule="auto"/>
        <w:rPr>
          <w:sz w:val="20"/>
          <w:szCs w:val="20"/>
          <w:color w:val="auto"/>
        </w:rPr>
      </w:pPr>
      <w:r>
        <w:rPr>
          <w:rFonts w:ascii="Arial" w:cs="Arial" w:eastAsia="Arial" w:hAnsi="Arial"/>
          <w:sz w:val="15"/>
          <w:szCs w:val="15"/>
          <w:color w:val="auto"/>
        </w:rPr>
        <w:t>There is significant uncertainty related to the insurance coverage and reimbursement of newly-approved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drug therapies before they will reimburse healthcare providers who use such therapies. We cannot predict at this time what third-party payors will decide with respect to the coverage and reimbursement for our product candidates.</w:t>
      </w:r>
    </w:p>
    <w:p>
      <w:pPr>
        <w:spacing w:after="0" w:line="155" w:lineRule="exact"/>
        <w:rPr>
          <w:sz w:val="20"/>
          <w:szCs w:val="20"/>
          <w:color w:val="auto"/>
        </w:rPr>
      </w:pPr>
    </w:p>
    <w:p>
      <w:pPr>
        <w:ind w:left="500" w:right="100" w:firstLine="819"/>
        <w:spacing w:after="0" w:line="293" w:lineRule="auto"/>
        <w:rPr>
          <w:sz w:val="20"/>
          <w:szCs w:val="20"/>
          <w:color w:val="auto"/>
        </w:rPr>
      </w:pPr>
      <w:r>
        <w:rPr>
          <w:rFonts w:ascii="Arial" w:cs="Arial" w:eastAsia="Arial" w:hAnsi="Arial"/>
          <w:sz w:val="15"/>
          <w:szCs w:val="15"/>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52" w:lineRule="exact"/>
        <w:rPr>
          <w:sz w:val="20"/>
          <w:szCs w:val="20"/>
          <w:color w:val="auto"/>
        </w:rPr>
      </w:pPr>
    </w:p>
    <w:p>
      <w:pPr>
        <w:ind w:left="500" w:right="40" w:firstLine="819"/>
        <w:spacing w:after="0" w:line="26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commercially-reasonable revenue and profits.</w:t>
      </w:r>
    </w:p>
    <w:p>
      <w:pPr>
        <w:spacing w:after="0" w:line="169" w:lineRule="exact"/>
        <w:rPr>
          <w:sz w:val="20"/>
          <w:szCs w:val="20"/>
          <w:color w:val="auto"/>
        </w:rPr>
      </w:pPr>
    </w:p>
    <w:p>
      <w:pPr>
        <w:ind w:left="500" w:right="120" w:firstLine="819"/>
        <w:spacing w:after="0" w:line="290" w:lineRule="auto"/>
        <w:rPr>
          <w:sz w:val="20"/>
          <w:szCs w:val="20"/>
          <w:color w:val="auto"/>
        </w:rPr>
      </w:pPr>
      <w:r>
        <w:rPr>
          <w:rFonts w:ascii="Arial" w:cs="Arial" w:eastAsia="Arial" w:hAnsi="Arial"/>
          <w:sz w:val="15"/>
          <w:szCs w:val="15"/>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9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720"/>
          </w:cols>
          <w:pgMar w:left="320" w:top="437" w:right="8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780"/>
        <w:spacing w:after="0" w:line="268" w:lineRule="auto"/>
        <w:rPr>
          <w:sz w:val="20"/>
          <w:szCs w:val="20"/>
          <w:color w:val="auto"/>
        </w:rPr>
      </w:pPr>
      <w:r>
        <w:rPr>
          <w:rFonts w:ascii="Arial" w:cs="Arial" w:eastAsia="Arial" w:hAnsi="Arial"/>
          <w:sz w:val="17"/>
          <w:szCs w:val="17"/>
          <w:b w:val="1"/>
          <w:bCs w:val="1"/>
          <w:i w:val="1"/>
          <w:iCs w:val="1"/>
          <w:color w:val="auto"/>
        </w:rPr>
        <w:t>Our clinical studies were designed to demonstrate the safety and efficacy of LYR-210 based on FDA requirements and may not be seen as compelling to physicians or patients.</w:t>
      </w:r>
    </w:p>
    <w:p>
      <w:pPr>
        <w:spacing w:after="0" w:line="166"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Our success depends on the medical community’s acceptance of LYR-210, if approved, as a treatment for CRS patients. LYR-210 was previously studied in an open-label, Phase 1 clinical trial with 20 patients in New Zealand and Australia, which achieved its primary endpoint of safety at week 4. In the Phase 1 trial, we also observed that patients generally experienced significant and rapid, clinically meaningful and durable improvement in SNOT-22 scores. Significant reduction in SNOT-22 scores was observed at week 1, and this reduction persisted through week 25, which was the end of the trial. While the results of this early clinical trial suggest a favorable safety and efficacy profile, the study design and results, and the design and results of future clinical trials we conduct, may not be viewed as compelling to our physician customers or patients. If physicians do not find our data compelling, even if LYR-210 receives marketing approval they may choose not to use our products or limit their use. We cannot assure you that any data that we or others generate will be consistent with that observed in the Phase 1 clinical trial of LYR-210, nor that results will be maintained beyond the time points studied. We also cannot assure you that any data that may be collected will be compelling to the medical community because the data may not be clinically meaningful and may not demonstrate that LYR-210 is an attractive procedure when compared against data from alternative treatments.</w:t>
      </w:r>
    </w:p>
    <w:p>
      <w:pPr>
        <w:spacing w:after="0" w:line="175" w:lineRule="exact"/>
        <w:rPr>
          <w:sz w:val="20"/>
          <w:szCs w:val="20"/>
          <w:color w:val="auto"/>
        </w:rPr>
      </w:pPr>
    </w:p>
    <w:p>
      <w:pPr>
        <w:ind w:left="500" w:right="60"/>
        <w:spacing w:after="0" w:line="268" w:lineRule="auto"/>
        <w:rPr>
          <w:sz w:val="20"/>
          <w:szCs w:val="20"/>
          <w:color w:val="auto"/>
        </w:rPr>
      </w:pPr>
      <w:r>
        <w:rPr>
          <w:rFonts w:ascii="Arial" w:cs="Arial" w:eastAsia="Arial" w:hAnsi="Arial"/>
          <w:sz w:val="17"/>
          <w:szCs w:val="17"/>
          <w:b w:val="1"/>
          <w:bCs w:val="1"/>
          <w:i w:val="1"/>
          <w:iCs w:val="1"/>
          <w:color w:val="auto"/>
        </w:rPr>
        <w:t>Even if either LYR-210 or LYR-220 receives marketing approval, it may fail to achieve market acceptance by physicians, patients, third-party payors or others in the medical community necessary for commercial success.</w:t>
      </w:r>
    </w:p>
    <w:p>
      <w:pPr>
        <w:spacing w:after="0" w:line="166" w:lineRule="exact"/>
        <w:rPr>
          <w:sz w:val="20"/>
          <w:szCs w:val="20"/>
          <w:color w:val="auto"/>
        </w:rPr>
      </w:pPr>
    </w:p>
    <w:p>
      <w:pPr>
        <w:ind w:left="500" w:right="40" w:firstLine="819"/>
        <w:spacing w:after="0" w:line="253" w:lineRule="auto"/>
        <w:rPr>
          <w:sz w:val="20"/>
          <w:szCs w:val="20"/>
          <w:color w:val="auto"/>
        </w:rPr>
      </w:pPr>
      <w:r>
        <w:rPr>
          <w:rFonts w:ascii="Arial" w:cs="Arial" w:eastAsia="Arial" w:hAnsi="Arial"/>
          <w:sz w:val="17"/>
          <w:szCs w:val="17"/>
          <w:color w:val="auto"/>
        </w:rPr>
        <w:t>If either LYR-210 or LYR-220 receives marketing approval, it may nonetheless fail to gain sufficient market acceptance by physicians, patients, third-party payors and others in the medical community. If it does not achieve an adequate level of acceptance, we may not generate significant product revenues or become profitable. The degree of market acceptance of LYR-210 or LYR-220, if approved for commercial sale, will depend on a number of factors, including but not limited to:</w:t>
      </w:r>
    </w:p>
    <w:p>
      <w:pPr>
        <w:spacing w:after="0" w:line="205" w:lineRule="exact"/>
        <w:rPr>
          <w:sz w:val="20"/>
          <w:szCs w:val="20"/>
          <w:color w:val="auto"/>
        </w:rPr>
      </w:pPr>
    </w:p>
    <w:p>
      <w:pPr>
        <w:ind w:left="1720" w:hanging="301"/>
        <w:spacing w:after="0"/>
        <w:tabs>
          <w:tab w:leader="none" w:pos="1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perceptions by members of the healthcare community, including physicians, about the safety and effectiveness of our platform;</w:t>
      </w:r>
    </w:p>
    <w:p>
      <w:pPr>
        <w:spacing w:after="0" w:line="242" w:lineRule="exact"/>
        <w:rPr>
          <w:rFonts w:ascii="Arial" w:cs="Arial" w:eastAsia="Arial" w:hAnsi="Arial"/>
          <w:sz w:val="16"/>
          <w:szCs w:val="16"/>
          <w:color w:val="auto"/>
        </w:rPr>
      </w:pPr>
    </w:p>
    <w:p>
      <w:pPr>
        <w:ind w:left="1720" w:right="120" w:hanging="301"/>
        <w:spacing w:after="0" w:line="268" w:lineRule="auto"/>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perception by members of the healthcare community, including physicians, or patients that the process of administering LYR-210 or LYR-220, is not unduly cumbersome;</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potential advantages compared to alternative treatments;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effectiveness of sales and marketing efforts;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offer our products for sale at competitive prices;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timing of market introduction of competitive products;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740"/>
          </w:cols>
          <w:pgMar w:left="320" w:top="437" w:right="8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380" w:hanging="301"/>
        <w:spacing w:after="0" w:line="268" w:lineRule="auto"/>
        <w:tabs>
          <w:tab w:leader="none" w:pos="1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the EMA or other regulatory authorities, including any limitations or warnings contained in a product’s approved labeling;</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prevalence and severity of any side effects;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restrictions on the use of our product together with other medications.</w:t>
      </w:r>
    </w:p>
    <w:p>
      <w:pPr>
        <w:spacing w:after="0" w:line="206" w:lineRule="exact"/>
        <w:rPr>
          <w:sz w:val="20"/>
          <w:szCs w:val="20"/>
          <w:color w:val="auto"/>
        </w:rPr>
      </w:pPr>
    </w:p>
    <w:p>
      <w:pPr>
        <w:ind w:left="500" w:right="160" w:firstLine="819"/>
        <w:spacing w:after="0" w:line="293" w:lineRule="auto"/>
        <w:rPr>
          <w:sz w:val="20"/>
          <w:szCs w:val="20"/>
          <w:color w:val="auto"/>
        </w:rPr>
      </w:pPr>
      <w:r>
        <w:rPr>
          <w:rFonts w:ascii="Arial" w:cs="Arial" w:eastAsia="Arial" w:hAnsi="Arial"/>
          <w:sz w:val="15"/>
          <w:szCs w:val="15"/>
          <w:color w:val="auto"/>
        </w:rPr>
        <w:t>If our product candidates are approved, but do not achieve an adequate level of acceptance by physicians, healthcare payors, and patients, we may not generate sufficient revenue from these products, and we may not be able to achieve or sustain profitability. Our efforts to educate the medical community and third-party payors on the benefits of our product candidates may require significant resources and may never be successful. In addition, our ability to successfully commercialize our product candidates will depend on our ability to manufacture our products through third-party manufacturers, differentiate our products from competing products and defend the intellectual property of our products.</w:t>
      </w:r>
    </w:p>
    <w:p>
      <w:pPr>
        <w:spacing w:after="0" w:line="152" w:lineRule="exact"/>
        <w:rPr>
          <w:sz w:val="20"/>
          <w:szCs w:val="20"/>
          <w:color w:val="auto"/>
        </w:rPr>
      </w:pPr>
    </w:p>
    <w:p>
      <w:pPr>
        <w:ind w:left="500" w:firstLine="819"/>
        <w:spacing w:after="0" w:line="268" w:lineRule="auto"/>
        <w:rPr>
          <w:sz w:val="20"/>
          <w:szCs w:val="20"/>
          <w:color w:val="auto"/>
        </w:rPr>
      </w:pPr>
      <w:r>
        <w:rPr>
          <w:rFonts w:ascii="Arial" w:cs="Arial" w:eastAsia="Arial" w:hAnsi="Arial"/>
          <w:sz w:val="17"/>
          <w:szCs w:val="17"/>
          <w:color w:val="auto"/>
        </w:rPr>
        <w:t>Because we expect sales of LYR-210, if approved, to generate substantially all of our product revenues for a substantial period, the failure of this product to find market acceptance would harm our business and could require us to seek additional financing.</w:t>
      </w:r>
    </w:p>
    <w:p>
      <w:pPr>
        <w:spacing w:after="0" w:line="166" w:lineRule="exact"/>
        <w:rPr>
          <w:sz w:val="20"/>
          <w:szCs w:val="20"/>
          <w:color w:val="auto"/>
        </w:rPr>
      </w:pPr>
    </w:p>
    <w:p>
      <w:pPr>
        <w:ind w:left="500" w:right="20"/>
        <w:spacing w:after="0" w:line="268" w:lineRule="auto"/>
        <w:rPr>
          <w:sz w:val="20"/>
          <w:szCs w:val="20"/>
          <w:color w:val="auto"/>
        </w:rPr>
      </w:pPr>
      <w:r>
        <w:rPr>
          <w:rFonts w:ascii="Arial" w:cs="Arial" w:eastAsia="Arial" w:hAnsi="Arial"/>
          <w:sz w:val="17"/>
          <w:szCs w:val="17"/>
          <w:b w:val="1"/>
          <w:bCs w:val="1"/>
          <w:i w:val="1"/>
          <w:iCs w:val="1"/>
          <w:color w:val="auto"/>
        </w:rPr>
        <w:t>If physicians or patients are not willing to change current practices and adopt our office-based administration procedure for LYR-210 and LYR-220, our products may fail to gain market acceptance, and our business will be harmed.</w:t>
      </w:r>
    </w:p>
    <w:p>
      <w:pPr>
        <w:spacing w:after="0" w:line="166"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Our initial product candidates, LYR-210 and LYR-220, are bioresorbable polymeric matrices designed to be administered in a brief, non-invasive, in-office procedure by an ENT physician under endoscopic visualization via a single-use applicator. While we believe ENT physicians will be able to administer our product candidates, if successfully developed and approved, in conjunction with an endoscopy procedure, thereby making the placement aligned with the existing care continuum for CRS patients and eliminating the need for ENT physicians to schedule separate surgical time, ENT physicians may not adopt our in-office procedure for a number of reasons, including:</w:t>
      </w:r>
    </w:p>
    <w:p>
      <w:pPr>
        <w:spacing w:after="0" w:line="191" w:lineRule="exact"/>
        <w:rPr>
          <w:sz w:val="20"/>
          <w:szCs w:val="20"/>
          <w:color w:val="auto"/>
        </w:rPr>
      </w:pPr>
    </w:p>
    <w:p>
      <w:pPr>
        <w:ind w:left="1720" w:hanging="301"/>
        <w:spacing w:after="0"/>
        <w:tabs>
          <w:tab w:leader="none" w:pos="1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lack of significant experience with the placement procedure via a single-use applicator;</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lack of availability of adequate insurance coverage or reimbursement for the placement procedure;</w:t>
      </w:r>
    </w:p>
    <w:p>
      <w:pPr>
        <w:spacing w:after="0" w:line="231" w:lineRule="exact"/>
        <w:rPr>
          <w:rFonts w:ascii="Arial" w:cs="Arial" w:eastAsia="Arial" w:hAnsi="Arial"/>
          <w:sz w:val="17"/>
          <w:szCs w:val="17"/>
          <w:color w:val="auto"/>
        </w:rPr>
      </w:pPr>
    </w:p>
    <w:p>
      <w:pPr>
        <w:ind w:left="1720" w:right="80" w:hanging="301"/>
        <w:spacing w:after="0" w:line="268" w:lineRule="auto"/>
        <w:tabs>
          <w:tab w:leader="none" w:pos="1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perceived inadequacy of evidence supporting clinical benefits or cost-effectiveness of the placement procedure and/or our products in general over existing alternatives;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perception that patients may be unable to tolerate the placement procedure in the physician office setting;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liability risks generally associated with the use of new products and procedures.</w:t>
      </w:r>
    </w:p>
    <w:p>
      <w:pPr>
        <w:spacing w:after="0" w:line="206" w:lineRule="exact"/>
        <w:rPr>
          <w:sz w:val="20"/>
          <w:szCs w:val="20"/>
          <w:color w:val="auto"/>
        </w:rPr>
      </w:pPr>
    </w:p>
    <w:p>
      <w:pPr>
        <w:ind w:left="500" w:firstLine="819"/>
        <w:spacing w:after="0" w:line="268" w:lineRule="auto"/>
        <w:rPr>
          <w:sz w:val="20"/>
          <w:szCs w:val="20"/>
          <w:color w:val="auto"/>
        </w:rPr>
      </w:pPr>
      <w:r>
        <w:rPr>
          <w:rFonts w:ascii="Arial" w:cs="Arial" w:eastAsia="Arial" w:hAnsi="Arial"/>
          <w:sz w:val="17"/>
          <w:szCs w:val="17"/>
          <w:color w:val="auto"/>
        </w:rPr>
        <w:t>If ENT physicians do not adopt the placement procedure for any reason, including those listed above, our ability to grow our business would be impaired, even if LYR-210 and LYR-220 receive marketing approval.</w:t>
      </w:r>
    </w:p>
    <w:p>
      <w:pPr>
        <w:spacing w:after="0" w:line="166" w:lineRule="exact"/>
        <w:rPr>
          <w:sz w:val="20"/>
          <w:szCs w:val="20"/>
          <w:color w:val="auto"/>
        </w:rPr>
      </w:pPr>
    </w:p>
    <w:p>
      <w:pPr>
        <w:ind w:left="500" w:right="220" w:firstLine="819"/>
        <w:spacing w:after="0" w:line="335" w:lineRule="auto"/>
        <w:rPr>
          <w:sz w:val="20"/>
          <w:szCs w:val="20"/>
          <w:color w:val="auto"/>
        </w:rPr>
      </w:pPr>
      <w:r>
        <w:rPr>
          <w:rFonts w:ascii="Arial" w:cs="Arial" w:eastAsia="Arial" w:hAnsi="Arial"/>
          <w:sz w:val="15"/>
          <w:szCs w:val="15"/>
          <w:color w:val="auto"/>
        </w:rPr>
        <w:t>We believe recommendations and support of our products by notable ENT physicians could influence market acceptance and adoption. If we do not receive support from influential ENT physicians, our ability to achieve broad market acceptance for our products may be impaired.</w:t>
      </w:r>
    </w:p>
    <w:p>
      <w:pPr>
        <w:spacing w:after="0" w:line="121" w:lineRule="exact"/>
        <w:rPr>
          <w:sz w:val="20"/>
          <w:szCs w:val="20"/>
          <w:color w:val="auto"/>
        </w:rPr>
      </w:pPr>
    </w:p>
    <w:p>
      <w:pPr>
        <w:ind w:left="500" w:right="60" w:firstLine="819"/>
        <w:spacing w:after="0" w:line="257" w:lineRule="auto"/>
        <w:rPr>
          <w:sz w:val="20"/>
          <w:szCs w:val="20"/>
          <w:color w:val="auto"/>
        </w:rPr>
      </w:pPr>
      <w:r>
        <w:rPr>
          <w:rFonts w:ascii="Arial" w:cs="Arial" w:eastAsia="Arial" w:hAnsi="Arial"/>
          <w:sz w:val="17"/>
          <w:szCs w:val="17"/>
          <w:color w:val="auto"/>
        </w:rPr>
        <w:t>In addition, if patient receptivity toward treatment in an ENT physician office setting becomes less favorable in the future, this shift could negatively impact market acceptance of our products. Any negative change due to patient receptivity could also be compounded by patients reporting to physicians or other patients through word-of-mouth or social media.</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740"/>
          </w:cols>
          <w:pgMar w:left="320" w:top="437" w:right="8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20" w:firstLine="819"/>
        <w:spacing w:after="0" w:line="253" w:lineRule="auto"/>
        <w:rPr>
          <w:sz w:val="20"/>
          <w:szCs w:val="20"/>
          <w:color w:val="auto"/>
        </w:rPr>
      </w:pPr>
      <w:r>
        <w:rPr>
          <w:rFonts w:ascii="Arial" w:cs="Arial" w:eastAsia="Arial" w:hAnsi="Arial"/>
          <w:sz w:val="17"/>
          <w:szCs w:val="17"/>
          <w:color w:val="auto"/>
        </w:rPr>
        <w:t>Additionally, while it is currently more cost-effective to the healthcare system for providers to perform the placement procedure in an ENT physician’s office than a FESS procedure in an operating room, healthcare economics are subject to change. If the use of our products were to cease being more cost-effective than FESS due to changes in reimbursement economics, our products may fail to gain market acceptance, our future growth would be limited and our business may be adversely affected.</w:t>
      </w:r>
    </w:p>
    <w:p>
      <w:pPr>
        <w:spacing w:after="0" w:line="180" w:lineRule="exact"/>
        <w:rPr>
          <w:sz w:val="20"/>
          <w:szCs w:val="20"/>
          <w:color w:val="auto"/>
        </w:rPr>
      </w:pPr>
    </w:p>
    <w:p>
      <w:pPr>
        <w:ind w:left="500" w:right="260"/>
        <w:spacing w:after="0" w:line="299"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either on our own or in collaboration with third parties, we may not be successful in commercializing LYR-210 or LYR-220, if approved, and we may not be able to generate any revenue.</w:t>
      </w:r>
    </w:p>
    <w:p>
      <w:pPr>
        <w:spacing w:after="0" w:line="144" w:lineRule="exact"/>
        <w:rPr>
          <w:sz w:val="20"/>
          <w:szCs w:val="20"/>
          <w:color w:val="auto"/>
        </w:rPr>
      </w:pPr>
    </w:p>
    <w:p>
      <w:pPr>
        <w:ind w:left="500" w:right="100" w:firstLine="819"/>
        <w:spacing w:after="0" w:line="268" w:lineRule="auto"/>
        <w:rPr>
          <w:sz w:val="20"/>
          <w:szCs w:val="20"/>
          <w:color w:val="auto"/>
        </w:rPr>
      </w:pPr>
      <w:r>
        <w:rPr>
          <w:rFonts w:ascii="Arial" w:cs="Arial" w:eastAsia="Arial" w:hAnsi="Arial"/>
          <w:sz w:val="17"/>
          <w:szCs w:val="17"/>
          <w:color w:val="auto"/>
        </w:rPr>
        <w:t>We do not have any infrastructure for the sales, marketing or distribution of our products, and the cost of establishing and maintaining such an organization may exceed the cost-effectiveness of doing so.</w:t>
      </w:r>
    </w:p>
    <w:p>
      <w:pPr>
        <w:spacing w:after="0" w:line="166" w:lineRule="exact"/>
        <w:rPr>
          <w:sz w:val="20"/>
          <w:szCs w:val="20"/>
          <w:color w:val="auto"/>
        </w:rPr>
      </w:pPr>
    </w:p>
    <w:p>
      <w:pPr>
        <w:ind w:left="500" w:firstLine="819"/>
        <w:spacing w:after="0" w:line="287" w:lineRule="auto"/>
        <w:rPr>
          <w:sz w:val="20"/>
          <w:szCs w:val="20"/>
          <w:color w:val="auto"/>
        </w:rPr>
      </w:pPr>
      <w:r>
        <w:rPr>
          <w:rFonts w:ascii="Arial" w:cs="Arial" w:eastAsia="Arial" w:hAnsi="Arial"/>
          <w:sz w:val="15"/>
          <w:szCs w:val="15"/>
          <w:color w:val="auto"/>
        </w:rPr>
        <w:t>We expect to build our own focused sales, distribution and marketing infrastructure to market LYR-210 and LYR-220 in the United States,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LYR-210. Additionally, if the commercial launch of LYR-210 or LYR-220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Factors that may inhibit our efforts to commercialize our product candidates on our own include:</w:t>
      </w:r>
    </w:p>
    <w:p>
      <w:pPr>
        <w:spacing w:after="0" w:line="231" w:lineRule="exact"/>
        <w:rPr>
          <w:sz w:val="20"/>
          <w:szCs w:val="20"/>
          <w:color w:val="auto"/>
        </w:rPr>
      </w:pPr>
    </w:p>
    <w:p>
      <w:pPr>
        <w:ind w:left="1720" w:hanging="301"/>
        <w:spacing w:after="0"/>
        <w:tabs>
          <w:tab w:leader="none" w:pos="1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231" w:lineRule="exact"/>
        <w:rPr>
          <w:rFonts w:ascii="Arial" w:cs="Arial" w:eastAsia="Arial" w:hAnsi="Arial"/>
          <w:sz w:val="17"/>
          <w:szCs w:val="17"/>
          <w:color w:val="auto"/>
        </w:rPr>
      </w:pPr>
    </w:p>
    <w:p>
      <w:pPr>
        <w:ind w:left="1720" w:right="400" w:hanging="301"/>
        <w:spacing w:after="0" w:line="268" w:lineRule="auto"/>
        <w:tabs>
          <w:tab w:leader="none" w:pos="1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91" w:lineRule="exact"/>
        <w:rPr>
          <w:rFonts w:ascii="Arial" w:cs="Arial" w:eastAsia="Arial" w:hAnsi="Arial"/>
          <w:sz w:val="17"/>
          <w:szCs w:val="17"/>
          <w:color w:val="auto"/>
        </w:rPr>
      </w:pPr>
    </w:p>
    <w:p>
      <w:pPr>
        <w:ind w:left="1720" w:right="60" w:hanging="301"/>
        <w:spacing w:after="0" w:line="268" w:lineRule="auto"/>
        <w:tabs>
          <w:tab w:leader="none" w:pos="1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191" w:lineRule="exact"/>
        <w:rPr>
          <w:rFonts w:ascii="Arial" w:cs="Arial" w:eastAsia="Arial" w:hAnsi="Arial"/>
          <w:sz w:val="17"/>
          <w:szCs w:val="17"/>
          <w:color w:val="auto"/>
        </w:rPr>
      </w:pPr>
    </w:p>
    <w:p>
      <w:pPr>
        <w:ind w:left="1720" w:right="440" w:hanging="301"/>
        <w:spacing w:after="0" w:line="268" w:lineRule="auto"/>
        <w:tabs>
          <w:tab w:leader="none" w:pos="1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inability to develop or obtain sufficient operational functions to support our commercial activities;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06" w:lineRule="exact"/>
        <w:rPr>
          <w:sz w:val="20"/>
          <w:szCs w:val="20"/>
          <w:color w:val="auto"/>
        </w:rPr>
      </w:pPr>
    </w:p>
    <w:p>
      <w:pPr>
        <w:ind w:left="500" w:right="100" w:firstLine="819"/>
        <w:spacing w:after="0" w:line="269" w:lineRule="auto"/>
        <w:rPr>
          <w:sz w:val="20"/>
          <w:szCs w:val="20"/>
          <w:color w:val="auto"/>
        </w:rPr>
      </w:pPr>
      <w:r>
        <w:rPr>
          <w:rFonts w:ascii="Arial" w:cs="Arial" w:eastAsia="Arial" w:hAnsi="Arial"/>
          <w:sz w:val="16"/>
          <w:szCs w:val="16"/>
          <w:color w:val="auto"/>
        </w:rPr>
        <w:t>We do not anticipate having the resources in the foreseeable future to allocate to the sales and marketing of LYR-210, LYR-220 or any future product candidates in markets outside of the United States. Therefore, our future sales in these markets will largely depend on our ability to enter into and maintain collaborative relationships for such capabilities, the collaborator’s strategic interest in the product and such collaborator’s ability to successfully market and sell the product. We intend to selectively pursue collaborative arrangements regarding the sale and marketing of LYR-210, if approved, for certain markets outside of the United States; however, we cannot assure that we will be able to establish or maintain such collaborative arrangements, or if able to do so, that they will have effective sales forces.</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740"/>
          </w:cols>
          <w:pgMar w:left="320" w:top="437" w:right="8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If we are unable to build our own sales force or negotiate a collaborative relationship for the commercialization of LYR-210 or LYR-220, we may be forced to delay the potential commercialization of LYR-210 or LYR-220 or reduce the scope of our sales or marketing activities for LYR-210 or LYR-220.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LYR-210 or LYR-220 or otherwise agree to terms unfavorable to us, any of which may have an adverse effect on our business, operating results and prospects.</w:t>
      </w:r>
    </w:p>
    <w:p>
      <w:pPr>
        <w:spacing w:after="0" w:line="169" w:lineRule="exact"/>
        <w:rPr>
          <w:sz w:val="20"/>
          <w:szCs w:val="20"/>
          <w:color w:val="auto"/>
        </w:rPr>
      </w:pPr>
    </w:p>
    <w:p>
      <w:pPr>
        <w:ind w:left="500" w:right="80" w:firstLine="819"/>
        <w:spacing w:after="0" w:line="298" w:lineRule="auto"/>
        <w:rPr>
          <w:sz w:val="20"/>
          <w:szCs w:val="20"/>
          <w:color w:val="auto"/>
        </w:rPr>
      </w:pPr>
      <w:r>
        <w:rPr>
          <w:rFonts w:ascii="Arial" w:cs="Arial" w:eastAsia="Arial" w:hAnsi="Arial"/>
          <w:sz w:val="15"/>
          <w:szCs w:val="15"/>
          <w:color w:val="auto"/>
        </w:rPr>
        <w:t>If we are unable to establish adequate sales, marketing and distribution capabilities, either on our own or in collaboration with third parties, we will not be successful in commercializing LYR-210 or LYR-220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48" w:lineRule="exact"/>
        <w:rPr>
          <w:sz w:val="20"/>
          <w:szCs w:val="20"/>
          <w:color w:val="auto"/>
        </w:rPr>
      </w:pPr>
    </w:p>
    <w:p>
      <w:pPr>
        <w:ind w:left="500" w:right="60"/>
        <w:spacing w:after="0" w:line="268" w:lineRule="auto"/>
        <w:rPr>
          <w:sz w:val="20"/>
          <w:szCs w:val="20"/>
          <w:color w:val="auto"/>
        </w:rPr>
      </w:pPr>
      <w:r>
        <w:rPr>
          <w:rFonts w:ascii="Arial" w:cs="Arial" w:eastAsia="Arial" w:hAnsi="Arial"/>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166" w:lineRule="exact"/>
        <w:rPr>
          <w:sz w:val="20"/>
          <w:szCs w:val="20"/>
          <w:color w:val="auto"/>
        </w:rPr>
      </w:pPr>
    </w:p>
    <w:p>
      <w:pPr>
        <w:ind w:left="500" w:right="80" w:firstLine="819"/>
        <w:spacing w:after="0" w:line="287" w:lineRule="auto"/>
        <w:rPr>
          <w:sz w:val="20"/>
          <w:szCs w:val="20"/>
          <w:color w:val="auto"/>
        </w:rPr>
      </w:pPr>
      <w:r>
        <w:rPr>
          <w:rFonts w:ascii="Arial" w:cs="Arial" w:eastAsia="Arial" w:hAnsi="Arial"/>
          <w:sz w:val="15"/>
          <w:szCs w:val="15"/>
          <w:color w:val="auto"/>
        </w:rPr>
        <w:t>Our future profitability may depend, in part, on our ability to commercialize our product candidates in foreign markets for which we may rely on collaboration with third parties.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83" w:lineRule="exact"/>
        <w:rPr>
          <w:sz w:val="20"/>
          <w:szCs w:val="20"/>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customers’ ability to obtain reimbursement for our product candidates in foreign markets;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inability to directly control commercial activities if we are relying on third parties;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burden of complying with complex and changing foreign regulatory, tax, accounting and legal requirements;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import or export licensing requirements;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longer accounts receivable collection times;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longer lead times for shipping;</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language barriers for technical training and the need for language translations;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existence of additional potentially relevant third-party intellectual property rights;</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740"/>
          </w:cols>
          <w:pgMar w:left="320" w:top="437" w:right="8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tabs>
          <w:tab w:leader="none" w:pos="1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206" w:lineRule="exact"/>
        <w:rPr>
          <w:sz w:val="20"/>
          <w:szCs w:val="20"/>
          <w:color w:val="auto"/>
        </w:rPr>
      </w:pPr>
    </w:p>
    <w:p>
      <w:pPr>
        <w:ind w:left="500" w:right="40" w:firstLine="819"/>
        <w:spacing w:after="0" w:line="268" w:lineRule="auto"/>
        <w:rPr>
          <w:sz w:val="20"/>
          <w:szCs w:val="20"/>
          <w:color w:val="auto"/>
        </w:rPr>
      </w:pPr>
      <w:r>
        <w:rPr>
          <w:rFonts w:ascii="Arial" w:cs="Arial" w:eastAsia="Arial" w:hAnsi="Arial"/>
          <w:sz w:val="17"/>
          <w:szCs w:val="17"/>
          <w:color w:val="auto"/>
        </w:rPr>
        <w:t>Foreign sales of our product candidates could also be adversely affected by the imposition of governmental controls, political and economic instability, trade restrictions and changes in tariffs.</w:t>
      </w:r>
    </w:p>
    <w:p>
      <w:pPr>
        <w:spacing w:after="0" w:line="166" w:lineRule="exact"/>
        <w:rPr>
          <w:sz w:val="20"/>
          <w:szCs w:val="20"/>
          <w:color w:val="auto"/>
        </w:rPr>
      </w:pPr>
    </w:p>
    <w:p>
      <w:pPr>
        <w:ind w:left="500" w:right="200" w:firstLine="819"/>
        <w:spacing w:after="0" w:line="271" w:lineRule="auto"/>
        <w:rPr>
          <w:sz w:val="20"/>
          <w:szCs w:val="20"/>
          <w:color w:val="auto"/>
        </w:rPr>
      </w:pPr>
      <w:r>
        <w:rPr>
          <w:rFonts w:ascii="Arial" w:cs="Arial" w:eastAsia="Arial" w:hAnsi="Arial"/>
          <w:sz w:val="16"/>
          <w:szCs w:val="16"/>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66" w:lineRule="exact"/>
        <w:rPr>
          <w:sz w:val="20"/>
          <w:szCs w:val="20"/>
          <w:color w:val="auto"/>
        </w:rPr>
      </w:pPr>
    </w:p>
    <w:p>
      <w:pPr>
        <w:ind w:left="500" w:right="320"/>
        <w:spacing w:after="0" w:line="307" w:lineRule="auto"/>
        <w:rPr>
          <w:sz w:val="20"/>
          <w:szCs w:val="20"/>
          <w:color w:val="auto"/>
        </w:rPr>
      </w:pPr>
      <w:r>
        <w:rPr>
          <w:rFonts w:ascii="Arial" w:cs="Arial" w:eastAsia="Arial" w:hAnsi="Arial"/>
          <w:sz w:val="15"/>
          <w:szCs w:val="15"/>
          <w:b w:val="1"/>
          <w:bCs w:val="1"/>
          <w:i w:val="1"/>
          <w:iCs w:val="1"/>
          <w:color w:val="auto"/>
        </w:rPr>
        <w:t>The sizes of the patient populations that our product candidates are intended to treat have not been established with precision. If the market opportunities for our product candidates are smaller than we estimate, or if any approval that we obtain is based on a narrower definition of the patient population than we anticipate, our revenue and ability to achieve profitability may be materially adversely affected.</w:t>
      </w:r>
    </w:p>
    <w:p>
      <w:pPr>
        <w:spacing w:after="0" w:line="141" w:lineRule="exact"/>
        <w:rPr>
          <w:sz w:val="20"/>
          <w:szCs w:val="20"/>
          <w:color w:val="auto"/>
        </w:rPr>
      </w:pPr>
    </w:p>
    <w:p>
      <w:pPr>
        <w:ind w:left="500" w:right="80" w:firstLine="819"/>
        <w:spacing w:after="0" w:line="318" w:lineRule="auto"/>
        <w:rPr>
          <w:sz w:val="20"/>
          <w:szCs w:val="20"/>
          <w:color w:val="auto"/>
        </w:rPr>
      </w:pPr>
      <w:r>
        <w:rPr>
          <w:rFonts w:ascii="Arial" w:cs="Arial" w:eastAsia="Arial" w:hAnsi="Arial"/>
          <w:sz w:val="14"/>
          <w:szCs w:val="14"/>
          <w:color w:val="auto"/>
        </w:rPr>
        <w:t>The precise incidence and prevalence of the conditions we aim to address with our programs is unknown and cannot be precisely determined. Our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information may change the estimated incidence or prevalence of these diseases, and the incidence or prevalence of these diseases is subject to change.</w:t>
      </w:r>
    </w:p>
    <w:p>
      <w:pPr>
        <w:spacing w:after="0" w:line="138" w:lineRule="exact"/>
        <w:rPr>
          <w:sz w:val="20"/>
          <w:szCs w:val="20"/>
          <w:color w:val="auto"/>
        </w:rPr>
      </w:pPr>
    </w:p>
    <w:p>
      <w:pPr>
        <w:ind w:left="500" w:right="160" w:firstLine="819"/>
        <w:spacing w:after="0" w:line="250" w:lineRule="auto"/>
        <w:rPr>
          <w:sz w:val="20"/>
          <w:szCs w:val="20"/>
          <w:color w:val="auto"/>
        </w:rPr>
      </w:pPr>
      <w:r>
        <w:rPr>
          <w:rFonts w:ascii="Arial" w:cs="Arial" w:eastAsia="Arial" w:hAnsi="Arial"/>
          <w:sz w:val="17"/>
          <w:szCs w:val="17"/>
          <w:color w:val="auto"/>
        </w:rPr>
        <w:t>The total addressable market across all of our product candidates will ultimately depend upon, among other things, the indications and conditions of use for which the product candidates are approved and may be marketed, acceptance by the medical community and patient access, drug pricing and reimbursement. The sizes of the patient populations that our product candidates are intended to treat in the United States and other major markets and elsewhere may turn out to be smaller than expected, patients may not be otherwise amenable to treatment with our product candidates or new patients may become increasingly difficult to identify or gain access to, all of which would adversely affect our results of operations and our business. Further, even if we obtain significant market share for our product candidates, we may never achieve profitability despite obtaining such significant market share.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cannot compete for market share against other drug companies, we may not achieve sufficient product revenues and our business will suffer.</w:t>
      </w:r>
    </w:p>
    <w:p>
      <w:pPr>
        <w:spacing w:after="0" w:line="241" w:lineRule="exact"/>
        <w:rPr>
          <w:sz w:val="20"/>
          <w:szCs w:val="20"/>
          <w:color w:val="auto"/>
        </w:rPr>
      </w:pPr>
    </w:p>
    <w:p>
      <w:pPr>
        <w:ind w:left="500" w:right="40" w:firstLine="819"/>
        <w:spacing w:after="0" w:line="274" w:lineRule="auto"/>
        <w:rPr>
          <w:sz w:val="20"/>
          <w:szCs w:val="20"/>
          <w:color w:val="auto"/>
        </w:rPr>
      </w:pPr>
      <w:r>
        <w:rPr>
          <w:rFonts w:ascii="Arial" w:cs="Arial" w:eastAsia="Arial" w:hAnsi="Arial"/>
          <w:sz w:val="16"/>
          <w:szCs w:val="16"/>
          <w:color w:val="auto"/>
        </w:rPr>
        <w:t>If our product candidates receive FDA approval, they will compete with a number of existing and future drugs and therapies developed, manufactured and marketed by other companies. Existing or future competing products may provide greater therapeutic convenience or clinical or other benefits for a specific indication than our products, or may offer comparable performance at a lower cost. If our products fail to capture and maintain market share, we may not achieve sufficient product revenues and our business will suffer.</w:t>
      </w:r>
    </w:p>
    <w:p>
      <w:pPr>
        <w:spacing w:after="0" w:line="164" w:lineRule="exact"/>
        <w:rPr>
          <w:sz w:val="20"/>
          <w:szCs w:val="20"/>
          <w:color w:val="auto"/>
        </w:rPr>
      </w:pPr>
    </w:p>
    <w:p>
      <w:pPr>
        <w:ind w:left="500" w:firstLine="819"/>
        <w:spacing w:after="0" w:line="274" w:lineRule="auto"/>
        <w:rPr>
          <w:sz w:val="20"/>
          <w:szCs w:val="20"/>
          <w:color w:val="auto"/>
        </w:rPr>
      </w:pPr>
      <w:r>
        <w:rPr>
          <w:rFonts w:ascii="Arial" w:cs="Arial" w:eastAsia="Arial" w:hAnsi="Arial"/>
          <w:sz w:val="16"/>
          <w:szCs w:val="16"/>
          <w:color w:val="auto"/>
        </w:rPr>
        <w:t>We will compete against fully integrated pharmaceutical companies and smaller companies that are collaborating with larger pharmaceutical companies, academic institutions, government agencies and other public and private research organizations. Many of these competitors may have compounds already approved or in development in the therapeutic categories that we are targeting with our current and future product candidates. In addition, many of these competitors, either alone or together with their collaborative partners, may operate larger</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720"/>
          </w:cols>
          <w:pgMar w:left="320" w:top="437" w:right="8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research and development programs or have substantially greater financial resources than we do, as well as greater experience in:</w:t>
      </w:r>
    </w:p>
    <w:p>
      <w:pPr>
        <w:spacing w:after="0" w:line="231" w:lineRule="exact"/>
        <w:rPr>
          <w:sz w:val="20"/>
          <w:szCs w:val="20"/>
          <w:color w:val="auto"/>
        </w:rPr>
      </w:pPr>
    </w:p>
    <w:p>
      <w:pPr>
        <w:ind w:left="1720" w:hanging="301"/>
        <w:spacing w:after="0"/>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developing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undertaking pre-clinical testing and clinical trials;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obtaining NDA approval by the FDA and comparable foreign regulatory approvals of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formulating and manufacturing products;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launching, marketing and selling products.</w:t>
      </w:r>
    </w:p>
    <w:p>
      <w:pPr>
        <w:spacing w:after="0" w:line="206" w:lineRule="exact"/>
        <w:rPr>
          <w:sz w:val="20"/>
          <w:szCs w:val="20"/>
          <w:color w:val="auto"/>
        </w:rPr>
      </w:pPr>
    </w:p>
    <w:p>
      <w:pPr>
        <w:ind w:left="500" w:right="240"/>
        <w:spacing w:after="0" w:line="268" w:lineRule="auto"/>
        <w:rPr>
          <w:sz w:val="20"/>
          <w:szCs w:val="20"/>
          <w:color w:val="auto"/>
        </w:rPr>
      </w:pPr>
      <w:r>
        <w:rPr>
          <w:rFonts w:ascii="Arial" w:cs="Arial" w:eastAsia="Arial" w:hAnsi="Arial"/>
          <w:sz w:val="17"/>
          <w:szCs w:val="17"/>
          <w:b w:val="1"/>
          <w:bCs w:val="1"/>
          <w:i w:val="1"/>
          <w:iCs w:val="1"/>
          <w:color w:val="auto"/>
        </w:rPr>
        <w:t>If we obtain approval to commercialize any products outside of the United States, a variety of risks associated with international operations could materially adversely affect our business.</w:t>
      </w:r>
    </w:p>
    <w:p>
      <w:pPr>
        <w:spacing w:after="0" w:line="166" w:lineRule="exact"/>
        <w:rPr>
          <w:sz w:val="20"/>
          <w:szCs w:val="20"/>
          <w:color w:val="auto"/>
        </w:rPr>
      </w:pPr>
    </w:p>
    <w:p>
      <w:pPr>
        <w:ind w:left="500" w:firstLine="819"/>
        <w:spacing w:after="0" w:line="335" w:lineRule="auto"/>
        <w:rPr>
          <w:sz w:val="20"/>
          <w:szCs w:val="20"/>
          <w:color w:val="auto"/>
        </w:rPr>
      </w:pPr>
      <w:r>
        <w:rPr>
          <w:rFonts w:ascii="Arial" w:cs="Arial" w:eastAsia="Arial" w:hAnsi="Arial"/>
          <w:sz w:val="15"/>
          <w:szCs w:val="15"/>
          <w:color w:val="auto"/>
        </w:rPr>
        <w:t>If either LYR-210 or LYR-220 is approved for commercialization, we intend to selectively partner with third parties to market it in certain jurisdictions outside the United States. We expect that we will be subject to additional risks related to international pharmaceutical operations, including:</w:t>
      </w:r>
    </w:p>
    <w:p>
      <w:pPr>
        <w:spacing w:after="0" w:line="146" w:lineRule="exact"/>
        <w:rPr>
          <w:sz w:val="20"/>
          <w:szCs w:val="20"/>
          <w:color w:val="auto"/>
        </w:rPr>
      </w:pPr>
    </w:p>
    <w:p>
      <w:pPr>
        <w:ind w:left="1720" w:hanging="301"/>
        <w:spacing w:after="0"/>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different regulatory requirements for drug approvals and rules governing drug commercialization in foreign countries;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foreign reimbursement, pricing and insurance regimes;</w:t>
      </w:r>
    </w:p>
    <w:p>
      <w:pPr>
        <w:spacing w:after="0" w:line="231" w:lineRule="exact"/>
        <w:rPr>
          <w:rFonts w:ascii="Arial" w:cs="Arial" w:eastAsia="Arial" w:hAnsi="Arial"/>
          <w:sz w:val="17"/>
          <w:szCs w:val="17"/>
          <w:color w:val="auto"/>
        </w:rPr>
      </w:pPr>
    </w:p>
    <w:p>
      <w:pPr>
        <w:ind w:left="1720" w:right="600" w:hanging="301"/>
        <w:spacing w:after="0" w:line="268" w:lineRule="auto"/>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potential noncompliance with the U.S. Foreign Corrupt Practices Act, the U.K. Bribery Act 2010 and similar anti-bribery and anticorruption laws in other jurisdictions; and</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w:t>
      </w:r>
    </w:p>
    <w:p>
      <w:pPr>
        <w:spacing w:after="0" w:line="206" w:lineRule="exact"/>
        <w:rPr>
          <w:sz w:val="20"/>
          <w:szCs w:val="20"/>
          <w:color w:val="auto"/>
        </w:rPr>
      </w:pPr>
    </w:p>
    <w:p>
      <w:pPr>
        <w:ind w:left="500" w:right="240" w:firstLine="819"/>
        <w:spacing w:after="0" w:line="280" w:lineRule="auto"/>
        <w:rPr>
          <w:sz w:val="20"/>
          <w:szCs w:val="20"/>
          <w:color w:val="auto"/>
        </w:rPr>
      </w:pPr>
      <w:r>
        <w:rPr>
          <w:rFonts w:ascii="Arial" w:cs="Arial" w:eastAsia="Arial" w:hAnsi="Arial"/>
          <w:sz w:val="16"/>
          <w:szCs w:val="16"/>
          <w:color w:val="auto"/>
        </w:rPr>
        <w:t>We have no prior experience in these areas. In addition, there are complex regulatory, tax, labor and other legal requirements imposed by both the European Union and many of the individual countries in Europe with which we will need to comply. Many U.S.-based biotechnology companies have found the process of marketing their own products in Europe to be very challenging.</w:t>
      </w:r>
    </w:p>
    <w:p>
      <w:pPr>
        <w:spacing w:after="0" w:line="159" w:lineRule="exact"/>
        <w:rPr>
          <w:sz w:val="20"/>
          <w:szCs w:val="20"/>
          <w:color w:val="auto"/>
        </w:rPr>
      </w:pPr>
    </w:p>
    <w:p>
      <w:pPr>
        <w:ind w:left="500" w:right="80" w:firstLine="819"/>
        <w:spacing w:after="0" w:line="285" w:lineRule="auto"/>
        <w:rPr>
          <w:sz w:val="20"/>
          <w:szCs w:val="20"/>
          <w:color w:val="auto"/>
        </w:rPr>
      </w:pPr>
      <w:r>
        <w:rPr>
          <w:rFonts w:ascii="Arial" w:cs="Arial" w:eastAsia="Arial" w:hAnsi="Arial"/>
          <w:sz w:val="15"/>
          <w:szCs w:val="15"/>
          <w:color w:val="auto"/>
        </w:rPr>
        <w:t>Certain legal and political risks are also inherent in foreign operations. For example, it may be more difficult for us to enforce our agreements or collect receivables through foreign legal systems.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9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720"/>
          </w:cols>
          <w:pgMar w:left="320" w:top="437" w:right="8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spacing w:after="0" w:line="268" w:lineRule="auto"/>
        <w:rPr>
          <w:sz w:val="20"/>
          <w:szCs w:val="20"/>
          <w:color w:val="auto"/>
        </w:rPr>
      </w:pPr>
      <w:r>
        <w:rPr>
          <w:rFonts w:ascii="Arial" w:cs="Arial" w:eastAsia="Arial" w:hAnsi="Arial"/>
          <w:sz w:val="17"/>
          <w:szCs w:val="17"/>
          <w:b w:val="1"/>
          <w:bCs w:val="1"/>
          <w:i w:val="1"/>
          <w:iCs w:val="1"/>
          <w:color w:val="auto"/>
        </w:rPr>
        <w:t>Potential product liability lawsuits against us could cause us to incur substantial liabilities and limit commercialization of any products that we may develop.</w:t>
      </w:r>
    </w:p>
    <w:p>
      <w:pPr>
        <w:spacing w:after="0" w:line="166" w:lineRule="exact"/>
        <w:rPr>
          <w:sz w:val="20"/>
          <w:szCs w:val="20"/>
          <w:color w:val="auto"/>
        </w:rPr>
      </w:pPr>
    </w:p>
    <w:p>
      <w:pPr>
        <w:ind w:left="500" w:firstLine="819"/>
        <w:spacing w:after="0" w:line="267" w:lineRule="auto"/>
        <w:rPr>
          <w:sz w:val="20"/>
          <w:szCs w:val="20"/>
          <w:color w:val="auto"/>
        </w:rPr>
      </w:pPr>
      <w:r>
        <w:rPr>
          <w:rFonts w:ascii="Arial" w:cs="Arial" w:eastAsia="Arial" w:hAnsi="Arial"/>
          <w:sz w:val="16"/>
          <w:szCs w:val="16"/>
          <w:color w:val="auto"/>
        </w:rPr>
        <w:t>The use of our product candidates, including LYR-210 and LYR-220, in clinical trials and the sale of any products for which we obtain marketing approval exposes us to the risk of product liability claims. For example, complications arising from the placement procedure for LYR-210 or LYR-220, or from the degradation or dislodgment of the LYR-210 or LYR-220 polymeric matrix within the sinuses after placement, or from foreign growth occurring in the sinus after placement, could give rise to product liability claims against us.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w:t>
      </w:r>
    </w:p>
    <w:p>
      <w:pPr>
        <w:spacing w:after="0" w:line="195" w:lineRule="exact"/>
        <w:rPr>
          <w:sz w:val="20"/>
          <w:szCs w:val="20"/>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impairment of our business reputation and significant negative media attention;</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withdrawal of participants from our clinical trials;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 and related litigation;</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distraction of management’s attention from our primary business;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substantial monetary awards to patients or other claimants;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inability to commercialize LYR-210 or LYR-220 or any other product candidate;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decreased demand for LYR-210 or LYR-220 or any other product candidate, if approved for commercial sale;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0" w:lineRule="exact"/>
        <w:rPr>
          <w:sz w:val="20"/>
          <w:szCs w:val="20"/>
          <w:color w:val="auto"/>
        </w:rPr>
      </w:pPr>
    </w:p>
    <w:p>
      <w:pPr>
        <w:ind w:left="500" w:right="120"/>
        <w:spacing w:after="0" w:line="298" w:lineRule="auto"/>
        <w:rPr>
          <w:sz w:val="20"/>
          <w:szCs w:val="20"/>
          <w:color w:val="auto"/>
        </w:rPr>
      </w:pPr>
      <w:r>
        <w:rPr>
          <w:rFonts w:ascii="Arial" w:cs="Arial" w:eastAsia="Arial" w:hAnsi="Arial"/>
          <w:sz w:val="15"/>
          <w:szCs w:val="15"/>
          <w:b w:val="1"/>
          <w:bCs w:val="1"/>
          <w:i w:val="1"/>
          <w:iCs w:val="1"/>
          <w:color w:val="auto"/>
        </w:rPr>
        <w:t>We will rely on third parties for the manufacture of materials for our research programs, pre-clinical studies and clinical trials and we do not have long-term contracts with any of these parties. This reliance on third parties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48" w:lineRule="exact"/>
        <w:rPr>
          <w:sz w:val="20"/>
          <w:szCs w:val="20"/>
          <w:color w:val="auto"/>
        </w:rPr>
      </w:pPr>
    </w:p>
    <w:p>
      <w:pPr>
        <w:ind w:left="500" w:right="40" w:firstLine="819"/>
        <w:spacing w:after="0" w:line="266" w:lineRule="auto"/>
        <w:rPr>
          <w:sz w:val="20"/>
          <w:szCs w:val="20"/>
          <w:color w:val="auto"/>
        </w:rPr>
      </w:pPr>
      <w:r>
        <w:rPr>
          <w:rFonts w:ascii="Arial" w:cs="Arial" w:eastAsia="Arial" w:hAnsi="Arial"/>
          <w:sz w:val="16"/>
          <w:szCs w:val="16"/>
          <w:color w:val="auto"/>
        </w:rPr>
        <w:t>Although we currently conduct certain manufacturing operations internally, we currently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do not have a long-term agreement with any of the third-party manufacturers we currently use to provide pre-clinical and clinical drug supply, and purchase any required materials on a purchase order basis. Certain of these manufacturers are critical to our production and the loss of these manufacturers to one of our competitors or otherwise, or an inability to obtain quantities at an acceptable cost or quality, could delay, prevent or impair our ability to timely conduct pre-clinical studies or clinical trials, and would materially and adversely affect our development and commercialization efforts. The facilities used by third-party manufacturers to manufacture our product candidates must be approved by the FDA pursuant to inspections that will be conducted</w:t>
      </w:r>
    </w:p>
    <w:p>
      <w:pPr>
        <w:spacing w:after="0" w:line="11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700"/>
          </w:cols>
          <w:pgMar w:left="320" w:top="437" w:right="8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66" w:lineRule="auto"/>
        <w:rPr>
          <w:sz w:val="20"/>
          <w:szCs w:val="20"/>
          <w:color w:val="auto"/>
        </w:rPr>
      </w:pPr>
      <w:r>
        <w:rPr>
          <w:rFonts w:ascii="Arial" w:cs="Arial" w:eastAsia="Arial" w:hAnsi="Arial"/>
          <w:sz w:val="16"/>
          <w:szCs w:val="16"/>
          <w:color w:val="auto"/>
        </w:rPr>
        <w:t>after we submit an NDA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and/or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73" w:lineRule="exact"/>
        <w:rPr>
          <w:sz w:val="20"/>
          <w:szCs w:val="20"/>
          <w:color w:val="auto"/>
        </w:rPr>
      </w:pPr>
    </w:p>
    <w:p>
      <w:pPr>
        <w:jc w:val="both"/>
        <w:ind w:left="500" w:firstLine="819"/>
        <w:spacing w:after="0" w:line="274" w:lineRule="auto"/>
        <w:rPr>
          <w:sz w:val="20"/>
          <w:szCs w:val="20"/>
          <w:color w:val="auto"/>
        </w:rPr>
      </w:pPr>
      <w:r>
        <w:rPr>
          <w:rFonts w:ascii="Arial" w:cs="Arial" w:eastAsia="Arial" w:hAnsi="Arial"/>
          <w:sz w:val="16"/>
          <w:szCs w:val="16"/>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6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Even if we are able to establish agreements with third-party manufacturers, reliance on third-party manufacturers entails additional risks,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including:</w:t>
      </w:r>
    </w:p>
    <w:p>
      <w:pPr>
        <w:spacing w:after="0" w:line="219" w:lineRule="exact"/>
        <w:rPr>
          <w:sz w:val="20"/>
          <w:szCs w:val="20"/>
          <w:color w:val="auto"/>
        </w:rPr>
      </w:pPr>
    </w:p>
    <w:p>
      <w:pPr>
        <w:ind w:left="1720" w:hanging="301"/>
        <w:spacing w:after="0"/>
        <w:tabs>
          <w:tab w:leader="none" w:pos="1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failure of third-party manufacturers to comply with regulatory requirements and maintain quality assurance;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breach of the manufacturing agreement by the third party;</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failure to manufacture our product according to our specifications;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failure to manufacture our product according to our schedule or at all;</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misappropriation of our proprietary information, including our trade secrets and know-how;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termination or nonrenewal of the agreement by the third party at a time that is costly or inconvenient for us.</w:t>
      </w:r>
    </w:p>
    <w:p>
      <w:pPr>
        <w:spacing w:after="0" w:line="206" w:lineRule="exact"/>
        <w:rPr>
          <w:sz w:val="20"/>
          <w:szCs w:val="20"/>
          <w:color w:val="auto"/>
        </w:rPr>
      </w:pPr>
    </w:p>
    <w:p>
      <w:pPr>
        <w:ind w:left="500" w:right="40" w:firstLine="819"/>
        <w:spacing w:after="0" w:line="285" w:lineRule="auto"/>
        <w:rPr>
          <w:sz w:val="20"/>
          <w:szCs w:val="20"/>
          <w:color w:val="auto"/>
        </w:rPr>
      </w:pPr>
      <w:r>
        <w:rPr>
          <w:rFonts w:ascii="Arial" w:cs="Arial" w:eastAsia="Arial" w:hAnsi="Arial"/>
          <w:sz w:val="15"/>
          <w:szCs w:val="15"/>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The extent to which the COVID-19 global pandemic impacts our ability to procure sufficient supplies for the development of our products and product candidates will depend on the severity and duration of the spread of the virus, and the actions undertaken to contain COVID-19 or treat its effects and may cause delays. If our current third-party manufacturers cannot perform as agreed, we may be required to replace such manufacturers and we may be unable to replace them on a timely basis or at all.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9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740"/>
          </w:cols>
          <w:pgMar w:left="320" w:top="437" w:right="8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40"/>
        <w:spacing w:after="0" w:line="377" w:lineRule="auto"/>
        <w:rPr>
          <w:sz w:val="20"/>
          <w:szCs w:val="20"/>
          <w:color w:val="auto"/>
        </w:rPr>
      </w:pPr>
      <w:r>
        <w:rPr>
          <w:rFonts w:ascii="Arial" w:cs="Arial" w:eastAsia="Arial" w:hAnsi="Arial"/>
          <w:sz w:val="14"/>
          <w:szCs w:val="14"/>
          <w:b w:val="1"/>
          <w:bCs w:val="1"/>
          <w:i w:val="1"/>
          <w:iCs w:val="1"/>
          <w:color w:val="auto"/>
        </w:rPr>
        <w:t>We rely on third parties to conduct our pre-clinical studies and clinical trials. Any failure by a third party to conduct the clinical trials according to GCPs and in a timely manner may delay or prevent our ability to seek or obtain regulatory approval for or commercialize our product candidates.</w:t>
      </w:r>
    </w:p>
    <w:p>
      <w:pPr>
        <w:spacing w:after="0" w:line="97" w:lineRule="exact"/>
        <w:rPr>
          <w:sz w:val="20"/>
          <w:szCs w:val="20"/>
          <w:color w:val="auto"/>
        </w:rPr>
      </w:pPr>
    </w:p>
    <w:p>
      <w:pPr>
        <w:ind w:left="500" w:firstLine="819"/>
        <w:spacing w:after="0" w:line="283" w:lineRule="auto"/>
        <w:rPr>
          <w:sz w:val="20"/>
          <w:szCs w:val="20"/>
          <w:color w:val="auto"/>
        </w:rPr>
      </w:pPr>
      <w:r>
        <w:rPr>
          <w:rFonts w:ascii="Arial" w:cs="Arial" w:eastAsia="Arial" w:hAnsi="Arial"/>
          <w:sz w:val="15"/>
          <w:szCs w:val="15"/>
          <w:color w:val="auto"/>
        </w:rPr>
        <w:t>We are dependent on third parties to conduct our pre-clinical studies and clinical trials, including our ongoing clinical trials for LYR-210, and we expect to rely on third parties to conduct any future clinical trials and pre-clinical studies for our product candidates, including LYR-220.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63" w:lineRule="exact"/>
        <w:rPr>
          <w:sz w:val="20"/>
          <w:szCs w:val="20"/>
          <w:color w:val="auto"/>
        </w:rPr>
      </w:pPr>
    </w:p>
    <w:p>
      <w:pPr>
        <w:ind w:left="500" w:right="100" w:firstLine="819"/>
        <w:spacing w:after="0" w:line="285" w:lineRule="auto"/>
        <w:rPr>
          <w:sz w:val="20"/>
          <w:szCs w:val="20"/>
          <w:color w:val="auto"/>
        </w:rPr>
      </w:pPr>
      <w:r>
        <w:rPr>
          <w:rFonts w:ascii="Arial" w:cs="Arial" w:eastAsia="Arial" w:hAnsi="Arial"/>
          <w:sz w:val="15"/>
          <w:szCs w:val="15"/>
          <w:color w:val="auto"/>
        </w:rPr>
        <w:t>There is no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we submit to the FDA. Any such delay or rejection could prevent us from commercializing our product candidates.</w:t>
      </w:r>
    </w:p>
    <w:p>
      <w:pPr>
        <w:spacing w:after="0" w:line="161" w:lineRule="exact"/>
        <w:rPr>
          <w:sz w:val="20"/>
          <w:szCs w:val="20"/>
          <w:color w:val="auto"/>
        </w:rPr>
      </w:pPr>
    </w:p>
    <w:p>
      <w:pPr>
        <w:ind w:left="500" w:right="100" w:firstLine="819"/>
        <w:spacing w:after="0" w:line="267" w:lineRule="auto"/>
        <w:rPr>
          <w:sz w:val="20"/>
          <w:szCs w:val="20"/>
          <w:color w:val="auto"/>
        </w:rPr>
      </w:pPr>
      <w:r>
        <w:rPr>
          <w:rFonts w:ascii="Arial" w:cs="Arial" w:eastAsia="Arial" w:hAnsi="Arial"/>
          <w:sz w:val="16"/>
          <w:szCs w:val="16"/>
          <w:color w:val="auto"/>
        </w:rPr>
        <w:t>If any of our relationships with these third-parties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can materially impact our ability to meet our desired clinical development timelines. The COVID-19 global pandemic and government measures taken in response have also had a significant impact on our CROs, and we expect that they will face further disruption which may affect our ability to initiate and complete our pre-clinical studies and clinical trials.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0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740"/>
          </w:cols>
          <w:pgMar w:left="320" w:top="437" w:right="8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20"/>
        <w:spacing w:after="0" w:line="280" w:lineRule="auto"/>
        <w:rPr>
          <w:sz w:val="20"/>
          <w:szCs w:val="20"/>
          <w:color w:val="auto"/>
        </w:rPr>
      </w:pPr>
      <w:r>
        <w:rPr>
          <w:rFonts w:ascii="Arial" w:cs="Arial" w:eastAsia="Arial" w:hAnsi="Arial"/>
          <w:sz w:val="16"/>
          <w:szCs w:val="16"/>
          <w:b w:val="1"/>
          <w:bCs w:val="1"/>
          <w:i w:val="1"/>
          <w:iCs w:val="1"/>
          <w:color w:val="auto"/>
        </w:rPr>
        <w:t>We may collaborate with third parties for the development and commercialization of LYR-210, LYR-220 and any of our future product candidates. We may not succeed in establishing and maintaining collaborative relationships, which may significantly limit our ability to develop and commercialize LYR-210, LYR-220 or our future product candidates successfully, if at all.</w:t>
      </w:r>
    </w:p>
    <w:p>
      <w:pPr>
        <w:spacing w:after="0" w:line="159" w:lineRule="exact"/>
        <w:rPr>
          <w:sz w:val="20"/>
          <w:szCs w:val="20"/>
          <w:color w:val="auto"/>
        </w:rPr>
      </w:pPr>
    </w:p>
    <w:p>
      <w:pPr>
        <w:ind w:left="500" w:right="40" w:firstLine="819"/>
        <w:spacing w:after="0" w:line="251" w:lineRule="auto"/>
        <w:rPr>
          <w:sz w:val="20"/>
          <w:szCs w:val="20"/>
          <w:color w:val="auto"/>
        </w:rPr>
      </w:pPr>
      <w:r>
        <w:rPr>
          <w:rFonts w:ascii="Arial" w:cs="Arial" w:eastAsia="Arial" w:hAnsi="Arial"/>
          <w:sz w:val="17"/>
          <w:szCs w:val="17"/>
          <w:color w:val="auto"/>
        </w:rPr>
        <w:t>We may seek collaborative relationships for the development and commercialization of LYR-210, LYR-220 or any future product candidates. Failure to obtain a collaborative relationship for LYR-210, LYR-220 or any future product candidates may significantly impair the potential for these product candidates. We also may need to enter into collaborative relationships to provide funding to support our other research and development programs. The process of establishing and maintaining collaborative relationships is difficult, time-consuming and involves significant uncertainty, such as:</w:t>
      </w:r>
    </w:p>
    <w:p>
      <w:pPr>
        <w:spacing w:after="0" w:line="208" w:lineRule="exact"/>
        <w:rPr>
          <w:sz w:val="20"/>
          <w:szCs w:val="20"/>
          <w:color w:val="auto"/>
        </w:rPr>
      </w:pPr>
    </w:p>
    <w:p>
      <w:pPr>
        <w:ind w:left="1720" w:right="60" w:hanging="301"/>
        <w:spacing w:after="0" w:line="268" w:lineRule="auto"/>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collaboration partner may shift its priorities and resources away from our product candidates due to a change in business strategies, or a merger, acquisition, sale or downsizing;</w:t>
      </w:r>
    </w:p>
    <w:p>
      <w:pPr>
        <w:spacing w:after="0" w:line="191" w:lineRule="exact"/>
        <w:rPr>
          <w:rFonts w:ascii="Arial" w:cs="Arial" w:eastAsia="Arial" w:hAnsi="Arial"/>
          <w:sz w:val="17"/>
          <w:szCs w:val="17"/>
          <w:color w:val="auto"/>
        </w:rPr>
      </w:pPr>
    </w:p>
    <w:p>
      <w:pPr>
        <w:ind w:left="1720" w:right="700" w:hanging="301"/>
        <w:spacing w:after="0" w:line="268" w:lineRule="auto"/>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collaboration partner may seek to renegotiate or terminate their relationships with us due to unsatisfactory clinical results, manufacturing issues, a change in business strategy, a change of control or other reasons;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collaboration partner may cease development in therapeutic areas which are the subject of our strategic collaboration;</w:t>
      </w:r>
    </w:p>
    <w:p>
      <w:pPr>
        <w:spacing w:after="0" w:line="242" w:lineRule="exact"/>
        <w:rPr>
          <w:rFonts w:ascii="Arial" w:cs="Arial" w:eastAsia="Arial" w:hAnsi="Arial"/>
          <w:sz w:val="16"/>
          <w:szCs w:val="16"/>
          <w:color w:val="auto"/>
        </w:rPr>
      </w:pPr>
    </w:p>
    <w:p>
      <w:pPr>
        <w:ind w:left="1720" w:hanging="301"/>
        <w:spacing w:after="0"/>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collaboration partner may not devote sufficient capital or resources towards our product candidates;</w:t>
      </w:r>
    </w:p>
    <w:p>
      <w:pPr>
        <w:spacing w:after="0" w:line="231" w:lineRule="exact"/>
        <w:rPr>
          <w:rFonts w:ascii="Arial" w:cs="Arial" w:eastAsia="Arial" w:hAnsi="Arial"/>
          <w:sz w:val="17"/>
          <w:szCs w:val="17"/>
          <w:color w:val="auto"/>
        </w:rPr>
      </w:pPr>
    </w:p>
    <w:p>
      <w:pPr>
        <w:ind w:left="1720" w:right="340" w:hanging="301"/>
        <w:spacing w:after="0" w:line="268" w:lineRule="auto"/>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collaboration partner may change the success criteria for a product candidate, thereby delaying or ceasing development of such candidate;</w:t>
      </w:r>
    </w:p>
    <w:p>
      <w:pPr>
        <w:spacing w:after="0" w:line="191" w:lineRule="exact"/>
        <w:rPr>
          <w:rFonts w:ascii="Arial" w:cs="Arial" w:eastAsia="Arial" w:hAnsi="Arial"/>
          <w:sz w:val="17"/>
          <w:szCs w:val="17"/>
          <w:color w:val="auto"/>
        </w:rPr>
      </w:pPr>
    </w:p>
    <w:p>
      <w:pPr>
        <w:ind w:left="1720" w:right="60" w:hanging="301"/>
        <w:spacing w:after="0" w:line="268" w:lineRule="auto"/>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significant delay in initiation of certain development activities by a collaboration partner will also delay payment of milestones tied to such activities, thereby impacting our ability to fund our own activities;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collaboration partner could develop a product that competes, either directly or indirectly, with our product candidate;</w:t>
      </w:r>
    </w:p>
    <w:p>
      <w:pPr>
        <w:spacing w:after="0" w:line="231" w:lineRule="exact"/>
        <w:rPr>
          <w:rFonts w:ascii="Arial" w:cs="Arial" w:eastAsia="Arial" w:hAnsi="Arial"/>
          <w:sz w:val="17"/>
          <w:szCs w:val="17"/>
          <w:color w:val="auto"/>
        </w:rPr>
      </w:pPr>
    </w:p>
    <w:p>
      <w:pPr>
        <w:ind w:left="1720" w:right="60" w:hanging="301"/>
        <w:spacing w:after="0" w:line="268" w:lineRule="auto"/>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collaboration partner with commercialization obligations may not commit sufficient financial or human resources to the marketing, distribution or sale of a product;</w:t>
      </w:r>
    </w:p>
    <w:p>
      <w:pPr>
        <w:spacing w:after="0" w:line="191" w:lineRule="exact"/>
        <w:rPr>
          <w:rFonts w:ascii="Arial" w:cs="Arial" w:eastAsia="Arial" w:hAnsi="Arial"/>
          <w:sz w:val="17"/>
          <w:szCs w:val="17"/>
          <w:color w:val="auto"/>
        </w:rPr>
      </w:pPr>
    </w:p>
    <w:p>
      <w:pPr>
        <w:ind w:left="1720" w:hanging="301"/>
        <w:spacing w:after="0" w:line="268" w:lineRule="auto"/>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collaboration partner with manufacturing responsibilities may encounter regulatory, resource or quality issues and be unable to meet demand requirements;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collaboration partner may terminate a strategic alliance;</w:t>
      </w:r>
    </w:p>
    <w:p>
      <w:pPr>
        <w:spacing w:after="0" w:line="231" w:lineRule="exact"/>
        <w:rPr>
          <w:rFonts w:ascii="Arial" w:cs="Arial" w:eastAsia="Arial" w:hAnsi="Arial"/>
          <w:sz w:val="17"/>
          <w:szCs w:val="17"/>
          <w:color w:val="auto"/>
        </w:rPr>
      </w:pPr>
    </w:p>
    <w:p>
      <w:pPr>
        <w:ind w:left="1720" w:right="380" w:hanging="301"/>
        <w:spacing w:after="0" w:line="257" w:lineRule="auto"/>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dispute may arise between us and a partner concerning the research, development or commercialization of a product candidate resulting in a delay in milestones, royalty payments or termination of an alliance and possibly resulting in costly litigation or arbitration which may divert management attention and resources; and</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partner may use our products or technology in such a way as to invite litigation from a third party.</w:t>
      </w:r>
    </w:p>
    <w:p>
      <w:pPr>
        <w:spacing w:after="0" w:line="206" w:lineRule="exact"/>
        <w:rPr>
          <w:sz w:val="20"/>
          <w:szCs w:val="20"/>
          <w:color w:val="auto"/>
        </w:rPr>
      </w:pPr>
    </w:p>
    <w:p>
      <w:pPr>
        <w:ind w:left="500" w:right="420" w:firstLine="819"/>
        <w:spacing w:after="0" w:line="268" w:lineRule="auto"/>
        <w:rPr>
          <w:sz w:val="20"/>
          <w:szCs w:val="20"/>
          <w:color w:val="auto"/>
        </w:rPr>
      </w:pPr>
      <w:r>
        <w:rPr>
          <w:rFonts w:ascii="Arial" w:cs="Arial" w:eastAsia="Arial" w:hAnsi="Arial"/>
          <w:sz w:val="17"/>
          <w:szCs w:val="17"/>
          <w:color w:val="auto"/>
        </w:rPr>
        <w:t>If any collaborator fails to fulfill its responsibilities in a timely manner, or at all, our research, clinical development, manufacturing or commercialization efforts related to that collaboration could be delayed or</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680"/>
          </w:cols>
          <w:pgMar w:left="320" w:top="437" w:right="8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50" w:lineRule="auto"/>
        <w:rPr>
          <w:sz w:val="20"/>
          <w:szCs w:val="20"/>
          <w:color w:val="auto"/>
        </w:rPr>
      </w:pPr>
      <w:r>
        <w:rPr>
          <w:rFonts w:ascii="Arial" w:cs="Arial" w:eastAsia="Arial" w:hAnsi="Arial"/>
          <w:sz w:val="17"/>
          <w:szCs w:val="17"/>
          <w:color w:val="auto"/>
        </w:rPr>
        <w:t>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product candidates, undertake development and commercialization activities at our own expense or find alternative sources of capital. Moreover, any collaborative partners we enter into agreements with in the future may shift their priorities and resources away from our product candidates or seek to renegotiate or terminate their relationships with us.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seek, but are not able to establish, collaborations, we may have to alter our development and commercialization plans.</w:t>
      </w:r>
    </w:p>
    <w:p>
      <w:pPr>
        <w:spacing w:after="0" w:line="206"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Our product development programs and the potential commercialization of our product candidates will require substantial additional capital. We may decide to collaborate with pharmaceutical and biotechnology companies for the development and potential commercialization of our product candidates.</w:t>
      </w:r>
    </w:p>
    <w:p>
      <w:pPr>
        <w:spacing w:after="0" w:line="175" w:lineRule="exact"/>
        <w:rPr>
          <w:sz w:val="20"/>
          <w:szCs w:val="20"/>
          <w:color w:val="auto"/>
        </w:rPr>
      </w:pPr>
    </w:p>
    <w:p>
      <w:pPr>
        <w:ind w:left="500" w:right="20" w:firstLine="819"/>
        <w:spacing w:after="0" w:line="285" w:lineRule="auto"/>
        <w:rPr>
          <w:sz w:val="20"/>
          <w:szCs w:val="20"/>
          <w:color w:val="auto"/>
        </w:rPr>
      </w:pPr>
      <w:r>
        <w:rPr>
          <w:rFonts w:ascii="Arial" w:cs="Arial" w:eastAsia="Arial" w:hAnsi="Arial"/>
          <w:sz w:val="15"/>
          <w:szCs w:val="15"/>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1"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169" w:lineRule="exact"/>
        <w:rPr>
          <w:sz w:val="20"/>
          <w:szCs w:val="20"/>
          <w:color w:val="auto"/>
        </w:rPr>
      </w:pPr>
    </w:p>
    <w:p>
      <w:pPr>
        <w:ind w:left="500" w:right="320"/>
        <w:spacing w:after="0" w:line="268" w:lineRule="auto"/>
        <w:rPr>
          <w:sz w:val="20"/>
          <w:szCs w:val="20"/>
          <w:color w:val="auto"/>
        </w:rPr>
      </w:pPr>
      <w:r>
        <w:rPr>
          <w:rFonts w:ascii="Arial" w:cs="Arial" w:eastAsia="Arial" w:hAnsi="Arial"/>
          <w:sz w:val="17"/>
          <w:szCs w:val="17"/>
          <w:b w:val="1"/>
          <w:bCs w:val="1"/>
          <w:i w:val="1"/>
          <w:iCs w:val="1"/>
          <w:color w:val="auto"/>
        </w:rPr>
        <w:t>Data provided by collaborators and others upon which we rely that has not been independently verified could turn out to be false, misleading, or incomplete.</w:t>
      </w:r>
    </w:p>
    <w:p>
      <w:pPr>
        <w:spacing w:after="0" w:line="166" w:lineRule="exact"/>
        <w:rPr>
          <w:sz w:val="20"/>
          <w:szCs w:val="20"/>
          <w:color w:val="auto"/>
        </w:rPr>
      </w:pPr>
    </w:p>
    <w:p>
      <w:pPr>
        <w:ind w:left="500" w:right="120" w:firstLine="819"/>
        <w:spacing w:after="0" w:line="257" w:lineRule="auto"/>
        <w:rPr>
          <w:sz w:val="20"/>
          <w:szCs w:val="20"/>
          <w:color w:val="auto"/>
        </w:rPr>
      </w:pPr>
      <w:r>
        <w:rPr>
          <w:rFonts w:ascii="Arial" w:cs="Arial" w:eastAsia="Arial" w:hAnsi="Arial"/>
          <w:sz w:val="17"/>
          <w:szCs w:val="17"/>
          <w:color w:val="auto"/>
        </w:rPr>
        <w:t>We rely on third-party vendors, such as CROs, scientists and collaborators to provide us with significant data and other information related to our projects, pre-clinical studies or clinical trials and our business. If such third parties provide inaccurate, misleading or incomplete data, our business, prospects and results of operations could be materially adversely affected.</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740"/>
          </w:cols>
          <w:pgMar w:left="320" w:top="437" w:right="8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60"/>
        <w:spacing w:after="0" w:line="253" w:lineRule="auto"/>
        <w:rPr>
          <w:sz w:val="20"/>
          <w:szCs w:val="20"/>
          <w:color w:val="auto"/>
        </w:rPr>
      </w:pPr>
      <w:r>
        <w:rPr>
          <w:rFonts w:ascii="Arial" w:cs="Arial" w:eastAsia="Arial" w:hAnsi="Arial"/>
          <w:sz w:val="17"/>
          <w:szCs w:val="17"/>
          <w:b w:val="1"/>
          <w:bCs w:val="1"/>
          <w:i w:val="1"/>
          <w:iCs w:val="1"/>
          <w:color w:val="auto"/>
        </w:rPr>
        <w:t>We do not have multiple sources of supply for some of the components used in LYR-210 or LYR-220, nor long-term supply contracts, and certain of our suppliers are critical to our production. If we were to lose a supplier, it could have a material adverse effect on our ability to complete the development of LYR-210 or LYR-220. If we obtain regulatory approval for LYR-210 or LYR-220, we would need to expand the supply of their components in order to commercialize them.</w:t>
      </w:r>
    </w:p>
    <w:p>
      <w:pPr>
        <w:spacing w:after="0" w:line="180" w:lineRule="exact"/>
        <w:rPr>
          <w:sz w:val="20"/>
          <w:szCs w:val="20"/>
          <w:color w:val="auto"/>
        </w:rPr>
      </w:pPr>
    </w:p>
    <w:p>
      <w:pPr>
        <w:ind w:left="500" w:right="40" w:firstLine="819"/>
        <w:spacing w:after="0" w:line="268" w:lineRule="auto"/>
        <w:rPr>
          <w:sz w:val="20"/>
          <w:szCs w:val="20"/>
          <w:color w:val="auto"/>
        </w:rPr>
      </w:pPr>
      <w:r>
        <w:rPr>
          <w:rFonts w:ascii="Arial" w:cs="Arial" w:eastAsia="Arial" w:hAnsi="Arial"/>
          <w:sz w:val="16"/>
          <w:szCs w:val="16"/>
          <w:color w:val="auto"/>
        </w:rPr>
        <w:t>We do not have multiple sources of supply for the components used in the manufacturing of LYR-210 or LYR-220. We also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in supply. Manufacturing suppliers are also subject to local, state and federal regulations and licensing requirements. Failure by any of our suppliers to comply with all applicable regulations and requirements may result in long delays and interruptions in supply.</w:t>
      </w:r>
    </w:p>
    <w:p>
      <w:pPr>
        <w:spacing w:after="0" w:line="169"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The number of suppliers of the raw material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Additionally, certain of our suppliers are critical to our production and the loss of these suppliers to one of our competitors or otherwise would materially and adversely affect our development and commercialization efforts.</w:t>
      </w:r>
    </w:p>
    <w:p>
      <w:pPr>
        <w:spacing w:after="0" w:line="183"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4" w:lineRule="exact"/>
        <w:rPr>
          <w:sz w:val="20"/>
          <w:szCs w:val="20"/>
          <w:color w:val="auto"/>
        </w:rPr>
      </w:pPr>
    </w:p>
    <w:p>
      <w:pPr>
        <w:ind w:left="500" w:right="280" w:firstLine="819"/>
        <w:spacing w:after="0" w:line="335" w:lineRule="auto"/>
        <w:rPr>
          <w:sz w:val="20"/>
          <w:szCs w:val="20"/>
          <w:color w:val="auto"/>
        </w:rPr>
      </w:pPr>
      <w:r>
        <w:rPr>
          <w:rFonts w:ascii="Arial" w:cs="Arial" w:eastAsia="Arial" w:hAnsi="Arial"/>
          <w:sz w:val="15"/>
          <w:szCs w:val="15"/>
          <w:color w:val="auto"/>
        </w:rPr>
        <w:t>If we are unable to obtain the supplies we need at a reasonable price or on a timely basis, it could have a material adverse effect on our ability to complete the development of LYR-210 or LYR-220 or, if we obtain regulatory approval for LYR-210 or LYR-220, to commercialize them.</w:t>
      </w:r>
    </w:p>
    <w:p>
      <w:pPr>
        <w:spacing w:after="0" w:line="121" w:lineRule="exact"/>
        <w:rPr>
          <w:sz w:val="20"/>
          <w:szCs w:val="20"/>
          <w:color w:val="auto"/>
        </w:rPr>
      </w:pPr>
    </w:p>
    <w:p>
      <w:pPr>
        <w:ind w:left="500"/>
        <w:spacing w:after="0" w:line="299" w:lineRule="auto"/>
        <w:rPr>
          <w:sz w:val="20"/>
          <w:szCs w:val="20"/>
          <w:color w:val="auto"/>
        </w:rPr>
      </w:pPr>
      <w:r>
        <w:rPr>
          <w:rFonts w:ascii="Arial" w:cs="Arial" w:eastAsia="Arial" w:hAnsi="Arial"/>
          <w:sz w:val="16"/>
          <w:szCs w:val="16"/>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revenues.</w:t>
      </w:r>
    </w:p>
    <w:p>
      <w:pPr>
        <w:spacing w:after="0" w:line="144" w:lineRule="exact"/>
        <w:rPr>
          <w:sz w:val="20"/>
          <w:szCs w:val="20"/>
          <w:color w:val="auto"/>
        </w:rPr>
      </w:pPr>
    </w:p>
    <w:p>
      <w:pPr>
        <w:ind w:left="500" w:right="120" w:firstLine="819"/>
        <w:spacing w:after="0" w:line="287" w:lineRule="auto"/>
        <w:rPr>
          <w:sz w:val="20"/>
          <w:szCs w:val="20"/>
          <w:color w:val="auto"/>
        </w:rPr>
      </w:pPr>
      <w:r>
        <w:rPr>
          <w:rFonts w:ascii="Arial" w:cs="Arial" w:eastAsia="Arial" w:hAnsi="Arial"/>
          <w:sz w:val="15"/>
          <w:szCs w:val="15"/>
          <w:color w:val="auto"/>
        </w:rPr>
        <w:t>In the ordinary course of our business, we may enter into collaborations, in-licensing arrangements, joint ventures, strategic alliances, partnerships or other arrangements to develop new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95"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700"/>
          </w:cols>
          <w:pgMar w:left="320" w:top="437" w:right="87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firstLine="819"/>
        <w:spacing w:after="0" w:line="265" w:lineRule="auto"/>
        <w:rPr>
          <w:sz w:val="20"/>
          <w:szCs w:val="20"/>
          <w:color w:val="auto"/>
        </w:rPr>
      </w:pPr>
      <w:r>
        <w:rPr>
          <w:rFonts w:ascii="Arial" w:cs="Arial" w:eastAsia="Arial" w:hAnsi="Arial"/>
          <w:sz w:val="16"/>
          <w:szCs w:val="16"/>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current or future collaborators, they may act in their self-interest, which may be adverse to our best interest, and they may breach their obligations to us. In addition, we may have limited control over the amount and timing of resources that any current or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175" w:lineRule="exact"/>
        <w:rPr>
          <w:sz w:val="20"/>
          <w:szCs w:val="20"/>
          <w:color w:val="auto"/>
        </w:rPr>
      </w:pPr>
    </w:p>
    <w:p>
      <w:pPr>
        <w:ind w:left="500" w:right="20" w:firstLine="819"/>
        <w:spacing w:after="0" w:line="286" w:lineRule="auto"/>
        <w:rPr>
          <w:sz w:val="20"/>
          <w:szCs w:val="20"/>
          <w:color w:val="auto"/>
        </w:rPr>
      </w:pPr>
      <w:r>
        <w:rPr>
          <w:rFonts w:ascii="Arial" w:cs="Arial" w:eastAsia="Arial" w:hAnsi="Arial"/>
          <w:sz w:val="15"/>
          <w:szCs w:val="15"/>
          <w:color w:val="auto"/>
        </w:rPr>
        <w:t>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are unable to obtain, maintain or adequately protect our intellectual property rights, we may not be able to compete effectively in our markets.</w:t>
      </w:r>
    </w:p>
    <w:p>
      <w:pPr>
        <w:spacing w:after="0" w:line="241" w:lineRule="exact"/>
        <w:rPr>
          <w:sz w:val="20"/>
          <w:szCs w:val="20"/>
          <w:color w:val="auto"/>
        </w:rPr>
      </w:pPr>
    </w:p>
    <w:p>
      <w:pPr>
        <w:ind w:left="500" w:right="520" w:firstLine="819"/>
        <w:spacing w:after="0" w:line="268"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our intellectual property and prevent others from duplicating LYR-210, LYR-220 and any future product candidates.</w:t>
      </w:r>
    </w:p>
    <w:p>
      <w:pPr>
        <w:spacing w:after="0" w:line="166"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The strength of patents in the biotechnology and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new products or methods that achieve similar results without infringing upon our patents. Any of these outcomes could impair our ability to prevent competition from third parties, which may have an adverse impact on our business.</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720"/>
          </w:cols>
          <w:pgMar w:left="320" w:top="437" w:right="8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firstLine="819"/>
        <w:spacing w:after="0" w:line="290" w:lineRule="auto"/>
        <w:rPr>
          <w:sz w:val="20"/>
          <w:szCs w:val="20"/>
          <w:color w:val="auto"/>
        </w:rPr>
      </w:pPr>
      <w:r>
        <w:rPr>
          <w:rFonts w:ascii="Arial" w:cs="Arial" w:eastAsia="Arial" w:hAnsi="Arial"/>
          <w:sz w:val="15"/>
          <w:szCs w:val="15"/>
          <w:color w:val="auto"/>
        </w:rPr>
        <w:t>If the patent applications we hold with respect to our programs or product candidates fail to issue, if their breadth or strength of protection is threatened, or if they fail to provide meaningful exclusivity for our product candidates, it could dissuade companies from collaborating with us to develop product candidates, and threaten our ability to commercialize future products. Several patent applications covering our product candidates have been filed recently. We cannot offer any assurances about which, if any, patents will issue,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w:t>
      </w:r>
    </w:p>
    <w:p>
      <w:pPr>
        <w:spacing w:after="0" w:line="155" w:lineRule="exact"/>
        <w:rPr>
          <w:sz w:val="20"/>
          <w:szCs w:val="20"/>
          <w:color w:val="auto"/>
        </w:rPr>
      </w:pPr>
    </w:p>
    <w:p>
      <w:pPr>
        <w:ind w:left="500" w:right="20" w:firstLine="819"/>
        <w:spacing w:after="0" w:line="287" w:lineRule="auto"/>
        <w:rPr>
          <w:sz w:val="20"/>
          <w:szCs w:val="20"/>
          <w:color w:val="auto"/>
        </w:rPr>
      </w:pPr>
      <w:r>
        <w:rPr>
          <w:rFonts w:ascii="Arial" w:cs="Arial" w:eastAsia="Arial" w:hAnsi="Arial"/>
          <w:sz w:val="15"/>
          <w:szCs w:val="15"/>
          <w:color w:val="auto"/>
        </w:rPr>
        <w:t>Further, if we encounter delays in regulatory approvals, the period of time during which we could market a product candidate under patent protection could be reduced.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before enactment of the Leahy-Smith Act on March 16, 2013, an interference proceeding in the United States can be initiated by a third party to determine who was the first to invent any of the subject matter covered by the patent claims of our applications. In addition, patents have a limited lifespan. In the United States, the expiration of a patent is generally 20 years after it is filed. Various extensions may be available; however, the life of a patent, and the protection it affords, is limited. Even if patents covering our product candidates are obtained, once the patent life has expired for the patent covering a product, we may be open to competition from generic competing products.</w:t>
      </w:r>
    </w:p>
    <w:p>
      <w:pPr>
        <w:spacing w:after="0" w:line="157" w:lineRule="exact"/>
        <w:rPr>
          <w:sz w:val="20"/>
          <w:szCs w:val="20"/>
          <w:color w:val="auto"/>
        </w:rPr>
      </w:pPr>
    </w:p>
    <w:p>
      <w:pPr>
        <w:ind w:left="500" w:right="140" w:firstLine="819"/>
        <w:spacing w:after="0" w:line="298" w:lineRule="auto"/>
        <w:rPr>
          <w:sz w:val="20"/>
          <w:szCs w:val="20"/>
          <w:color w:val="auto"/>
        </w:rPr>
      </w:pPr>
      <w:r>
        <w:rPr>
          <w:rFonts w:ascii="Arial" w:cs="Arial" w:eastAsia="Arial" w:hAnsi="Arial"/>
          <w:sz w:val="15"/>
          <w:szCs w:val="15"/>
          <w:color w:val="auto"/>
        </w:rPr>
        <w:t>The issuance of a patent is not conclusive as to its inventorship, ownership, scope, validity or enforceability, and our patents may be challenged in the courts or patent offices in the United States and abroad. In addition, the issuance of a patent does not give us the right to practice the patented invention. Third parties may have blocking patents that could prevent us from marketing our product candidate, if approved, or practicing our own patented technology. As a result, the issuance, scope, validity, enforceability and commercial value of our patent rights are highly uncertain.</w:t>
      </w:r>
    </w:p>
    <w:p>
      <w:pPr>
        <w:spacing w:after="0" w:line="148" w:lineRule="exact"/>
        <w:rPr>
          <w:sz w:val="20"/>
          <w:szCs w:val="20"/>
          <w:color w:val="auto"/>
        </w:rPr>
      </w:pPr>
    </w:p>
    <w:p>
      <w:pPr>
        <w:ind w:left="500" w:right="20" w:firstLine="819"/>
        <w:spacing w:after="0" w:line="287" w:lineRule="auto"/>
        <w:rPr>
          <w:sz w:val="20"/>
          <w:szCs w:val="20"/>
          <w:color w:val="auto"/>
        </w:rPr>
      </w:pPr>
      <w:r>
        <w:rPr>
          <w:rFonts w:ascii="Arial" w:cs="Arial" w:eastAsia="Arial" w:hAnsi="Arial"/>
          <w:sz w:val="15"/>
          <w:szCs w:val="15"/>
          <w:color w:val="auto"/>
        </w:rPr>
        <w:t>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Once disclosed, we are likely to lose trade secret protection.</w:t>
      </w:r>
    </w:p>
    <w:p>
      <w:pPr>
        <w:spacing w:after="0" w:line="157" w:lineRule="exact"/>
        <w:rPr>
          <w:sz w:val="20"/>
          <w:szCs w:val="20"/>
          <w:color w:val="auto"/>
        </w:rPr>
      </w:pPr>
    </w:p>
    <w:p>
      <w:pPr>
        <w:ind w:left="500" w:firstLine="819"/>
        <w:spacing w:after="0" w:line="286" w:lineRule="auto"/>
        <w:rPr>
          <w:sz w:val="20"/>
          <w:szCs w:val="20"/>
          <w:color w:val="auto"/>
        </w:rPr>
      </w:pPr>
      <w:r>
        <w:rPr>
          <w:rFonts w:ascii="Arial" w:cs="Arial" w:eastAsia="Arial" w:hAnsi="Arial"/>
          <w:sz w:val="15"/>
          <w:szCs w:val="15"/>
          <w:color w:val="auto"/>
        </w:rPr>
        <w:t>Although we require all of our employees and consultants to assign their inventions to us, to the extent that employees or consultants use intellectual property owned by others in their work for us, disputes may arise as to the rights in related or resulting know-how and inventions. Further, although we require that all of our employees, consultants, collaborators, advisors and any third parties who have access to our proprietary know-how, information or technology enter into confidentiality agreements, we cannot provide any assurances that our trade secrets and other confidential proprietary information will not be disclosed or that competitors will not otherwise gain access to our trade secrets or independently discover our trade secrets or develop substantially equivalent information and techniques. Any of these parties may breach these agreements and we may not have adequate remedies for any specific breach. Misappropriation or unauthorized disclosure of our trade secrets or other confidential proprietary information could impair our competitive position and may have a material adverse effect on our business. Enforcing a claim that a party illegally disclosed or misappropriated a trade secret is difficult, expensive and time-consuming, and the outcome is unpredictable. Additionally, if the steps taken to</w:t>
      </w:r>
    </w:p>
    <w:p>
      <w:pPr>
        <w:spacing w:after="0" w:line="9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40"/>
          </w:cols>
          <w:pgMar w:left="320" w:top="437" w:right="8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80"/>
        <w:spacing w:after="0" w:line="268" w:lineRule="auto"/>
        <w:rPr>
          <w:sz w:val="20"/>
          <w:szCs w:val="20"/>
          <w:color w:val="auto"/>
        </w:rPr>
      </w:pPr>
      <w:r>
        <w:rPr>
          <w:rFonts w:ascii="Arial" w:cs="Arial" w:eastAsia="Arial" w:hAnsi="Arial"/>
          <w:sz w:val="17"/>
          <w:szCs w:val="17"/>
          <w:color w:val="auto"/>
        </w:rPr>
        <w:t>maintain our trade secrets or other confidential proprietary information are deemed inadequate, we may have insufficient recourse against third parties for misappropriating the trade secret or other confidential proprietary information.</w:t>
      </w:r>
    </w:p>
    <w:p>
      <w:pPr>
        <w:spacing w:after="0" w:line="166" w:lineRule="exact"/>
        <w:rPr>
          <w:sz w:val="20"/>
          <w:szCs w:val="20"/>
          <w:color w:val="auto"/>
        </w:rPr>
      </w:pPr>
    </w:p>
    <w:p>
      <w:pPr>
        <w:ind w:left="500" w:right="40" w:firstLine="819"/>
        <w:spacing w:after="0" w:line="280" w:lineRule="auto"/>
        <w:rPr>
          <w:sz w:val="20"/>
          <w:szCs w:val="20"/>
          <w:color w:val="auto"/>
        </w:rPr>
      </w:pPr>
      <w:r>
        <w:rPr>
          <w:rFonts w:ascii="Arial" w:cs="Arial" w:eastAsia="Arial" w:hAnsi="Arial"/>
          <w:sz w:val="16"/>
          <w:szCs w:val="16"/>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206"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Our commercial success depends in part on our avoiding infringement, or allegations of infringement, of the patents and other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reexamination, and inter partes review proceedings before the United States Patent and Trademark Office, or USPTO, and corresponding foreign patent offices. Numerous U.S. and foreign issued patents and pending patent applications, which are owned by third parties, exist in the fields in which we are pursuing development candidates. Many companies in intellectual property-dependent industries, including the biotechnology and pharmaceutical industries, have employed intellectual property litigation as a means to gain an advantage over their competitors. As the biotechnology and pharmaceutical industries expand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157" w:lineRule="exact"/>
        <w:rPr>
          <w:sz w:val="20"/>
          <w:szCs w:val="20"/>
          <w:color w:val="auto"/>
        </w:rPr>
      </w:pPr>
    </w:p>
    <w:p>
      <w:pPr>
        <w:ind w:left="500" w:firstLine="819"/>
        <w:spacing w:after="0" w:line="284" w:lineRule="auto"/>
        <w:rPr>
          <w:sz w:val="20"/>
          <w:szCs w:val="20"/>
          <w:color w:val="auto"/>
        </w:rPr>
      </w:pPr>
      <w:r>
        <w:rPr>
          <w:rFonts w:ascii="Arial" w:cs="Arial" w:eastAsia="Arial" w:hAnsi="Arial"/>
          <w:sz w:val="15"/>
          <w:szCs w:val="15"/>
          <w:color w:val="auto"/>
        </w:rPr>
        <w:t>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third 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 subject to certain limitations, be later amended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If any third-party patents were held by a court of competent jurisdiction to cover the composition of matter of any of our product candidates, the manufacturing process of any of our product candidates, the method of use for any of our product candidates, the holders of any such patents may be able to block our ability to commercialize such product candidate unless we obtained a license under the applicable patents, which may not be available or may not be available on commercially reasonable terms, or until such patents expire.</w:t>
      </w:r>
    </w:p>
    <w:p>
      <w:pPr>
        <w:spacing w:after="0" w:line="158" w:lineRule="exact"/>
        <w:rPr>
          <w:sz w:val="20"/>
          <w:szCs w:val="20"/>
          <w:color w:val="auto"/>
        </w:rPr>
      </w:pPr>
    </w:p>
    <w:p>
      <w:pPr>
        <w:ind w:left="500" w:right="20" w:firstLine="819"/>
        <w:spacing w:after="0" w:line="274"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the event of a successful claim of infringement against us, we may have to pay substantial damages,</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740"/>
          </w:cols>
          <w:pgMar w:left="320" w:top="437" w:right="8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50" w:lineRule="auto"/>
        <w:rPr>
          <w:sz w:val="20"/>
          <w:szCs w:val="20"/>
          <w:color w:val="auto"/>
        </w:rPr>
      </w:pPr>
      <w:r>
        <w:rPr>
          <w:rFonts w:ascii="Arial" w:cs="Arial" w:eastAsia="Arial" w:hAnsi="Arial"/>
          <w:sz w:val="17"/>
          <w:szCs w:val="17"/>
          <w:color w:val="auto"/>
        </w:rPr>
        <w:t>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w:t>
      </w:r>
    </w:p>
    <w:p>
      <w:pPr>
        <w:spacing w:after="0" w:line="184" w:lineRule="exact"/>
        <w:rPr>
          <w:sz w:val="20"/>
          <w:szCs w:val="20"/>
          <w:color w:val="auto"/>
        </w:rPr>
      </w:pPr>
    </w:p>
    <w:p>
      <w:pPr>
        <w:ind w:left="500" w:right="460"/>
        <w:spacing w:after="0" w:line="26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other intellectual property, which could be expensive, time-consuming and unsuccessful.</w:t>
      </w:r>
    </w:p>
    <w:p>
      <w:pPr>
        <w:spacing w:after="0" w:line="166" w:lineRule="exact"/>
        <w:rPr>
          <w:sz w:val="20"/>
          <w:szCs w:val="20"/>
          <w:color w:val="auto"/>
        </w:rPr>
      </w:pPr>
    </w:p>
    <w:p>
      <w:pPr>
        <w:ind w:left="500" w:right="160" w:firstLine="819"/>
        <w:spacing w:after="0" w:line="288" w:lineRule="auto"/>
        <w:rPr>
          <w:sz w:val="20"/>
          <w:szCs w:val="20"/>
          <w:color w:val="auto"/>
        </w:rPr>
      </w:pPr>
      <w:r>
        <w:rPr>
          <w:rFonts w:ascii="Arial" w:cs="Arial" w:eastAsia="Arial" w:hAnsi="Arial"/>
          <w:sz w:val="15"/>
          <w:szCs w:val="15"/>
          <w:color w:val="auto"/>
        </w:rPr>
        <w:t>Competitors may infringe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claims on a country-by-country basis, which can be expensive and time-consuming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also provoke these parties to assert counterclaims against us alleging that we infringe their patents, in addition to counterclaims asserting that our patents are invalid or unenforceable, or both.</w:t>
      </w:r>
    </w:p>
    <w:p>
      <w:pPr>
        <w:spacing w:after="0" w:line="158" w:lineRule="exact"/>
        <w:rPr>
          <w:sz w:val="20"/>
          <w:szCs w:val="20"/>
          <w:color w:val="auto"/>
        </w:rPr>
      </w:pPr>
    </w:p>
    <w:p>
      <w:pPr>
        <w:ind w:left="500" w:right="20" w:firstLine="819"/>
        <w:spacing w:after="0" w:line="249" w:lineRule="auto"/>
        <w:rPr>
          <w:sz w:val="20"/>
          <w:szCs w:val="20"/>
          <w:color w:val="auto"/>
        </w:rPr>
      </w:pPr>
      <w:r>
        <w:rPr>
          <w:rFonts w:ascii="Arial" w:cs="Arial" w:eastAsia="Arial" w:hAnsi="Arial"/>
          <w:sz w:val="17"/>
          <w:szCs w:val="17"/>
          <w:color w:val="auto"/>
        </w:rPr>
        <w:t>In addition, in an infringement proceeding, a court may decide that a patent of ours is not valid, is unenforceable and/or is not infringed, or may construe the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183" w:lineRule="exact"/>
        <w:rPr>
          <w:sz w:val="20"/>
          <w:szCs w:val="20"/>
          <w:color w:val="auto"/>
        </w:rPr>
      </w:pPr>
    </w:p>
    <w:p>
      <w:pPr>
        <w:ind w:left="500" w:right="60" w:firstLine="819"/>
        <w:spacing w:after="0" w:line="293" w:lineRule="auto"/>
        <w:rPr>
          <w:sz w:val="20"/>
          <w:szCs w:val="20"/>
          <w:color w:val="auto"/>
        </w:rPr>
      </w:pPr>
      <w:r>
        <w:rPr>
          <w:rFonts w:ascii="Arial" w:cs="Arial" w:eastAsia="Arial" w:hAnsi="Arial"/>
          <w:sz w:val="15"/>
          <w:szCs w:val="15"/>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52" w:lineRule="exact"/>
        <w:rPr>
          <w:sz w:val="20"/>
          <w:szCs w:val="20"/>
          <w:color w:val="auto"/>
        </w:rPr>
      </w:pPr>
    </w:p>
    <w:p>
      <w:pPr>
        <w:ind w:left="500" w:right="760"/>
        <w:spacing w:after="0" w:line="299" w:lineRule="auto"/>
        <w:rPr>
          <w:sz w:val="20"/>
          <w:szCs w:val="20"/>
          <w:color w:val="auto"/>
        </w:rPr>
      </w:pPr>
      <w:r>
        <w:rPr>
          <w:rFonts w:ascii="Arial" w:cs="Arial" w:eastAsia="Arial" w:hAnsi="Arial"/>
          <w:sz w:val="16"/>
          <w:szCs w:val="16"/>
          <w:b w:val="1"/>
          <w:bCs w:val="1"/>
          <w:i w:val="1"/>
          <w:iCs w:val="1"/>
          <w:color w:val="auto"/>
        </w:rPr>
        <w:t>Recent patent reform legislation has increased the uncertainties and costs surrounding the prosecution of our patent applications and the enforcement or defense of our issued patents, and may diminish the value of patents in general.</w:t>
      </w:r>
    </w:p>
    <w:p>
      <w:pPr>
        <w:spacing w:after="0" w:line="144"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As is the case with other biopharmaceutical companies, our commercial success is heavily dependent on intellectual property, particularly patents. Obtaining and enforcing patents in the biopharmaceutical industry involves both technological and legal complexity and is therefore costly, time consuming and inherently uncertain. Recent wide-ranging patent reform legislation in the United States, including the Leahy-Smith America Invents Act, or the Leahy-Smith Act, could increase those uncertainties and costs.</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720"/>
          </w:cols>
          <w:pgMar w:left="320" w:top="437" w:right="8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The Leahy-Smith Act includes a number of significant changes to U.S. patent law, including provisions that affect the way patent applications are prosecuted and may also affect patent litigation. Under The Leahy-Smith Act, the United States transitioned from a “first-to-invent” to a “first-to-file” system for deciding which party should be granted a patent when two or more patent applications are filed by different parties claiming the same invention. This will require us to be cognizant going forward of the time from invention to filing of a patent application and be diligent in filing patent applications, but circumstances could prevent us from promptly filing patent applications on our inventions. The Leahy-Smith Act also enlarged the scope of disclosures that qualify as prior art, and it expanded the scope of procedures that a third party may use to challenge a U.S. patent, including post grant review and inter partes review procedures.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57" w:lineRule="exact"/>
        <w:rPr>
          <w:sz w:val="20"/>
          <w:szCs w:val="20"/>
          <w:color w:val="auto"/>
        </w:rPr>
      </w:pPr>
    </w:p>
    <w:p>
      <w:pPr>
        <w:ind w:left="500" w:right="160" w:firstLine="819"/>
        <w:spacing w:after="0" w:line="250" w:lineRule="auto"/>
        <w:rPr>
          <w:sz w:val="20"/>
          <w:szCs w:val="20"/>
          <w:color w:val="auto"/>
        </w:rPr>
      </w:pPr>
      <w:r>
        <w:rPr>
          <w:rFonts w:ascii="Arial" w:cs="Arial" w:eastAsia="Arial" w:hAnsi="Arial"/>
          <w:sz w:val="17"/>
          <w:szCs w:val="17"/>
          <w:color w:val="auto"/>
        </w:rPr>
        <w:t xml:space="preserve">In addition, recent court rulings in cases such as </w:t>
      </w:r>
      <w:r>
        <w:rPr>
          <w:rFonts w:ascii="Arial" w:cs="Arial" w:eastAsia="Arial" w:hAnsi="Arial"/>
          <w:sz w:val="17"/>
          <w:szCs w:val="17"/>
          <w:i w:val="1"/>
          <w:iCs w:val="1"/>
          <w:color w:val="auto"/>
        </w:rPr>
        <w:t>Association for Molecular Pathology v. Myriad Genetics, Inc., BRCA1-</w:t>
      </w:r>
      <w:r>
        <w:rPr>
          <w:rFonts w:ascii="Arial" w:cs="Arial" w:eastAsia="Arial" w:hAnsi="Arial"/>
          <w:sz w:val="17"/>
          <w:szCs w:val="17"/>
          <w:color w:val="auto"/>
        </w:rPr>
        <w:t xml:space="preserve"> &amp; </w:t>
      </w:r>
      <w:r>
        <w:rPr>
          <w:rFonts w:ascii="Arial" w:cs="Arial" w:eastAsia="Arial" w:hAnsi="Arial"/>
          <w:sz w:val="17"/>
          <w:szCs w:val="17"/>
          <w:i w:val="1"/>
          <w:iCs w:val="1"/>
          <w:color w:val="auto"/>
        </w:rPr>
        <w:t>BRCA2-Based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Hereditary Cancer Test Patent Litigation,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Promega Corp. v. Life Technologies Corp. </w:t>
      </w:r>
      <w:r>
        <w:rPr>
          <w:rFonts w:ascii="Arial" w:cs="Arial" w:eastAsia="Arial" w:hAnsi="Arial"/>
          <w:sz w:val="17"/>
          <w:szCs w:val="17"/>
          <w:color w:val="auto"/>
        </w:rPr>
        <w:t>have narrowed the scope of patent protection available in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1" w:lineRule="exact"/>
        <w:rPr>
          <w:sz w:val="20"/>
          <w:szCs w:val="20"/>
          <w:color w:val="auto"/>
        </w:rPr>
      </w:pPr>
    </w:p>
    <w:p>
      <w:pPr>
        <w:ind w:left="500" w:right="60"/>
        <w:spacing w:after="0" w:line="335"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1" w:lineRule="exact"/>
        <w:rPr>
          <w:sz w:val="20"/>
          <w:szCs w:val="20"/>
          <w:color w:val="auto"/>
        </w:rPr>
      </w:pPr>
    </w:p>
    <w:p>
      <w:pPr>
        <w:ind w:left="500" w:right="20" w:firstLine="819"/>
        <w:spacing w:after="0" w:line="267" w:lineRule="auto"/>
        <w:rPr>
          <w:sz w:val="20"/>
          <w:szCs w:val="20"/>
          <w:color w:val="auto"/>
        </w:rPr>
      </w:pPr>
      <w:r>
        <w:rPr>
          <w:rFonts w:ascii="Arial" w:cs="Arial" w:eastAsia="Arial" w:hAnsi="Arial"/>
          <w:sz w:val="16"/>
          <w:szCs w:val="16"/>
          <w:color w:val="auto"/>
        </w:rPr>
        <w:t>We may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w:t>
      </w:r>
    </w:p>
    <w:p>
      <w:pPr>
        <w:spacing w:after="0" w:line="170" w:lineRule="exact"/>
        <w:rPr>
          <w:sz w:val="20"/>
          <w:szCs w:val="20"/>
          <w:color w:val="auto"/>
        </w:rPr>
      </w:pPr>
    </w:p>
    <w:p>
      <w:pPr>
        <w:jc w:val="both"/>
        <w:ind w:left="500" w:right="260"/>
        <w:spacing w:after="0" w:line="257"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500" w:right="60" w:firstLine="819"/>
        <w:spacing w:after="0" w:line="251" w:lineRule="auto"/>
        <w:rPr>
          <w:sz w:val="20"/>
          <w:szCs w:val="20"/>
          <w:color w:val="auto"/>
        </w:rPr>
      </w:pPr>
      <w:r>
        <w:rPr>
          <w:rFonts w:ascii="Arial" w:cs="Arial" w:eastAsia="Arial" w:hAnsi="Arial"/>
          <w:sz w:val="17"/>
          <w:szCs w:val="17"/>
          <w:color w:val="auto"/>
        </w:rPr>
        <w:t>The USPTO, European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these fees due to non-U.S.</w:t>
      </w:r>
    </w:p>
    <w:p>
      <w:pPr>
        <w:spacing w:after="0" w:line="12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20"/>
          </w:cols>
          <w:pgMar w:left="320" w:top="437" w:right="8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60"/>
        <w:spacing w:after="0" w:line="250" w:lineRule="auto"/>
        <w:rPr>
          <w:sz w:val="20"/>
          <w:szCs w:val="20"/>
          <w:color w:val="auto"/>
        </w:rPr>
      </w:pPr>
      <w:r>
        <w:rPr>
          <w:rFonts w:ascii="Arial" w:cs="Arial" w:eastAsia="Arial" w:hAnsi="Arial"/>
          <w:sz w:val="17"/>
          <w:szCs w:val="17"/>
          <w:color w:val="auto"/>
        </w:rPr>
        <w:t>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which could have a material adverse effect on our business.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w:t>
      </w:r>
    </w:p>
    <w:p>
      <w:pPr>
        <w:spacing w:after="0" w:line="206" w:lineRule="exact"/>
        <w:rPr>
          <w:sz w:val="20"/>
          <w:szCs w:val="20"/>
          <w:color w:val="auto"/>
        </w:rPr>
      </w:pPr>
    </w:p>
    <w:p>
      <w:pPr>
        <w:ind w:left="500" w:right="40" w:firstLine="819"/>
        <w:spacing w:after="0" w:line="250" w:lineRule="auto"/>
        <w:rPr>
          <w:sz w:val="20"/>
          <w:szCs w:val="20"/>
          <w:color w:val="auto"/>
        </w:rPr>
      </w:pPr>
      <w:r>
        <w:rPr>
          <w:rFonts w:ascii="Arial" w:cs="Arial" w:eastAsia="Arial" w:hAnsi="Arial"/>
          <w:sz w:val="17"/>
          <w:szCs w:val="17"/>
          <w:color w:val="auto"/>
        </w:rPr>
        <w:t>If we initiated legal proceedings against a third party to enforce a patent covering one of our product candidates, the defendant could counterclaim that the patent covering our product candidate is invalid and/or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w:t>
      </w:r>
    </w:p>
    <w:p>
      <w:pPr>
        <w:spacing w:after="0" w:line="184" w:lineRule="exact"/>
        <w:rPr>
          <w:sz w:val="20"/>
          <w:szCs w:val="20"/>
          <w:color w:val="auto"/>
        </w:rPr>
      </w:pPr>
    </w:p>
    <w:p>
      <w:pPr>
        <w:ind w:left="500" w:right="100" w:firstLine="819"/>
        <w:spacing w:after="0" w:line="335" w:lineRule="auto"/>
        <w:rPr>
          <w:sz w:val="20"/>
          <w:szCs w:val="20"/>
          <w:color w:val="auto"/>
        </w:rPr>
      </w:pPr>
      <w:r>
        <w:rPr>
          <w:rFonts w:ascii="Arial" w:cs="Arial" w:eastAsia="Arial" w:hAnsi="Arial"/>
          <w:sz w:val="15"/>
          <w:szCs w:val="15"/>
          <w:color w:val="auto"/>
        </w:rPr>
        <w:t>Such mechanisms include re-examination, post grant review, and equivalent proceedings in foreign jurisdictions (e.g., opposition proceedings). Such proceedings could result in revocation or amendment to our patents in such a way that they no longer cover our product candidates.</w:t>
      </w:r>
    </w:p>
    <w:p>
      <w:pPr>
        <w:spacing w:after="0" w:line="121" w:lineRule="exact"/>
        <w:rPr>
          <w:sz w:val="20"/>
          <w:szCs w:val="20"/>
          <w:color w:val="auto"/>
        </w:rPr>
      </w:pPr>
    </w:p>
    <w:p>
      <w:pPr>
        <w:ind w:left="500" w:right="20" w:firstLine="819"/>
        <w:spacing w:after="0" w:line="269" w:lineRule="auto"/>
        <w:rPr>
          <w:sz w:val="20"/>
          <w:szCs w:val="20"/>
          <w:color w:val="auto"/>
        </w:rPr>
      </w:pPr>
      <w:r>
        <w:rPr>
          <w:rFonts w:ascii="Arial" w:cs="Arial" w:eastAsia="Arial" w:hAnsi="Arial"/>
          <w:sz w:val="16"/>
          <w:szCs w:val="16"/>
          <w:color w:val="auto"/>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 candidates. Such a loss of patent protection could have a material adverse impact on our business. A defendant could also challenge our ownership of patents assigned to us. We cannot be certain that a third party would not challenge our rights to these patents and patent applications. Any legal proceeding or enforcement action can also be expensive and time-consuming.</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products for an adequate amount of time.</w:t>
      </w:r>
    </w:p>
    <w:p>
      <w:pPr>
        <w:spacing w:after="0" w:line="206" w:lineRule="exact"/>
        <w:rPr>
          <w:sz w:val="20"/>
          <w:szCs w:val="20"/>
          <w:color w:val="auto"/>
        </w:rPr>
      </w:pPr>
    </w:p>
    <w:p>
      <w:pPr>
        <w:ind w:left="500" w:firstLine="819"/>
        <w:spacing w:after="0" w:line="284" w:lineRule="auto"/>
        <w:rPr>
          <w:sz w:val="20"/>
          <w:szCs w:val="20"/>
          <w:color w:val="auto"/>
        </w:rPr>
      </w:pPr>
      <w:r>
        <w:rPr>
          <w:rFonts w:ascii="Arial" w:cs="Arial" w:eastAsia="Arial" w:hAnsi="Arial"/>
          <w:sz w:val="15"/>
          <w:szCs w:val="15"/>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 commercialized. For patents that are eligible for extension of patent term, we expect to seek extensions of patent terms in the United States and, if available, in other countries.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We might not be granted an extension because of, for example, failure to apply within applicable periods, failure to apply prior to the expiration of relevant patents or otherwise failure to satisfy any of the numerous applicable requirements.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w:t>
      </w:r>
    </w:p>
    <w:p>
      <w:pPr>
        <w:spacing w:after="0" w:line="9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720"/>
          </w:cols>
          <w:pgMar w:left="320" w:top="437" w:right="8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earlier than might otherwise be the case. If this were to occur, it could have a material adverse effect on our ability to generate revenue.</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206" w:lineRule="exact"/>
        <w:rPr>
          <w:sz w:val="20"/>
          <w:szCs w:val="20"/>
          <w:color w:val="auto"/>
        </w:rPr>
      </w:pPr>
    </w:p>
    <w:p>
      <w:pPr>
        <w:ind w:left="500" w:right="120" w:firstLine="819"/>
        <w:spacing w:after="0" w:line="266" w:lineRule="auto"/>
        <w:rPr>
          <w:sz w:val="20"/>
          <w:szCs w:val="20"/>
          <w:color w:val="auto"/>
        </w:rPr>
      </w:pPr>
      <w:r>
        <w:rPr>
          <w:rFonts w:ascii="Arial" w:cs="Arial" w:eastAsia="Arial" w:hAnsi="Arial"/>
          <w:sz w:val="16"/>
          <w:szCs w:val="16"/>
          <w:color w:val="auto"/>
        </w:rPr>
        <w:t>Filing, prosecuting and defending our intellectual property in all countries throughout the world could be prohibitively expensive, and our intellectual property rights in some countries outside the United States can be less extensive than those in the United States. Therefore, we may choose not to pursue or maintain protection for certain intellectual property in certain jurisdictions.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such competitors from competing.</w:t>
      </w:r>
    </w:p>
    <w:p>
      <w:pPr>
        <w:spacing w:after="0" w:line="173"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In addition, many countries have compulsory licensing laws under which a patent owner may be compelled to grant licenses to third parties (for example, the patent owner has failed to “work” the invention in that country, or the third party has patented improvements) or limit the enforceability of patents against government agencies or government contractors. In these countries, the patent owner may have limited remedies, which could materially diminish the value of the patent.</w:t>
      </w:r>
    </w:p>
    <w:p>
      <w:pPr>
        <w:spacing w:after="0" w:line="173" w:lineRule="exact"/>
        <w:rPr>
          <w:sz w:val="20"/>
          <w:szCs w:val="20"/>
          <w:color w:val="auto"/>
        </w:rPr>
      </w:pPr>
    </w:p>
    <w:p>
      <w:pPr>
        <w:ind w:left="500" w:right="240"/>
        <w:spacing w:after="0" w:line="26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trademarks of interest and our business may be adversely affected.</w:t>
      </w:r>
    </w:p>
    <w:p>
      <w:pPr>
        <w:spacing w:after="0" w:line="166"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40"/>
          </w:cols>
          <w:pgMar w:left="320" w:top="437" w:right="8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85" w:lineRule="auto"/>
        <w:rPr>
          <w:sz w:val="20"/>
          <w:szCs w:val="20"/>
          <w:color w:val="auto"/>
        </w:rPr>
      </w:pPr>
      <w:r>
        <w:rPr>
          <w:rFonts w:ascii="Arial" w:cs="Arial" w:eastAsia="Arial" w:hAnsi="Arial"/>
          <w:sz w:val="15"/>
          <w:szCs w:val="15"/>
          <w:color w:val="auto"/>
        </w:rPr>
        <w:t>the long term, if we are unable to establish name recognition based on our trademarks,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spacing w:after="0" w:line="157" w:lineRule="exact"/>
        <w:rPr>
          <w:sz w:val="20"/>
          <w:szCs w:val="20"/>
          <w:color w:val="auto"/>
        </w:rPr>
      </w:pPr>
    </w:p>
    <w:p>
      <w:pPr>
        <w:ind w:left="500" w:right="240"/>
        <w:spacing w:after="0" w:line="268" w:lineRule="auto"/>
        <w:rPr>
          <w:sz w:val="20"/>
          <w:szCs w:val="20"/>
          <w:color w:val="auto"/>
        </w:rPr>
      </w:pPr>
      <w:r>
        <w:rPr>
          <w:rFonts w:ascii="Arial" w:cs="Arial" w:eastAsia="Arial" w:hAnsi="Arial"/>
          <w:sz w:val="17"/>
          <w:szCs w:val="17"/>
          <w:b w:val="1"/>
          <w:bCs w:val="1"/>
          <w:i w:val="1"/>
          <w:iCs w:val="1"/>
          <w:color w:val="auto"/>
        </w:rPr>
        <w:t>Our proprietary rights may not adequately protect our technologies and product candidates, and do not necessarily address all potential threats to our competitive advantage.</w:t>
      </w:r>
    </w:p>
    <w:p>
      <w:pPr>
        <w:spacing w:after="0" w:line="166" w:lineRule="exact"/>
        <w:rPr>
          <w:sz w:val="20"/>
          <w:szCs w:val="20"/>
          <w:color w:val="auto"/>
        </w:rPr>
      </w:pPr>
    </w:p>
    <w:p>
      <w:pPr>
        <w:ind w:left="500" w:right="60" w:firstLine="819"/>
        <w:spacing w:after="0" w:line="335"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6" w:lineRule="exact"/>
        <w:rPr>
          <w:sz w:val="20"/>
          <w:szCs w:val="20"/>
          <w:color w:val="auto"/>
        </w:rPr>
      </w:pPr>
    </w:p>
    <w:p>
      <w:pPr>
        <w:ind w:left="1720" w:right="60" w:hanging="301"/>
        <w:spacing w:after="0" w:line="268" w:lineRule="auto"/>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others may be able to make products that are the same as or similar to our product candidates but that are not covered by the claims of the patents that we own;</w:t>
      </w:r>
    </w:p>
    <w:p>
      <w:pPr>
        <w:spacing w:after="0" w:line="191" w:lineRule="exact"/>
        <w:rPr>
          <w:rFonts w:ascii="Arial" w:cs="Arial" w:eastAsia="Arial" w:hAnsi="Arial"/>
          <w:sz w:val="17"/>
          <w:szCs w:val="17"/>
          <w:color w:val="auto"/>
        </w:rPr>
      </w:pPr>
    </w:p>
    <w:p>
      <w:pPr>
        <w:ind w:left="1720" w:hanging="301"/>
        <w:spacing w:after="0" w:line="257" w:lineRule="auto"/>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others, including inventors or developers of our patented technologies who may become involved with competitors, may independently develop similar technologies that function as alternatives or replacements for any of our technologies without infringing our intellectual property rights;</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 might not have been the first to conceive and reduce to practice the inventions covered by our patents or patent applications;</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covering certain of our patents or patent applications;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patents;</w:t>
      </w:r>
    </w:p>
    <w:p>
      <w:pPr>
        <w:spacing w:after="0" w:line="231" w:lineRule="exact"/>
        <w:rPr>
          <w:rFonts w:ascii="Arial" w:cs="Arial" w:eastAsia="Arial" w:hAnsi="Arial"/>
          <w:sz w:val="17"/>
          <w:szCs w:val="17"/>
          <w:color w:val="auto"/>
        </w:rPr>
      </w:pPr>
    </w:p>
    <w:p>
      <w:pPr>
        <w:ind w:left="1720" w:right="340" w:hanging="301"/>
        <w:spacing w:after="0" w:line="268" w:lineRule="auto"/>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issued patents may not provide us with any commercially viable products or competitive advantage, or may be held invalid or unenforceable, as a result of legal challenges by our competitors;</w:t>
      </w:r>
    </w:p>
    <w:p>
      <w:pPr>
        <w:spacing w:after="0" w:line="191" w:lineRule="exact"/>
        <w:rPr>
          <w:rFonts w:ascii="Arial" w:cs="Arial" w:eastAsia="Arial" w:hAnsi="Arial"/>
          <w:sz w:val="17"/>
          <w:szCs w:val="17"/>
          <w:color w:val="auto"/>
        </w:rPr>
      </w:pPr>
    </w:p>
    <w:p>
      <w:pPr>
        <w:ind w:left="1720" w:right="60" w:hanging="301"/>
        <w:spacing w:after="0" w:line="257" w:lineRule="auto"/>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Supreme Court of the United States, other U.S. federal courts, Congress, the USPTO or similar foreign authorities may change the standards of patentability and any such changes could narrow or invalidate, or change the scope of, our or our collaboration partners’ patents;</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patent terms may be inadequate to protect our competitive position on our product candidates for an adequate amount of time;</w:t>
      </w:r>
    </w:p>
    <w:p>
      <w:pPr>
        <w:spacing w:after="0" w:line="242" w:lineRule="exact"/>
        <w:rPr>
          <w:rFonts w:ascii="Arial" w:cs="Arial" w:eastAsia="Arial" w:hAnsi="Arial"/>
          <w:sz w:val="16"/>
          <w:szCs w:val="16"/>
          <w:color w:val="auto"/>
        </w:rPr>
      </w:pPr>
    </w:p>
    <w:p>
      <w:pPr>
        <w:ind w:left="1720" w:right="260" w:hanging="301"/>
        <w:spacing w:after="0" w:line="268" w:lineRule="auto"/>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or in countries where research and development safe harbor laws exist, and then</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40"/>
          </w:cols>
          <w:pgMar w:left="320" w:top="437" w:right="8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use the information learned from such activities to develop competitive products for sale in our major commercial markets;</w:t>
      </w:r>
    </w:p>
    <w:p>
      <w:pPr>
        <w:spacing w:after="0" w:line="243" w:lineRule="exact"/>
        <w:rPr>
          <w:sz w:val="20"/>
          <w:szCs w:val="20"/>
          <w:color w:val="auto"/>
        </w:rPr>
      </w:pPr>
    </w:p>
    <w:p>
      <w:pPr>
        <w:ind w:left="1720" w:hanging="301"/>
        <w:spacing w:after="0"/>
        <w:tabs>
          <w:tab w:leader="none" w:pos="1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ownership, validity or enforceability of our patents or patent applications may be challenged by third parties;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patents of third parties or pending or future applications of third parties, if issued, may have an adverse effect on our business.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Risks Related to Employee Matters and Managing Growth</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expand our organization, and we may experience difficulties in managing this growth, which could disrupt our operations.</w:t>
      </w:r>
    </w:p>
    <w:p>
      <w:pPr>
        <w:spacing w:after="0" w:line="229" w:lineRule="exact"/>
        <w:rPr>
          <w:sz w:val="20"/>
          <w:szCs w:val="20"/>
          <w:color w:val="auto"/>
        </w:rPr>
      </w:pPr>
    </w:p>
    <w:p>
      <w:pPr>
        <w:ind w:left="500" w:firstLine="819"/>
        <w:spacing w:after="0" w:line="283" w:lineRule="auto"/>
        <w:rPr>
          <w:sz w:val="20"/>
          <w:szCs w:val="20"/>
          <w:color w:val="auto"/>
        </w:rPr>
      </w:pPr>
      <w:r>
        <w:rPr>
          <w:rFonts w:ascii="Arial" w:cs="Arial" w:eastAsia="Arial" w:hAnsi="Arial"/>
          <w:sz w:val="15"/>
          <w:szCs w:val="15"/>
          <w:color w:val="auto"/>
        </w:rPr>
        <w:t>We expect to experience significant growth in the number of our employees and the scope of our operations, particularly in the areas of product candidate development, regulatory affairs and sales, marketing and distribution. As of March 31, 2020, we had 34 full-time employees.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As we expand our organization, we may have difficulty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spacing w:after="0" w:line="163" w:lineRule="exact"/>
        <w:rPr>
          <w:sz w:val="20"/>
          <w:szCs w:val="20"/>
          <w:color w:val="auto"/>
        </w:rPr>
      </w:pPr>
    </w:p>
    <w:p>
      <w:pPr>
        <w:ind w:left="500" w:right="160" w:firstLine="819"/>
        <w:spacing w:after="0" w:line="253" w:lineRule="auto"/>
        <w:rPr>
          <w:sz w:val="20"/>
          <w:szCs w:val="20"/>
          <w:color w:val="auto"/>
        </w:rPr>
      </w:pPr>
      <w:r>
        <w:rPr>
          <w:rFonts w:ascii="Arial" w:cs="Arial" w:eastAsia="Arial" w:hAnsi="Arial"/>
          <w:sz w:val="17"/>
          <w:szCs w:val="17"/>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w:t>
      </w:r>
    </w:p>
    <w:p>
      <w:pPr>
        <w:spacing w:after="0" w:line="180" w:lineRule="exact"/>
        <w:rPr>
          <w:sz w:val="20"/>
          <w:szCs w:val="20"/>
          <w:color w:val="auto"/>
        </w:rPr>
      </w:pPr>
    </w:p>
    <w:p>
      <w:pPr>
        <w:ind w:left="500" w:right="760"/>
        <w:spacing w:after="0" w:line="268" w:lineRule="auto"/>
        <w:rPr>
          <w:sz w:val="20"/>
          <w:szCs w:val="20"/>
          <w:color w:val="auto"/>
        </w:rPr>
      </w:pPr>
      <w:r>
        <w:rPr>
          <w:rFonts w:ascii="Arial" w:cs="Arial" w:eastAsia="Arial" w:hAnsi="Arial"/>
          <w:sz w:val="17"/>
          <w:szCs w:val="17"/>
          <w:b w:val="1"/>
          <w:bCs w:val="1"/>
          <w:i w:val="1"/>
          <w:iCs w:val="1"/>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166"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We are highly dependent on our management and directors, including our chief executive officer, Maria Palasis, Ph.D., among others. Due to the specialized knowledge each of our officers and key employees possesses with respect to our product candidates and our operations, the loss of service of any of our officers or directors could delay or prevent the successful enrollment and completion of our clinical trials. We do not carry key person life insurance on our officers or directors. Although we have formal employment agreements with our executive officers, these agreements do not prevent them from terminating their employment with us at any time.</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740"/>
          </w:cols>
          <w:pgMar w:left="320" w:top="437" w:right="8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60" w:firstLine="819"/>
        <w:spacing w:after="0" w:line="285" w:lineRule="auto"/>
        <w:rPr>
          <w:sz w:val="20"/>
          <w:szCs w:val="20"/>
          <w:color w:val="auto"/>
        </w:rPr>
      </w:pPr>
      <w:r>
        <w:rPr>
          <w:rFonts w:ascii="Arial" w:cs="Arial" w:eastAsia="Arial" w:hAnsi="Arial"/>
          <w:sz w:val="15"/>
          <w:szCs w:val="15"/>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pacing w:after="0" w:line="157" w:lineRule="exact"/>
        <w:rPr>
          <w:sz w:val="20"/>
          <w:szCs w:val="20"/>
          <w:color w:val="auto"/>
        </w:rPr>
      </w:pPr>
    </w:p>
    <w:p>
      <w:pPr>
        <w:ind w:left="500" w:right="320" w:firstLine="819"/>
        <w:spacing w:after="0" w:line="271" w:lineRule="auto"/>
        <w:rPr>
          <w:sz w:val="20"/>
          <w:szCs w:val="20"/>
          <w:color w:val="auto"/>
        </w:rPr>
      </w:pPr>
      <w:r>
        <w:rPr>
          <w:rFonts w:ascii="Arial" w:cs="Arial" w:eastAsia="Arial" w:hAnsi="Arial"/>
          <w:sz w:val="16"/>
          <w:szCs w:val="16"/>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166" w:lineRule="exact"/>
        <w:rPr>
          <w:sz w:val="20"/>
          <w:szCs w:val="20"/>
          <w:color w:val="auto"/>
        </w:rPr>
      </w:pPr>
    </w:p>
    <w:p>
      <w:pPr>
        <w:ind w:left="500" w:right="300"/>
        <w:spacing w:after="0" w:line="299" w:lineRule="auto"/>
        <w:rPr>
          <w:sz w:val="20"/>
          <w:szCs w:val="20"/>
          <w:color w:val="auto"/>
        </w:rPr>
      </w:pPr>
      <w:r>
        <w:rPr>
          <w:rFonts w:ascii="Arial" w:cs="Arial" w:eastAsia="Arial" w:hAnsi="Arial"/>
          <w:sz w:val="16"/>
          <w:szCs w:val="16"/>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44" w:lineRule="exact"/>
        <w:rPr>
          <w:sz w:val="20"/>
          <w:szCs w:val="20"/>
          <w:color w:val="auto"/>
        </w:rPr>
      </w:pPr>
    </w:p>
    <w:p>
      <w:pPr>
        <w:ind w:left="500" w:right="40" w:firstLine="819"/>
        <w:spacing w:after="0" w:line="285" w:lineRule="auto"/>
        <w:rPr>
          <w:sz w:val="20"/>
          <w:szCs w:val="20"/>
          <w:color w:val="auto"/>
        </w:rPr>
      </w:pPr>
      <w:r>
        <w:rPr>
          <w:rFonts w:ascii="Arial" w:cs="Arial" w:eastAsia="Arial" w:hAnsi="Arial"/>
          <w:sz w:val="15"/>
          <w:szCs w:val="15"/>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61" w:lineRule="exact"/>
        <w:rPr>
          <w:sz w:val="20"/>
          <w:szCs w:val="20"/>
          <w:color w:val="auto"/>
        </w:rPr>
      </w:pPr>
    </w:p>
    <w:p>
      <w:pPr>
        <w:ind w:left="500" w:right="20"/>
        <w:spacing w:after="0" w:line="26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66"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w:t>
      </w:r>
    </w:p>
    <w:p>
      <w:pPr>
        <w:spacing w:after="0" w:line="12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740"/>
          </w:cols>
          <w:pgMar w:left="320" w:top="437" w:right="8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80"/>
        <w:spacing w:after="0" w:line="257" w:lineRule="auto"/>
        <w:rPr>
          <w:sz w:val="20"/>
          <w:szCs w:val="20"/>
          <w:color w:val="auto"/>
        </w:rPr>
      </w:pPr>
      <w:r>
        <w:rPr>
          <w:rFonts w:ascii="Arial" w:cs="Arial" w:eastAsia="Arial" w:hAnsi="Arial"/>
          <w:sz w:val="17"/>
          <w:szCs w:val="17"/>
          <w:color w:val="auto"/>
        </w:rPr>
        <w:t>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The global pandemic caused by COVID-19 could adversely impact our business and operations, including our clinical trials.</w:t>
      </w:r>
    </w:p>
    <w:p>
      <w:pPr>
        <w:spacing w:after="0" w:line="206" w:lineRule="exact"/>
        <w:rPr>
          <w:sz w:val="20"/>
          <w:szCs w:val="20"/>
          <w:color w:val="auto"/>
        </w:rPr>
      </w:pPr>
    </w:p>
    <w:p>
      <w:pPr>
        <w:ind w:left="500" w:firstLine="819"/>
        <w:spacing w:after="0" w:line="284" w:lineRule="auto"/>
        <w:rPr>
          <w:sz w:val="20"/>
          <w:szCs w:val="20"/>
          <w:color w:val="auto"/>
        </w:rPr>
      </w:pPr>
      <w:r>
        <w:rPr>
          <w:rFonts w:ascii="Arial" w:cs="Arial" w:eastAsia="Arial" w:hAnsi="Arial"/>
          <w:sz w:val="15"/>
          <w:szCs w:val="15"/>
          <w:color w:val="auto"/>
        </w:rPr>
        <w:t>In December 2019, a disease caused by a novel strain of the coronavirus, COVID-19, was identified in Wuhan, China. This virus continues to spread globally and, as of April 2020, has spread to a number of countries, including the United States, Australia, Austria, Czech Republic, New Zealand and Poland where we have planned or ongoing clinical trials and activities. On March 11, 2020, the World Health Organization declared the outbreak of COVID-19 as a global pandemic. The global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On March 23, 2020, the governor of Massachusetts ordered the closure of all non-essential businesses effective March 24, 2020, through April 7, 2020, which was subsequently extended through May 4, 2020. In light of recent developments relating to the COVID-19 global pandemic, the focus of healthcare providers and hospitals on fighting the virus, and consistent with the FDA’s updated industry guidance for conducting clinical trials issued on March 18, 2020, we discontinued enrollment at 67 patients in our ongoing Phase 2 LANTERN clinical trial and we currently do not plan to open any sites in the United States. We are leveraging remote electronic data collection to enable us to complete the clinical assessments and generate sufficient information to design our Phase 3 clinical trial. Furthermore, in response to the spread of COVID-19, we have closed our executive offices with our administrative employees continuing their work outside of our offices.</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As a result of the COVID-19 pandemic, we may experience further disruptions that could severely impact our business and clinical trials,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including:</w:t>
      </w:r>
    </w:p>
    <w:p>
      <w:pPr>
        <w:spacing w:after="0" w:line="219" w:lineRule="exact"/>
        <w:rPr>
          <w:sz w:val="20"/>
          <w:szCs w:val="20"/>
          <w:color w:val="auto"/>
        </w:rPr>
      </w:pPr>
    </w:p>
    <w:p>
      <w:pPr>
        <w:ind w:left="1720" w:hanging="301"/>
        <w:spacing w:after="0"/>
        <w:tabs>
          <w:tab w:leader="none" w:pos="1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delays or difficulties in enrolling patients in our planned clinical trials;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clinical site investigators and clinical site staff;</w:t>
      </w:r>
    </w:p>
    <w:p>
      <w:pPr>
        <w:spacing w:after="0" w:line="242" w:lineRule="exact"/>
        <w:rPr>
          <w:rFonts w:ascii="Arial" w:cs="Arial" w:eastAsia="Arial" w:hAnsi="Arial"/>
          <w:sz w:val="16"/>
          <w:szCs w:val="16"/>
          <w:color w:val="auto"/>
        </w:rPr>
      </w:pPr>
    </w:p>
    <w:p>
      <w:pPr>
        <w:ind w:left="1720" w:right="140" w:hanging="301"/>
        <w:spacing w:after="0" w:line="268" w:lineRule="auto"/>
        <w:tabs>
          <w:tab w:leader="none" w:pos="1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91" w:lineRule="exact"/>
        <w:rPr>
          <w:rFonts w:ascii="Arial" w:cs="Arial" w:eastAsia="Arial" w:hAnsi="Arial"/>
          <w:sz w:val="17"/>
          <w:szCs w:val="17"/>
          <w:color w:val="auto"/>
        </w:rPr>
      </w:pPr>
    </w:p>
    <w:p>
      <w:pPr>
        <w:ind w:left="1720" w:right="160" w:hanging="301"/>
        <w:spacing w:after="0" w:line="257" w:lineRule="auto"/>
        <w:tabs>
          <w:tab w:leader="none" w:pos="1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data monitoring, due to limitations on travel imposed or recommended by foreign, federal or state governments, employers and others or interruption of clinical trial subject visits and study procedures, which may impact the integrity of subject data and clinical study endpoints;</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interruption or delays in the operations of the FDA or other regulatory authorities, which may impact review and approval timelines;</w:t>
      </w:r>
    </w:p>
    <w:p>
      <w:pPr>
        <w:spacing w:after="0" w:line="254" w:lineRule="exact"/>
        <w:rPr>
          <w:rFonts w:ascii="Arial" w:cs="Arial" w:eastAsia="Arial" w:hAnsi="Arial"/>
          <w:sz w:val="15"/>
          <w:szCs w:val="15"/>
          <w:color w:val="auto"/>
        </w:rPr>
      </w:pPr>
    </w:p>
    <w:p>
      <w:pPr>
        <w:ind w:left="1720" w:right="480" w:hanging="301"/>
        <w:spacing w:after="0" w:line="268" w:lineRule="auto"/>
        <w:tabs>
          <w:tab w:leader="none" w:pos="1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due to staffing shortages, production slowdowns or stoppages and disruptions in delivery systems;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interruptions in planned pre-clinical studies due to restricted or limited operations at our laboratory facility;</w:t>
      </w:r>
    </w:p>
    <w:p>
      <w:pPr>
        <w:spacing w:after="0" w:line="143"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700"/>
          </w:cols>
          <w:pgMar w:left="320" w:top="437" w:right="8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140" w:hanging="301"/>
        <w:spacing w:after="0" w:line="335" w:lineRule="auto"/>
        <w:tabs>
          <w:tab w:leader="none" w:pos="17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46" w:lineRule="exact"/>
        <w:rPr>
          <w:rFonts w:ascii="Arial" w:cs="Arial" w:eastAsia="Arial" w:hAnsi="Arial"/>
          <w:sz w:val="15"/>
          <w:szCs w:val="15"/>
          <w:color w:val="auto"/>
        </w:rPr>
      </w:pPr>
    </w:p>
    <w:p>
      <w:pPr>
        <w:ind w:left="1720" w:right="180" w:hanging="301"/>
        <w:spacing w:after="0" w:line="268" w:lineRule="auto"/>
        <w:tabs>
          <w:tab w:leader="none" w:pos="1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refusal of the FDA to accept data from clinical trials in these affected geographies;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interruption or delays to our sourced discovery and clinical activities.</w:t>
      </w:r>
    </w:p>
    <w:p>
      <w:pPr>
        <w:spacing w:after="0" w:line="206" w:lineRule="exact"/>
        <w:rPr>
          <w:sz w:val="20"/>
          <w:szCs w:val="20"/>
          <w:color w:val="auto"/>
        </w:rPr>
      </w:pPr>
    </w:p>
    <w:p>
      <w:pPr>
        <w:ind w:left="500" w:firstLine="819"/>
        <w:spacing w:after="0" w:line="290" w:lineRule="auto"/>
        <w:rPr>
          <w:sz w:val="20"/>
          <w:szCs w:val="20"/>
          <w:color w:val="auto"/>
        </w:rPr>
      </w:pPr>
      <w:r>
        <w:rPr>
          <w:rFonts w:ascii="Arial" w:cs="Arial" w:eastAsia="Arial" w:hAnsi="Arial"/>
          <w:sz w:val="15"/>
          <w:szCs w:val="15"/>
          <w:color w:val="auto"/>
        </w:rPr>
        <w:t>Additionally, certain third parties, including manufacturers, medical institutions, clinical investigators, CROs and consultants with whom we conduct business are similarly adjusting their operations and assessing their capacity in light of the COVID-19 global pandemic. If these third parties continue to experience shutdowns or business disruptions, our ability to conduct our business in the manner and on the timelines presently planned could be materially and negatively impacted. For example, as a result of the COVID-19 global pandemic, there could be delays in the manufacturing supply chain for mometasone furoate, which could delay or otherwise impact the manufacturing of LYR-210. It is also likely that the disproportionate impact of COVID-19 on hospitals and clinical sites will have an impact on recruitment and retention for our planned clinical trials.</w:t>
      </w:r>
    </w:p>
    <w:p>
      <w:pPr>
        <w:spacing w:after="0" w:line="155" w:lineRule="exact"/>
        <w:rPr>
          <w:sz w:val="20"/>
          <w:szCs w:val="20"/>
          <w:color w:val="auto"/>
        </w:rPr>
      </w:pPr>
    </w:p>
    <w:p>
      <w:pPr>
        <w:ind w:left="500" w:right="20" w:firstLine="819"/>
        <w:spacing w:after="0" w:line="267" w:lineRule="auto"/>
        <w:rPr>
          <w:sz w:val="20"/>
          <w:szCs w:val="20"/>
          <w:color w:val="auto"/>
        </w:rPr>
      </w:pPr>
      <w:r>
        <w:rPr>
          <w:rFonts w:ascii="Arial" w:cs="Arial" w:eastAsia="Arial" w:hAnsi="Arial"/>
          <w:sz w:val="16"/>
          <w:szCs w:val="16"/>
          <w:color w:val="auto"/>
        </w:rPr>
        <w:t>The COVID-19 global pandemic continues to rapidly evolve. The extent to which the outbreak impacts our business and clinical trials will depend on future developments, which are highly uncertain and cannot be predicted with confidence, such as the ultimate geographic spread of COVID-19, the duration of the pandemic, travel restrictions and social distancing in the United States and other countries, business closures or business disruptions and the effectiveness of actions taken in the United States and other countries to contain and treat COVID-19. The COVID-19 global pandemic has resulted in a widespread health crisis that has adversely affected the economies and financial markets worldwide, resulting in an economic downturn that could continue to significantly impact our business, financial condition and results of operations. To the extent the COVID-19 pandemic adversely affects our business, financial condition and results of operations, it may also have the effect of heightening many of the other risks described in this “Risk Factors” section.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Litigation against us could be costly and time-consuming to defend and could result in additional liabilities.</w:t>
      </w:r>
    </w:p>
    <w:p>
      <w:pPr>
        <w:spacing w:after="0" w:line="206" w:lineRule="exact"/>
        <w:rPr>
          <w:sz w:val="20"/>
          <w:szCs w:val="20"/>
          <w:color w:val="auto"/>
        </w:rPr>
      </w:pPr>
    </w:p>
    <w:p>
      <w:pPr>
        <w:ind w:left="500" w:right="100" w:firstLine="819"/>
        <w:spacing w:after="0" w:line="307" w:lineRule="auto"/>
        <w:rPr>
          <w:sz w:val="20"/>
          <w:szCs w:val="20"/>
          <w:color w:val="auto"/>
        </w:rPr>
      </w:pPr>
      <w:r>
        <w:rPr>
          <w:rFonts w:ascii="Arial" w:cs="Arial" w:eastAsia="Arial" w:hAnsi="Arial"/>
          <w:sz w:val="15"/>
          <w:szCs w:val="15"/>
          <w:color w:val="auto"/>
        </w:rPr>
        <w:t>We may from time to time be subject to legal proceedings and claims that arise in the ordinary course of business or otherwise, such as claims brought by our customers in connection with commercial disputes and employment claims made by our current or former employees. Claims may also be asserted by or on behalf of a variety of other parties, including government agencies, patients or vendors of our customers, or stockholders.</w:t>
      </w:r>
    </w:p>
    <w:p>
      <w:pPr>
        <w:spacing w:after="0" w:line="141" w:lineRule="exact"/>
        <w:rPr>
          <w:sz w:val="20"/>
          <w:szCs w:val="20"/>
          <w:color w:val="auto"/>
        </w:rPr>
      </w:pPr>
    </w:p>
    <w:p>
      <w:pPr>
        <w:ind w:left="500" w:right="160" w:firstLine="819"/>
        <w:spacing w:after="0" w:line="251" w:lineRule="auto"/>
        <w:rPr>
          <w:sz w:val="20"/>
          <w:szCs w:val="20"/>
          <w:color w:val="auto"/>
        </w:rPr>
      </w:pPr>
      <w:r>
        <w:rPr>
          <w:rFonts w:ascii="Arial" w:cs="Arial" w:eastAsia="Arial" w:hAnsi="Arial"/>
          <w:sz w:val="17"/>
          <w:szCs w:val="17"/>
          <w:color w:val="auto"/>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An active trading market for our common stock may not develop.</w:t>
      </w:r>
    </w:p>
    <w:p>
      <w:pPr>
        <w:spacing w:after="0" w:line="206" w:lineRule="exact"/>
        <w:rPr>
          <w:sz w:val="20"/>
          <w:szCs w:val="20"/>
          <w:color w:val="auto"/>
        </w:rPr>
      </w:pPr>
    </w:p>
    <w:p>
      <w:pPr>
        <w:ind w:left="500" w:right="100" w:firstLine="819"/>
        <w:spacing w:after="0" w:line="298"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for our common stock will be determined through negotiations with the underwriters. Although we have applied to have our common stock listed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8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740"/>
          </w:cols>
          <w:pgMar w:left="320" w:top="437" w:right="8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300"/>
        <w:spacing w:after="0" w:line="268" w:lineRule="auto"/>
        <w:rPr>
          <w:sz w:val="20"/>
          <w:szCs w:val="20"/>
          <w:color w:val="auto"/>
        </w:rPr>
      </w:pPr>
      <w:r>
        <w:rPr>
          <w:rFonts w:ascii="Arial" w:cs="Arial" w:eastAsia="Arial" w:hAnsi="Arial"/>
          <w:sz w:val="17"/>
          <w:szCs w:val="17"/>
          <w:b w:val="1"/>
          <w:bCs w:val="1"/>
          <w:i w:val="1"/>
          <w:iCs w:val="1"/>
          <w:color w:val="auto"/>
        </w:rPr>
        <w:t>The market price of our common stock may be volatile and fluctuate substantially, which could result in substantial losses for purchasers of our common stock in this offering.</w:t>
      </w:r>
    </w:p>
    <w:p>
      <w:pPr>
        <w:spacing w:after="0" w:line="166"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205" w:lineRule="exact"/>
        <w:rPr>
          <w:sz w:val="20"/>
          <w:szCs w:val="20"/>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actual or expected changes in our growth rate relative to our competitors;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developments related to our existing or any future collaborations;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regulatory actions with respect to our product candidates or our competitors’ products and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development of new product candidates that may address our markets and make our product candidates less attractive;</w:t>
      </w:r>
    </w:p>
    <w:p>
      <w:pPr>
        <w:spacing w:after="0" w:line="242" w:lineRule="exact"/>
        <w:rPr>
          <w:rFonts w:ascii="Arial" w:cs="Arial" w:eastAsia="Arial" w:hAnsi="Arial"/>
          <w:sz w:val="16"/>
          <w:szCs w:val="16"/>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physician, hospital or healthcare provider practices that may make our product candidates less useful;</w:t>
      </w:r>
    </w:p>
    <w:p>
      <w:pPr>
        <w:spacing w:after="0" w:line="231" w:lineRule="exact"/>
        <w:rPr>
          <w:rFonts w:ascii="Arial" w:cs="Arial" w:eastAsia="Arial" w:hAnsi="Arial"/>
          <w:sz w:val="17"/>
          <w:szCs w:val="17"/>
          <w:color w:val="auto"/>
        </w:rPr>
      </w:pPr>
    </w:p>
    <w:p>
      <w:pPr>
        <w:ind w:left="1720" w:right="60" w:hanging="301"/>
        <w:spacing w:after="0" w:line="268" w:lineRule="auto"/>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announcements by us, our partners or our competitors of significant acquisitions, strategic partnerships, joint ventures, collaborations or capital commitments;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242" w:lineRule="exact"/>
        <w:rPr>
          <w:rFonts w:ascii="Arial" w:cs="Arial" w:eastAsia="Arial" w:hAnsi="Arial"/>
          <w:sz w:val="16"/>
          <w:szCs w:val="16"/>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actual or expected changes in estimates as to financial results, development timelines or recommendations by securities analysts;</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700"/>
          </w:cols>
          <w:pgMar w:left="320" w:top="437" w:right="8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tabs>
          <w:tab w:leader="none" w:pos="1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 and elsewhere in this prospectus.</w:t>
      </w:r>
    </w:p>
    <w:p>
      <w:pPr>
        <w:spacing w:after="0" w:line="206" w:lineRule="exact"/>
        <w:rPr>
          <w:sz w:val="20"/>
          <w:szCs w:val="20"/>
          <w:color w:val="auto"/>
        </w:rPr>
      </w:pPr>
    </w:p>
    <w:p>
      <w:pPr>
        <w:ind w:left="500" w:right="60" w:firstLine="819"/>
        <w:spacing w:after="0" w:line="280" w:lineRule="auto"/>
        <w:rPr>
          <w:sz w:val="20"/>
          <w:szCs w:val="20"/>
          <w:color w:val="auto"/>
        </w:rPr>
      </w:pPr>
      <w:r>
        <w:rPr>
          <w:rFonts w:ascii="Arial" w:cs="Arial" w:eastAsia="Arial" w:hAnsi="Arial"/>
          <w:sz w:val="16"/>
          <w:szCs w:val="16"/>
          <w:color w:val="auto"/>
        </w:rPr>
        <w:t>In addition, the trading prices for common stock of other biopharmaceutical companies have been highly volatile as a result of the COVID-19 global pandemic. The COVID-19 outbreak continues to rapidly evolve. The extent to which the outbreak may impact our business, pre-clinical studies and clinical trials will depend on future developments, which are highly uncertain and cannot be predicted with confidence.</w:t>
      </w:r>
    </w:p>
    <w:p>
      <w:pPr>
        <w:spacing w:after="0" w:line="159"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b w:val="1"/>
          <w:bCs w:val="1"/>
          <w:i w:val="1"/>
          <w:iCs w:val="1"/>
          <w:color w:val="auto"/>
        </w:rPr>
        <w:t>After this offering, our current executive officers, directors and principal stockholders, if they choose to act together, will continue to have the ability to control or significantly influence all matters submitted to stockholders for approval.</w:t>
      </w:r>
    </w:p>
    <w:p>
      <w:pPr>
        <w:spacing w:after="0" w:line="166" w:lineRule="exact"/>
        <w:rPr>
          <w:sz w:val="20"/>
          <w:szCs w:val="20"/>
          <w:color w:val="auto"/>
        </w:rPr>
      </w:pPr>
    </w:p>
    <w:p>
      <w:pPr>
        <w:ind w:left="500" w:right="20" w:firstLine="819"/>
        <w:spacing w:after="0" w:line="290" w:lineRule="auto"/>
        <w:rPr>
          <w:sz w:val="20"/>
          <w:szCs w:val="20"/>
          <w:color w:val="auto"/>
        </w:rPr>
      </w:pPr>
      <w:r>
        <w:rPr>
          <w:rFonts w:ascii="Arial" w:cs="Arial" w:eastAsia="Arial" w:hAnsi="Arial"/>
          <w:sz w:val="15"/>
          <w:szCs w:val="15"/>
          <w:color w:val="auto"/>
        </w:rPr>
        <w:t>Upon the closing of this offering, based on the number of shares of common stock outstanding as of March 31, 2020, our current executive officers, directors and stockholders who owned more than 5% of our outstanding common stock before this offering and their respective affiliates will, in the aggregate, hold shares representing approximately 70.4% of our outstanding voting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will suffer immediate dilution of your investment.</w:t>
      </w:r>
    </w:p>
    <w:p>
      <w:pPr>
        <w:spacing w:after="0" w:line="206" w:lineRule="exact"/>
        <w:rPr>
          <w:sz w:val="20"/>
          <w:szCs w:val="20"/>
          <w:color w:val="auto"/>
        </w:rPr>
      </w:pPr>
    </w:p>
    <w:p>
      <w:pPr>
        <w:ind w:left="500" w:right="60" w:firstLine="819"/>
        <w:spacing w:after="0" w:line="267" w:lineRule="auto"/>
        <w:rPr>
          <w:sz w:val="20"/>
          <w:szCs w:val="20"/>
          <w:color w:val="auto"/>
        </w:rPr>
      </w:pPr>
      <w:r>
        <w:rPr>
          <w:rFonts w:ascii="Arial" w:cs="Arial" w:eastAsia="Arial" w:hAnsi="Arial"/>
          <w:sz w:val="16"/>
          <w:szCs w:val="16"/>
          <w:color w:val="auto"/>
        </w:rPr>
        <w:t>The initial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shares subsequently are issued under outstanding options or warrants, you will incur further dilution. Based on an assumed initial public offering price of $15.00 per share (the midpoint of the price range set forth on the cover page of this prospectus), you will experience immediate dilution of $8.55 per share as of December 31, 2019, representing the difference between our pro forma as adjusted net tangible book value per share, after giving effect to this offering, and the assumed initial public offering price. In addition, purchasers of common stock in this offering will have contributed approximately 24.4% of the aggregate price paid by all purchasers of our stock and will own approximately 28.3% of our common stock outstanding after this offering.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206" w:lineRule="exact"/>
        <w:rPr>
          <w:sz w:val="20"/>
          <w:szCs w:val="20"/>
          <w:color w:val="auto"/>
        </w:rPr>
      </w:pPr>
    </w:p>
    <w:p>
      <w:pPr>
        <w:ind w:left="500" w:right="120" w:firstLine="819"/>
        <w:spacing w:after="0" w:line="267"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together with our existing cash and cash equivalents, to fund the clinical development of LYR-210 and LYR-220, for future product candidate and platform development and the remainder, if any, for working capital and other general corporate purposes as set forth under “Use of Proceeds.” However, our use of these proceeds may differ substantially from our current plans.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Participation in this offering by our existing stockholders and/or their affiliated entities may reduce the public float for our common stock.</w:t>
      </w:r>
    </w:p>
    <w:p>
      <w:pPr>
        <w:spacing w:after="0" w:line="229" w:lineRule="exact"/>
        <w:rPr>
          <w:sz w:val="20"/>
          <w:szCs w:val="20"/>
          <w:color w:val="auto"/>
        </w:rPr>
      </w:pPr>
    </w:p>
    <w:p>
      <w:pPr>
        <w:ind w:left="500" w:right="260" w:firstLine="819"/>
        <w:spacing w:after="0" w:line="268"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720"/>
          </w:cols>
          <w:pgMar w:left="320" w:top="437" w:right="8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both"/>
        <w:ind w:left="500" w:right="120"/>
        <w:spacing w:after="0" w:line="257" w:lineRule="auto"/>
        <w:rPr>
          <w:sz w:val="20"/>
          <w:szCs w:val="20"/>
          <w:color w:val="auto"/>
        </w:rPr>
      </w:pPr>
      <w:r>
        <w:rPr>
          <w:rFonts w:ascii="Arial" w:cs="Arial" w:eastAsia="Arial" w:hAnsi="Arial"/>
          <w:sz w:val="17"/>
          <w:szCs w:val="17"/>
          <w:color w:val="auto"/>
        </w:rPr>
        <w:t>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75" w:lineRule="exact"/>
        <w:rPr>
          <w:sz w:val="20"/>
          <w:szCs w:val="20"/>
          <w:color w:val="auto"/>
        </w:rPr>
      </w:pPr>
    </w:p>
    <w:p>
      <w:pPr>
        <w:ind w:left="500" w:right="40"/>
        <w:spacing w:after="0" w:line="26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66" w:lineRule="exact"/>
        <w:rPr>
          <w:sz w:val="20"/>
          <w:szCs w:val="20"/>
          <w:color w:val="auto"/>
        </w:rPr>
      </w:pPr>
    </w:p>
    <w:p>
      <w:pPr>
        <w:ind w:left="500" w:right="20" w:firstLine="819"/>
        <w:spacing w:after="0" w:line="284" w:lineRule="auto"/>
        <w:rPr>
          <w:sz w:val="20"/>
          <w:szCs w:val="20"/>
          <w:color w:val="auto"/>
        </w:rPr>
      </w:pPr>
      <w:r>
        <w:rPr>
          <w:rFonts w:ascii="Arial" w:cs="Arial" w:eastAsia="Arial" w:hAnsi="Arial"/>
          <w:sz w:val="15"/>
          <w:szCs w:val="15"/>
          <w:color w:val="auto"/>
        </w:rPr>
        <w:t>Sales of a substantial number of shares of our common stock in the public market, or the perception in the market that the holders of a large number of shares intend to sell shares, could reduce the market price of our common stock. After this offering, we will have outstanding 12,376,378 shares of common stock based on the number of shares outstanding as of March 31, 2020. This includes the shares that we are selling in this offering, which may be resold in the public market immediately without restriction, unless purchased by our affiliates or existing stockholders. The remaining shares are currently restricted as a result of securities laws or lock-up agreements (which may be waived, with or without notice, by BofA Securities, Inc. and Jefferies LLC) but will become eligible to be sold at various times beginning 180 days after this offering, unless held by one of our affiliates, in which case the resale of those securities will be subject to volume limitations under Rule 144 of the Securities Act of 1933, as amended, or Rule 144. Moreover, after this offering, holders of an aggregate of 8,741,991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stockholders’ agreement between us and such 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58"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66" w:lineRule="exact"/>
        <w:rPr>
          <w:sz w:val="20"/>
          <w:szCs w:val="20"/>
          <w:color w:val="auto"/>
        </w:rPr>
      </w:pPr>
    </w:p>
    <w:p>
      <w:pPr>
        <w:ind w:left="500" w:right="40" w:firstLine="819"/>
        <w:spacing w:after="0" w:line="269" w:lineRule="auto"/>
        <w:rPr>
          <w:sz w:val="20"/>
          <w:szCs w:val="20"/>
          <w:color w:val="auto"/>
        </w:rPr>
      </w:pPr>
      <w:r>
        <w:rPr>
          <w:rFonts w:ascii="Arial" w:cs="Arial" w:eastAsia="Arial" w:hAnsi="Arial"/>
          <w:sz w:val="16"/>
          <w:szCs w:val="16"/>
          <w:color w:val="auto"/>
        </w:rPr>
        <w:t>We are an “emerging growth company,” as defined in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94" w:lineRule="exact"/>
        <w:rPr>
          <w:sz w:val="20"/>
          <w:szCs w:val="20"/>
          <w:color w:val="auto"/>
        </w:rPr>
      </w:pPr>
    </w:p>
    <w:p>
      <w:pPr>
        <w:ind w:left="1720" w:hanging="301"/>
        <w:spacing w:after="0" w:line="257" w:lineRule="auto"/>
        <w:tabs>
          <w:tab w:leader="none" w:pos="17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00" w:lineRule="exact"/>
        <w:rPr>
          <w:rFonts w:ascii="Arial" w:cs="Arial" w:eastAsia="Arial" w:hAnsi="Arial"/>
          <w:sz w:val="17"/>
          <w:szCs w:val="17"/>
          <w:color w:val="auto"/>
        </w:rPr>
      </w:pPr>
    </w:p>
    <w:p>
      <w:pPr>
        <w:ind w:left="1720" w:right="600" w:hanging="301"/>
        <w:spacing w:after="0" w:line="268" w:lineRule="auto"/>
        <w:tabs>
          <w:tab w:leader="none" w:pos="17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91" w:lineRule="exact"/>
        <w:rPr>
          <w:rFonts w:ascii="Arial" w:cs="Arial" w:eastAsia="Arial" w:hAnsi="Arial"/>
          <w:sz w:val="17"/>
          <w:szCs w:val="17"/>
          <w:color w:val="auto"/>
        </w:rPr>
      </w:pPr>
    </w:p>
    <w:p>
      <w:pPr>
        <w:ind w:left="1720" w:right="160" w:hanging="301"/>
        <w:spacing w:after="0" w:line="257" w:lineRule="auto"/>
        <w:tabs>
          <w:tab w:leader="none" w:pos="17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700"/>
          </w:cols>
          <w:pgMar w:left="320" w:top="437" w:right="8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60" w:hanging="301"/>
        <w:spacing w:after="0" w:line="268" w:lineRule="auto"/>
        <w:tabs>
          <w:tab w:leader="none" w:pos="1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66"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6"/>
          <w:szCs w:val="16"/>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69" w:lineRule="exact"/>
        <w:rPr>
          <w:sz w:val="20"/>
          <w:szCs w:val="20"/>
          <w:color w:val="auto"/>
        </w:rPr>
      </w:pPr>
    </w:p>
    <w:p>
      <w:pPr>
        <w:ind w:left="500" w:right="200"/>
        <w:spacing w:after="0" w:line="268"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66" w:lineRule="exact"/>
        <w:rPr>
          <w:sz w:val="20"/>
          <w:szCs w:val="20"/>
          <w:color w:val="auto"/>
        </w:rPr>
      </w:pPr>
    </w:p>
    <w:p>
      <w:pPr>
        <w:ind w:left="500" w:right="40" w:firstLine="819"/>
        <w:spacing w:after="0" w:line="267"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0" w:lineRule="exact"/>
        <w:rPr>
          <w:sz w:val="20"/>
          <w:szCs w:val="20"/>
          <w:color w:val="auto"/>
        </w:rPr>
      </w:pPr>
    </w:p>
    <w:p>
      <w:pPr>
        <w:ind w:left="500" w:right="200" w:firstLine="819"/>
        <w:spacing w:after="0" w:line="298" w:lineRule="auto"/>
        <w:rPr>
          <w:sz w:val="20"/>
          <w:szCs w:val="20"/>
          <w:color w:val="auto"/>
        </w:rPr>
      </w:pPr>
      <w:r>
        <w:rPr>
          <w:rFonts w:ascii="Arial" w:cs="Arial" w:eastAsia="Arial" w:hAnsi="Arial"/>
          <w:sz w:val="15"/>
          <w:szCs w:val="15"/>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48" w:lineRule="exact"/>
        <w:rPr>
          <w:sz w:val="20"/>
          <w:szCs w:val="20"/>
          <w:color w:val="auto"/>
        </w:rPr>
      </w:pPr>
    </w:p>
    <w:p>
      <w:pPr>
        <w:ind w:left="500" w:firstLine="819"/>
        <w:spacing w:after="0" w:line="284" w:lineRule="auto"/>
        <w:rPr>
          <w:sz w:val="20"/>
          <w:szCs w:val="20"/>
          <w:color w:val="auto"/>
        </w:rPr>
      </w:pPr>
      <w:r>
        <w:rPr>
          <w:rFonts w:ascii="Arial" w:cs="Arial" w:eastAsia="Arial" w:hAnsi="Arial"/>
          <w:sz w:val="15"/>
          <w:szCs w:val="15"/>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w:t>
      </w:r>
    </w:p>
    <w:p>
      <w:pPr>
        <w:spacing w:after="0" w:line="9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740"/>
          </w:cols>
          <w:pgMar w:left="320" w:top="437" w:right="8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60"/>
        <w:spacing w:after="0" w:line="299"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144"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pre-clinical studies or clinical trials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69" w:lineRule="exact"/>
        <w:rPr>
          <w:sz w:val="20"/>
          <w:szCs w:val="20"/>
          <w:color w:val="auto"/>
        </w:rPr>
      </w:pPr>
    </w:p>
    <w:p>
      <w:pPr>
        <w:ind w:left="500" w:right="140"/>
        <w:spacing w:after="0" w:line="268" w:lineRule="auto"/>
        <w:rPr>
          <w:sz w:val="20"/>
          <w:szCs w:val="20"/>
          <w:color w:val="auto"/>
        </w:rPr>
      </w:pPr>
      <w:r>
        <w:rPr>
          <w:rFonts w:ascii="Arial" w:cs="Arial" w:eastAsia="Arial" w:hAnsi="Arial"/>
          <w:sz w:val="17"/>
          <w:szCs w:val="17"/>
          <w:b w:val="1"/>
          <w:bCs w:val="1"/>
          <w:i w:val="1"/>
          <w:iCs w:val="1"/>
          <w:color w:val="auto"/>
        </w:rPr>
        <w:t>We are a “smaller reporting company” and the reduced disclosure requirements applicable to smaller reporting companies may make our common stock less attractive to investors.</w:t>
      </w:r>
    </w:p>
    <w:p>
      <w:pPr>
        <w:spacing w:after="0" w:line="166" w:lineRule="exact"/>
        <w:rPr>
          <w:sz w:val="20"/>
          <w:szCs w:val="20"/>
          <w:color w:val="auto"/>
        </w:rPr>
      </w:pPr>
    </w:p>
    <w:p>
      <w:pPr>
        <w:ind w:left="500" w:right="120" w:firstLine="819"/>
        <w:spacing w:after="0" w:line="288" w:lineRule="auto"/>
        <w:rPr>
          <w:sz w:val="20"/>
          <w:szCs w:val="20"/>
          <w:color w:val="auto"/>
        </w:rPr>
      </w:pPr>
      <w:r>
        <w:rPr>
          <w:rFonts w:ascii="Arial" w:cs="Arial" w:eastAsia="Arial" w:hAnsi="Arial"/>
          <w:sz w:val="15"/>
          <w:szCs w:val="15"/>
          <w:color w:val="auto"/>
        </w:rPr>
        <w:t>We are considered a “smaller reporting company.” We are therefore entitled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in our SEC filings due to our status as a smaller reporting company mean our auditors do not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158" w:lineRule="exact"/>
        <w:rPr>
          <w:sz w:val="20"/>
          <w:szCs w:val="20"/>
          <w:color w:val="auto"/>
        </w:rPr>
      </w:pPr>
    </w:p>
    <w:p>
      <w:pPr>
        <w:ind w:left="500" w:right="420"/>
        <w:spacing w:after="0" w:line="257" w:lineRule="auto"/>
        <w:rPr>
          <w:sz w:val="20"/>
          <w:szCs w:val="20"/>
          <w:color w:val="auto"/>
        </w:rPr>
      </w:pPr>
      <w:r>
        <w:rPr>
          <w:rFonts w:ascii="Arial" w:cs="Arial" w:eastAsia="Arial" w:hAnsi="Arial"/>
          <w:sz w:val="17"/>
          <w:szCs w:val="17"/>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75" w:lineRule="exact"/>
        <w:rPr>
          <w:sz w:val="20"/>
          <w:szCs w:val="20"/>
          <w:color w:val="auto"/>
        </w:rPr>
      </w:pPr>
    </w:p>
    <w:p>
      <w:pPr>
        <w:ind w:left="500" w:right="20" w:firstLine="819"/>
        <w:spacing w:after="0" w:line="268" w:lineRule="auto"/>
        <w:rPr>
          <w:sz w:val="20"/>
          <w:szCs w:val="20"/>
          <w:color w:val="auto"/>
        </w:rPr>
      </w:pPr>
      <w:r>
        <w:rPr>
          <w:rFonts w:ascii="Arial" w:cs="Arial" w:eastAsia="Arial" w:hAnsi="Arial"/>
          <w:sz w:val="16"/>
          <w:szCs w:val="16"/>
          <w:color w:val="auto"/>
        </w:rPr>
        <w:t>Provisions in our restated certificate of incorporation and our restated bylaws, which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94" w:lineRule="exact"/>
        <w:rPr>
          <w:sz w:val="20"/>
          <w:szCs w:val="20"/>
          <w:color w:val="auto"/>
        </w:rPr>
      </w:pPr>
    </w:p>
    <w:p>
      <w:pPr>
        <w:ind w:left="1720" w:right="80" w:hanging="301"/>
        <w:spacing w:after="0" w:line="268" w:lineRule="auto"/>
        <w:tabs>
          <w:tab w:leader="none" w:pos="1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delay the ability of stockholders to change the membership of a majority of our board of directors;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cumulative voting in the election of directors, which limits the ability of minority stockholders to elect director candidates;</w:t>
      </w:r>
    </w:p>
    <w:p>
      <w:pPr>
        <w:spacing w:after="0" w:line="242" w:lineRule="exact"/>
        <w:rPr>
          <w:rFonts w:ascii="Arial" w:cs="Arial" w:eastAsia="Arial" w:hAnsi="Arial"/>
          <w:sz w:val="16"/>
          <w:szCs w:val="16"/>
          <w:color w:val="auto"/>
        </w:rPr>
      </w:pPr>
    </w:p>
    <w:p>
      <w:pPr>
        <w:ind w:left="1720" w:hanging="301"/>
        <w:spacing w:after="0" w:line="299" w:lineRule="auto"/>
        <w:tabs>
          <w:tab w:leader="none" w:pos="1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8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740"/>
          </w:cols>
          <w:pgMar w:left="320" w:top="437" w:right="8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140" w:hanging="301"/>
        <w:spacing w:after="0" w:line="257" w:lineRule="auto"/>
        <w:tabs>
          <w:tab w:leader="none" w:pos="1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bylaws without obtaining stockholder approval;</w:t>
      </w:r>
    </w:p>
    <w:p>
      <w:pPr>
        <w:spacing w:after="0" w:line="231" w:lineRule="exact"/>
        <w:rPr>
          <w:rFonts w:ascii="Arial" w:cs="Arial" w:eastAsia="Arial" w:hAnsi="Arial"/>
          <w:sz w:val="17"/>
          <w:szCs w:val="17"/>
          <w:color w:val="auto"/>
        </w:rPr>
      </w:pPr>
    </w:p>
    <w:p>
      <w:pPr>
        <w:ind w:left="1720" w:right="140" w:hanging="301"/>
        <w:spacing w:after="0" w:line="335" w:lineRule="auto"/>
        <w:tabs>
          <w:tab w:leader="none" w:pos="17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46" w:lineRule="exact"/>
        <w:rPr>
          <w:rFonts w:ascii="Arial" w:cs="Arial" w:eastAsia="Arial" w:hAnsi="Arial"/>
          <w:sz w:val="15"/>
          <w:szCs w:val="15"/>
          <w:color w:val="auto"/>
        </w:rPr>
      </w:pPr>
    </w:p>
    <w:p>
      <w:pPr>
        <w:ind w:left="1720" w:right="100" w:hanging="301"/>
        <w:spacing w:after="0" w:line="268" w:lineRule="auto"/>
        <w:tabs>
          <w:tab w:leader="none" w:pos="1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91" w:lineRule="exact"/>
        <w:rPr>
          <w:rFonts w:ascii="Arial" w:cs="Arial" w:eastAsia="Arial" w:hAnsi="Arial"/>
          <w:sz w:val="17"/>
          <w:szCs w:val="17"/>
          <w:color w:val="auto"/>
        </w:rPr>
      </w:pPr>
    </w:p>
    <w:p>
      <w:pPr>
        <w:ind w:left="1720" w:right="220" w:hanging="301"/>
        <w:spacing w:after="0" w:line="257" w:lineRule="auto"/>
        <w:tabs>
          <w:tab w:leader="none" w:pos="1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200" w:lineRule="exact"/>
        <w:rPr>
          <w:rFonts w:ascii="Arial" w:cs="Arial" w:eastAsia="Arial" w:hAnsi="Arial"/>
          <w:sz w:val="17"/>
          <w:szCs w:val="17"/>
          <w:color w:val="auto"/>
        </w:rPr>
      </w:pPr>
    </w:p>
    <w:p>
      <w:pPr>
        <w:jc w:val="both"/>
        <w:ind w:left="1720" w:right="40" w:hanging="301"/>
        <w:spacing w:after="0" w:line="280" w:lineRule="auto"/>
        <w:tabs>
          <w:tab w:leader="none" w:pos="1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59"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0" w:lineRule="exact"/>
        <w:rPr>
          <w:sz w:val="20"/>
          <w:szCs w:val="20"/>
          <w:color w:val="auto"/>
        </w:rPr>
      </w:pPr>
    </w:p>
    <w:p>
      <w:pPr>
        <w:ind w:left="500" w:right="500"/>
        <w:spacing w:after="0" w:line="335" w:lineRule="auto"/>
        <w:rPr>
          <w:sz w:val="20"/>
          <w:szCs w:val="20"/>
          <w:color w:val="auto"/>
        </w:rPr>
      </w:pPr>
      <w:r>
        <w:rPr>
          <w:rFonts w:ascii="Arial" w:cs="Arial" w:eastAsia="Arial" w:hAnsi="Arial"/>
          <w:sz w:val="15"/>
          <w:szCs w:val="15"/>
          <w:b w:val="1"/>
          <w:bCs w:val="1"/>
          <w:i w:val="1"/>
          <w:iCs w:val="1"/>
          <w:color w:val="auto"/>
        </w:rPr>
        <w:t>Our restated certificate of incorporation will designate specific courts as the exclusive forum for certain litigation that may be initiated by our stockholders, which could limit our stockholders’ ability to obtain a favorable judicial forum for disputes with us.</w:t>
      </w:r>
    </w:p>
    <w:p>
      <w:pPr>
        <w:spacing w:after="0" w:line="121"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specifies that, unless we consent in writing to the selection of an alternative forum, the Court of Chancery of the State of Delaware will be the sole and exclusive forum for most legal actions involving claims brought against us by stockholders;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restated certificate of incorporation described above.</w:t>
      </w:r>
    </w:p>
    <w:p>
      <w:pPr>
        <w:spacing w:after="0" w:line="161" w:lineRule="exact"/>
        <w:rPr>
          <w:sz w:val="20"/>
          <w:szCs w:val="20"/>
          <w:color w:val="auto"/>
        </w:rPr>
      </w:pPr>
    </w:p>
    <w:p>
      <w:pPr>
        <w:ind w:left="500" w:right="60" w:firstLine="819"/>
        <w:spacing w:after="0" w:line="307" w:lineRule="auto"/>
        <w:rPr>
          <w:sz w:val="20"/>
          <w:szCs w:val="20"/>
          <w:color w:val="auto"/>
        </w:rPr>
      </w:pPr>
      <w:r>
        <w:rPr>
          <w:rFonts w:ascii="Arial" w:cs="Arial" w:eastAsia="Arial" w:hAnsi="Arial"/>
          <w:sz w:val="15"/>
          <w:szCs w:val="15"/>
          <w:color w:val="auto"/>
        </w:rPr>
        <w:t>We believe these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 may</w:t>
      </w:r>
    </w:p>
    <w:p>
      <w:pPr>
        <w:spacing w:after="0" w:line="7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740"/>
          </w:cols>
          <w:pgMar w:left="320" w:top="437" w:right="8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spacing w:after="0" w:line="268" w:lineRule="auto"/>
        <w:rPr>
          <w:sz w:val="20"/>
          <w:szCs w:val="20"/>
          <w:color w:val="auto"/>
        </w:rPr>
      </w:pPr>
      <w:r>
        <w:rPr>
          <w:rFonts w:ascii="Arial" w:cs="Arial" w:eastAsia="Arial" w:hAnsi="Arial"/>
          <w:sz w:val="16"/>
          <w:szCs w:val="16"/>
          <w:color w:val="auto"/>
        </w:rPr>
        <w:t>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69" w:lineRule="exact"/>
        <w:rPr>
          <w:sz w:val="20"/>
          <w:szCs w:val="20"/>
          <w:color w:val="auto"/>
        </w:rPr>
      </w:pPr>
    </w:p>
    <w:p>
      <w:pPr>
        <w:ind w:left="500" w:right="40"/>
        <w:spacing w:after="0" w:line="26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common shares in the foreseeable future, capital appreciation, if any, would be your sole source of gain.</w:t>
      </w:r>
    </w:p>
    <w:p>
      <w:pPr>
        <w:spacing w:after="0" w:line="166" w:lineRule="exact"/>
        <w:rPr>
          <w:sz w:val="20"/>
          <w:szCs w:val="20"/>
          <w:color w:val="auto"/>
        </w:rPr>
      </w:pPr>
    </w:p>
    <w:p>
      <w:pPr>
        <w:ind w:left="500" w:firstLine="819"/>
        <w:spacing w:after="0" w:line="274" w:lineRule="auto"/>
        <w:rPr>
          <w:sz w:val="20"/>
          <w:szCs w:val="20"/>
          <w:color w:val="auto"/>
        </w:rPr>
      </w:pPr>
      <w:r>
        <w:rPr>
          <w:rFonts w:ascii="Arial" w:cs="Arial" w:eastAsia="Arial" w:hAnsi="Arial"/>
          <w:sz w:val="16"/>
          <w:szCs w:val="16"/>
          <w:color w:val="auto"/>
        </w:rPr>
        <w:t>We have never declared or paid any cash dividends on our common shares. We currently anticipate that we will retain future earnings for the development, operation and expansion of our business and do not anticipate declaring or paying any cash dividends for the foreseeable future. As a result, capital appreciation, if any, of our common shares would be your sole source of gain on an investment in our common shares for the foreseeable future. See the “Dividend Policy” section of this prospectus for additional information.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could be subject to securities class action litigation.</w:t>
      </w:r>
    </w:p>
    <w:p>
      <w:pPr>
        <w:spacing w:after="0" w:line="206" w:lineRule="exact"/>
        <w:rPr>
          <w:sz w:val="20"/>
          <w:szCs w:val="20"/>
          <w:color w:val="auto"/>
        </w:rPr>
      </w:pPr>
    </w:p>
    <w:p>
      <w:pPr>
        <w:ind w:left="500" w:right="20" w:firstLine="819"/>
        <w:spacing w:after="0" w:line="307"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Our ability to use our net operating losses and research and development credits to offset future taxable income may be subject to certain limitations.</w:t>
      </w:r>
    </w:p>
    <w:p>
      <w:pPr>
        <w:spacing w:after="0" w:line="241" w:lineRule="exact"/>
        <w:rPr>
          <w:sz w:val="20"/>
          <w:szCs w:val="20"/>
          <w:color w:val="auto"/>
        </w:rPr>
      </w:pPr>
    </w:p>
    <w:p>
      <w:pPr>
        <w:ind w:left="500" w:right="180" w:firstLine="819"/>
        <w:spacing w:after="0" w:line="285" w:lineRule="auto"/>
        <w:rPr>
          <w:sz w:val="20"/>
          <w:szCs w:val="20"/>
          <w:color w:val="auto"/>
        </w:rPr>
      </w:pPr>
      <w:r>
        <w:rPr>
          <w:rFonts w:ascii="Arial" w:cs="Arial" w:eastAsia="Arial" w:hAnsi="Arial"/>
          <w:sz w:val="15"/>
          <w:szCs w:val="15"/>
          <w:color w:val="auto"/>
        </w:rPr>
        <w:t>As of December 31, 2019, we had net operating loss carryforwards, or NOLs, of $114.3 million for federal income tax purposes and $95.6 million for state income tax purposes, which may be available to offset our future taxable income, if any, and begin to expire at various dates through 2037. As of December 31, 2019, we also had federal and state research and development credit carryforwards of $5.0 million, which begin to expire at various dates through 2034. In general, under Sections 382 and 383 of the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Our existing NOLs and research and development credit carryforwards may be subject to limitations arising from previous ownership changes, and if we undergo an ownership change in connection with or after this offering, our ability to utilize NOLs and research and development credit carryforwards could be further limited by Sections 382 and 383 of the Code. Future changes in our stock ownership, some of which might be beyond our control, could result in an ownership change under Section 382 of the Code. For these reasons, in the event we experience a change of control, we may not be able to utilize a material portion of the NOLs or research and development credit carryforwards even if we attain profitability.</w:t>
      </w:r>
    </w:p>
    <w:p>
      <w:pPr>
        <w:spacing w:after="0" w:line="157" w:lineRule="exact"/>
        <w:rPr>
          <w:sz w:val="20"/>
          <w:szCs w:val="20"/>
          <w:color w:val="auto"/>
        </w:rPr>
      </w:pPr>
    </w:p>
    <w:p>
      <w:pPr>
        <w:ind w:left="500" w:right="460"/>
        <w:spacing w:after="0" w:line="268" w:lineRule="auto"/>
        <w:rPr>
          <w:sz w:val="20"/>
          <w:szCs w:val="20"/>
          <w:color w:val="auto"/>
        </w:rPr>
      </w:pPr>
      <w:r>
        <w:rPr>
          <w:rFonts w:ascii="Arial" w:cs="Arial" w:eastAsia="Arial" w:hAnsi="Arial"/>
          <w:sz w:val="17"/>
          <w:szCs w:val="17"/>
          <w:b w:val="1"/>
          <w:bCs w:val="1"/>
          <w:i w:val="1"/>
          <w:iCs w:val="1"/>
          <w:color w:val="auto"/>
        </w:rPr>
        <w:t>The impact of the Tax Cuts and Jobs Act on our financial results is not entirely clear and could differ materially from the financial statements provided herein.</w:t>
      </w:r>
    </w:p>
    <w:p>
      <w:pPr>
        <w:spacing w:after="0" w:line="166" w:lineRule="exact"/>
        <w:rPr>
          <w:sz w:val="20"/>
          <w:szCs w:val="20"/>
          <w:color w:val="auto"/>
        </w:rPr>
      </w:pPr>
    </w:p>
    <w:p>
      <w:pPr>
        <w:ind w:left="500" w:right="60" w:firstLine="819"/>
        <w:spacing w:after="0" w:line="257" w:lineRule="auto"/>
        <w:rPr>
          <w:sz w:val="20"/>
          <w:szCs w:val="20"/>
          <w:color w:val="auto"/>
        </w:rPr>
      </w:pPr>
      <w:r>
        <w:rPr>
          <w:rFonts w:ascii="Arial" w:cs="Arial" w:eastAsia="Arial" w:hAnsi="Arial"/>
          <w:sz w:val="17"/>
          <w:szCs w:val="17"/>
          <w:color w:val="auto"/>
        </w:rPr>
        <w:t>On December 22, 2017, the United States enacted the Tax Cuts and Jobs Act, or TCJA, that significantly reformed the Code. The TCJA, among other things, contained significant changes to corporate taxation, including reduction of the corporate tax rate from a top marginal rate of 35% to a flat rate of 21%;</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740"/>
          </w:cols>
          <w:pgMar w:left="320" w:top="437" w:right="8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88" w:lineRule="auto"/>
        <w:rPr>
          <w:sz w:val="20"/>
          <w:szCs w:val="20"/>
          <w:color w:val="auto"/>
        </w:rPr>
      </w:pPr>
      <w:r>
        <w:rPr>
          <w:rFonts w:ascii="Arial" w:cs="Arial" w:eastAsia="Arial" w:hAnsi="Arial"/>
          <w:sz w:val="15"/>
          <w:szCs w:val="15"/>
          <w:color w:val="auto"/>
        </w:rPr>
        <w:t>limitation of the tax deduction for interest expense; limitation of the deduction for NOLs and elimination of NOL carrybacks, in each case, for losses arising in taxable years beginning after December 31, 2017 (though any such tax losses may be carried forward indefinitely); and modifying or repealing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 The U.S. Treasury Department and the Internal Revenue Service may issue further guidance on how the provisions of the TCJA will be applied or otherwise administered that differs from our current interpretation. In addition, the TCJA could be subject to potential amendments and technical corrections, any of which could materially lessen or increase certain adverse impacts of the legislation on us.</w:t>
      </w:r>
    </w:p>
    <w:p>
      <w:pPr>
        <w:spacing w:after="0" w:line="9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740"/>
          </w:cols>
          <w:pgMar w:left="320" w:top="437" w:right="8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0" w:lineRule="exact"/>
        <w:rPr>
          <w:sz w:val="20"/>
          <w:szCs w:val="20"/>
          <w:color w:val="auto"/>
        </w:rPr>
      </w:pPr>
    </w:p>
    <w:p>
      <w:pPr>
        <w:ind w:left="500" w:firstLine="819"/>
        <w:spacing w:after="0" w:line="268"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are forward-looking statements, including but not limited to statements regarding:</w:t>
      </w:r>
    </w:p>
    <w:p>
      <w:pPr>
        <w:spacing w:after="0" w:line="191" w:lineRule="exact"/>
        <w:rPr>
          <w:sz w:val="20"/>
          <w:szCs w:val="20"/>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plans to develop and commercialize our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timing of our ongoing or planned clinical trials for LYR-210, LYR-220 and any future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timing of and our ability to obtain and maintain regulatory approvals for LYR-210, LYR-220 and any future product candidates;</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clinical utility of our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our expectations about the willingness of healthcare professionals to use LYR-210, LYR-220 and any future product candidates;</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expected use of proceeds from this offering;</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competitive position and developments and projections relating to our competitors or our industry;</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identify, recruit and retain key personnel;</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impact of laws and regulations;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risks associated with the COVID-19 global pandemic, which may adversely impact our business and clinical trials;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expectations regarding the time during which we will be an emerging growth company under the JOBS Act;</w:t>
      </w:r>
    </w:p>
    <w:p>
      <w:pPr>
        <w:spacing w:after="0" w:line="231" w:lineRule="exact"/>
        <w:rPr>
          <w:rFonts w:ascii="Arial" w:cs="Arial" w:eastAsia="Arial" w:hAnsi="Arial"/>
          <w:sz w:val="17"/>
          <w:szCs w:val="17"/>
          <w:color w:val="auto"/>
        </w:rPr>
      </w:pPr>
    </w:p>
    <w:p>
      <w:pPr>
        <w:ind w:left="1720" w:right="400" w:hanging="301"/>
        <w:spacing w:after="0" w:line="268" w:lineRule="auto"/>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plans to identify additional product candidates with significant commercial potential that are consistent with our commercial objectives;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research and development cost;</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estimates and statements regarding our future revenue, future results of operations and financial position;</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business strategy;</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research and development costs;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plans and objectives of management for future operations;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plans and objectives of management.</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20"/>
          </w:cols>
          <w:pgMar w:left="320" w:top="437" w:right="8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0" w:firstLine="819"/>
        <w:spacing w:after="0" w:line="257" w:lineRule="auto"/>
        <w:rPr>
          <w:sz w:val="20"/>
          <w:szCs w:val="20"/>
          <w:color w:val="auto"/>
        </w:rPr>
      </w:pPr>
      <w:r>
        <w:rPr>
          <w:rFonts w:ascii="Arial" w:cs="Arial" w:eastAsia="Arial" w:hAnsi="Arial"/>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ind w:left="500" w:firstLine="819"/>
        <w:spacing w:after="0" w:line="283" w:lineRule="auto"/>
        <w:rPr>
          <w:sz w:val="20"/>
          <w:szCs w:val="20"/>
          <w:color w:val="auto"/>
        </w:rPr>
      </w:pPr>
      <w:r>
        <w:rPr>
          <w:rFonts w:ascii="Arial" w:cs="Arial" w:eastAsia="Arial" w:hAnsi="Arial"/>
          <w:sz w:val="15"/>
          <w:szCs w:val="15"/>
          <w:color w:val="auto"/>
        </w:rPr>
        <w:t>In some cases, you can identify forward-looking statements by terms such as “may,” “will,” “should,” “expect,” “plan,” “anticipate,” “could,” “intend,” “target,” “project,” “contemplate,” “believe,” “estimate,” “predict,” “potential,” “would” or “continue” or the negative of these terms or other similar expressions, although not all forward-looking statements contain these words. The forward-looking statements in this prospectus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known and unknown risks, uncertainties and assumptions, including those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 of 1933, as amended.</w:t>
      </w:r>
    </w:p>
    <w:p>
      <w:pPr>
        <w:spacing w:after="0" w:line="10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740"/>
          </w:cols>
          <w:pgMar w:left="320" w:top="437" w:right="8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MARKET AND INDUSTRY DATA</w:t>
      </w:r>
    </w:p>
    <w:p>
      <w:pPr>
        <w:spacing w:after="0" w:line="210"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We obtained the industry, market and competitive position data in this prospectus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Management’s estimates are derived from publicly available information, their knowledge of our industry and their assumptions based on such information and knowledge, which we believe to be reasonable. While we believe our internal company research as to such matters is reliable and the market definitions are appropriate, neither such research nor these definitions have been verified by any independent source. This data involves a number of assumptions and limitations which are necessarily subject to a high degree of uncertainty and risk due to a variety of factors, including those described in “Risk Factors.” These and other factors could cause our future performance to differ materially from our assumptions and estimates.</w:t>
      </w:r>
    </w:p>
    <w:p>
      <w:pPr>
        <w:spacing w:after="0" w:line="107"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00"/>
          </w:cols>
          <w:pgMar w:left="320" w:top="437" w:right="8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USE OF PROCEEDS</w:t>
      </w:r>
    </w:p>
    <w:p>
      <w:pPr>
        <w:spacing w:after="0" w:line="210" w:lineRule="exact"/>
        <w:rPr>
          <w:sz w:val="20"/>
          <w:szCs w:val="20"/>
          <w:color w:val="auto"/>
        </w:rPr>
      </w:pPr>
    </w:p>
    <w:p>
      <w:pPr>
        <w:ind w:left="500" w:right="140" w:firstLine="819"/>
        <w:spacing w:after="0" w:line="298" w:lineRule="auto"/>
        <w:rPr>
          <w:sz w:val="20"/>
          <w:szCs w:val="20"/>
          <w:color w:val="auto"/>
        </w:rPr>
      </w:pPr>
      <w:r>
        <w:rPr>
          <w:rFonts w:ascii="Arial" w:cs="Arial" w:eastAsia="Arial" w:hAnsi="Arial"/>
          <w:sz w:val="15"/>
          <w:szCs w:val="15"/>
          <w:color w:val="auto"/>
        </w:rPr>
        <w:t>We estimate that the net proceeds to us from our issuance and sale of shares of our common stock in this offering will be approximately $46.2 million, assuming an initial public offering price of $15.00 per share, which is the midpoint of the price range set forth on the cover page of this prospectus, and after deducting the estimated underwriting discounts and commissions and estimated offering expenses payable by us. If the underwriters’ option to purchase additional shares from us is exercised in full, we estimate that our net proceeds will be approximately $53.6 million.</w:t>
      </w:r>
    </w:p>
    <w:p>
      <w:pPr>
        <w:spacing w:after="0" w:line="148"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Each $1.00 increase (decrease) in the assumed initial public offering price of $15.00 per share would increase (decrease) the net proceeds to us from this offering by approximately $3.3 million, assuming that the number of shares offered by us, as set forth on the cover page of this prospectus, remains the same and after deducting the estimated underwriting discounts and commissions and estimated offering expenses payable by us. Each increase (decrease) of 1.0 million in the number of shares we are offering would increase (decrease) the net proceeds to us from this offering, after deducting the estimated underwriting discounts and commissions and estimated offering expenses payable by us, by $13.9 million, assuming the assumed initial public offering price stays the same.</w:t>
      </w:r>
    </w:p>
    <w:p>
      <w:pPr>
        <w:spacing w:after="0" w:line="1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We anticipate that we will use the net proceeds of this offering, together with our existing cash and cash equivalents, for the following</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purposes:</w:t>
      </w:r>
    </w:p>
    <w:p>
      <w:pPr>
        <w:spacing w:after="0" w:line="219" w:lineRule="exact"/>
        <w:rPr>
          <w:sz w:val="20"/>
          <w:szCs w:val="20"/>
          <w:color w:val="auto"/>
        </w:rPr>
      </w:pPr>
    </w:p>
    <w:p>
      <w:pPr>
        <w:ind w:left="1720" w:right="200" w:hanging="301"/>
        <w:spacing w:after="0" w:line="268" w:lineRule="auto"/>
        <w:tabs>
          <w:tab w:leader="none" w:pos="1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approximately $47.0 million to $50.0 million to fund the clinical development and manufacturing and other pre-commercialization expenses for LYR-210 through completion of our Phase 3 clinical trial;</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approximately $4.0 million to $6.0 million to fund the development of LYR-220 through completion of our Phase 2 clinical trial; and</w:t>
      </w:r>
    </w:p>
    <w:p>
      <w:pPr>
        <w:spacing w:after="0" w:line="254" w:lineRule="exact"/>
        <w:rPr>
          <w:rFonts w:ascii="Arial" w:cs="Arial" w:eastAsia="Arial" w:hAnsi="Arial"/>
          <w:sz w:val="15"/>
          <w:szCs w:val="15"/>
          <w:color w:val="auto"/>
        </w:rPr>
      </w:pPr>
    </w:p>
    <w:p>
      <w:pPr>
        <w:ind w:left="1720" w:right="20" w:hanging="301"/>
        <w:spacing w:after="0" w:line="335" w:lineRule="auto"/>
        <w:tabs>
          <w:tab w:leader="none" w:pos="17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remainder, if any, to complete the transfer of our manufacturing process to a contract manufacturer, for platform development and other research and development expenses for our pipeline, and for working capital and other general corporate purposes.</w:t>
      </w:r>
    </w:p>
    <w:p>
      <w:pPr>
        <w:spacing w:after="0" w:line="121" w:lineRule="exact"/>
        <w:rPr>
          <w:sz w:val="20"/>
          <w:szCs w:val="20"/>
          <w:color w:val="auto"/>
        </w:rPr>
      </w:pPr>
    </w:p>
    <w:p>
      <w:pPr>
        <w:ind w:left="500" w:right="20" w:firstLine="819"/>
        <w:spacing w:after="0" w:line="285" w:lineRule="auto"/>
        <w:rPr>
          <w:sz w:val="20"/>
          <w:szCs w:val="20"/>
          <w:color w:val="auto"/>
        </w:rPr>
      </w:pPr>
      <w:r>
        <w:rPr>
          <w:rFonts w:ascii="Arial" w:cs="Arial" w:eastAsia="Arial" w:hAnsi="Arial"/>
          <w:sz w:val="15"/>
          <w:szCs w:val="15"/>
          <w:color w:val="auto"/>
        </w:rPr>
        <w:t>This expected use of the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anticipate that we will need additional funds to complete the development of any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61"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As of March 31, 2020, we had $35.3 million of cash and cash equivalents on hand. Based on our planned use of the net proceeds of this offering and our current cash and cash equivalents, we estimate that such funds will be sufficient to enable us to fund our operating expenses and capital expenditure requirements into the fourth quarter of 2023. With our existing cash and cash equivalents and the net proceeds of this offering, we expect to be able to complete our Phase 3 clinical trial of LYR-210; complete our Phase 2 clinical trial for LYR-220; and complete the transfer of our manufacturing process to a contract manufacturer. We have based these estimates on assumptions that may prove to be incorrect, and we could use our available capital resources sooner</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680"/>
          </w:cols>
          <w:pgMar w:left="320" w:top="437" w:right="89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98" w:lineRule="auto"/>
        <w:rPr>
          <w:sz w:val="20"/>
          <w:szCs w:val="20"/>
          <w:color w:val="auto"/>
        </w:rPr>
      </w:pPr>
      <w:r>
        <w:rPr>
          <w:rFonts w:ascii="Arial" w:cs="Arial" w:eastAsia="Arial" w:hAnsi="Arial"/>
          <w:sz w:val="15"/>
          <w:szCs w:val="15"/>
          <w:color w:val="auto"/>
        </w:rPr>
        <w:t>than we currently expect. In any event, we will require additional funding to be able to commercialize LYR-210 and LYR-220, and we do not yet have any committed source of funding for the commercialization of LYR-210 or the additional clinical development and commercialization of LYR-220.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spacing w:after="0" w:line="148" w:lineRule="exact"/>
        <w:rPr>
          <w:sz w:val="20"/>
          <w:szCs w:val="20"/>
          <w:color w:val="auto"/>
        </w:rPr>
      </w:pPr>
    </w:p>
    <w:p>
      <w:pPr>
        <w:ind w:left="500" w:firstLine="819"/>
        <w:spacing w:after="0" w:line="299" w:lineRule="auto"/>
        <w:rPr>
          <w:sz w:val="20"/>
          <w:szCs w:val="20"/>
          <w:color w:val="auto"/>
        </w:rPr>
      </w:pPr>
      <w:r>
        <w:rPr>
          <w:rFonts w:ascii="Arial" w:cs="Arial" w:eastAsia="Arial" w:hAnsi="Arial"/>
          <w:sz w:val="16"/>
          <w:szCs w:val="16"/>
          <w:color w:val="auto"/>
        </w:rPr>
        <w:t>Pending our use of the net proceeds from this offering, we intend to invest the net proceeds in a variety of capital preservation investments, including short-term and intermediate-term, investment-grade, interest-bearing instruments and U.S. government securities.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640"/>
          </w:cols>
          <w:pgMar w:left="320" w:top="437" w:right="9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DIVIDEND POLICY</w:t>
      </w:r>
    </w:p>
    <w:p>
      <w:pPr>
        <w:spacing w:after="0" w:line="210"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We currently intend to retain all available funds and future earnings, if any, for the operation and expansion of our business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148" w:lineRule="exact"/>
        <w:rPr>
          <w:sz w:val="20"/>
          <w:szCs w:val="20"/>
          <w:color w:val="auto"/>
        </w:rPr>
      </w:pPr>
    </w:p>
    <w:p>
      <w:pPr>
        <w:ind w:left="500" w:right="60" w:firstLine="819"/>
        <w:spacing w:after="0" w:line="257" w:lineRule="auto"/>
        <w:rPr>
          <w:sz w:val="20"/>
          <w:szCs w:val="20"/>
          <w:color w:val="auto"/>
        </w:rPr>
      </w:pPr>
      <w:r>
        <w:rPr>
          <w:rFonts w:ascii="Arial" w:cs="Arial" w:eastAsia="Arial" w:hAnsi="Arial"/>
          <w:sz w:val="17"/>
          <w:szCs w:val="17"/>
          <w:color w:val="auto"/>
        </w:rPr>
        <w:t>On March 20, 2012, we declared and paid a special cash dividend of $0.2630467 per share of our common stock, which we refer to as the Special Dividend, which totaled approximately $42,115 in the aggregate. Other than the Special Dividend, we have not declared or paid any cash dividends on our capital stock.</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600"/>
          </w:cols>
          <w:pgMar w:left="320" w:top="437" w:right="9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CAPITALIZATION</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2019, as follows:</w:t>
      </w:r>
    </w:p>
    <w:p>
      <w:pPr>
        <w:spacing w:after="0" w:line="231" w:lineRule="exact"/>
        <w:rPr>
          <w:sz w:val="20"/>
          <w:szCs w:val="20"/>
          <w:color w:val="auto"/>
        </w:rPr>
      </w:pPr>
    </w:p>
    <w:p>
      <w:pPr>
        <w:ind w:left="1720" w:hanging="301"/>
        <w:spacing w:after="0"/>
        <w:tabs>
          <w:tab w:leader="none" w:pos="1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1" w:lineRule="exact"/>
        <w:rPr>
          <w:rFonts w:ascii="Arial" w:cs="Arial" w:eastAsia="Arial" w:hAnsi="Arial"/>
          <w:sz w:val="17"/>
          <w:szCs w:val="17"/>
          <w:color w:val="auto"/>
        </w:rPr>
      </w:pPr>
    </w:p>
    <w:p>
      <w:pPr>
        <w:ind w:left="1720" w:hanging="301"/>
        <w:spacing w:after="0" w:line="282" w:lineRule="auto"/>
        <w:tabs>
          <w:tab w:leader="none" w:pos="17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on a pro forma basis to reflect (1) the issuance and sale of 78,306,611 shares of our Series C preferred stock, at a price of $0.38811 per share, and warrants to purchase 681,256 shares of our common stock, in each case, in January 2020, (2) the automatic conversion of all outstanding shares of our preferred stock into 8,335,248 shares of common stock upon the closing of this offering, (3) the issuance to George Whitesides, Ph.D., one of our directors, in lieu of compensation payable by us under a consulting agreement, of such number of fully vested shares of common stock equal to $314,580 divided by the initial public offering price per share, which, based on an assumed initial public offering price of $15.00 per share, the midpoint of the price range set forth on the cover of this prospectus, would result in the issuance of 20,972 shares of our common stock upon the closing of this offering (a $1.00 increase in the assumed initial public offering price of $15.00 per share would decrease the number of shares of our common stock issued by 1,311 shares; a $1.00 decrease in the assumed initial public offering price of $15.00 per share would increase the number of shares of our common stock issued by 1,498 shares), (4) the automatic cashless exercise of outstanding warrants to purchase shares of common stock, which, based on an assumed initial public offering price of $15.00 per share, the midpoint of the price range set forth on the cover of this prospectus, would result in the issuance of 289,298 shares of our common stock upon the closing of this offering (a $1.00 increase in the assumed initial public offering price of $15.00 per share would increase the number of additional shares of our common stock issuable in connection with such automatic exercise by an aggregate of 24,496 shares; a $1.00 decrease in the assumed initial public offering price of $15.00 per share would decrease the number of additional shares of our common stock issuable in connection with such exercise by an aggregate of 27,992 shares) and (5) the filing and effectiveness of our restated certificate of incorporation which will occur upon the closing of this offering; and</w:t>
      </w:r>
    </w:p>
    <w:p>
      <w:pPr>
        <w:spacing w:after="0" w:line="194" w:lineRule="exact"/>
        <w:rPr>
          <w:rFonts w:ascii="Arial" w:cs="Arial" w:eastAsia="Arial" w:hAnsi="Arial"/>
          <w:sz w:val="15"/>
          <w:szCs w:val="15"/>
          <w:color w:val="auto"/>
        </w:rPr>
      </w:pPr>
    </w:p>
    <w:p>
      <w:pPr>
        <w:jc w:val="both"/>
        <w:ind w:left="1720" w:right="20" w:hanging="301"/>
        <w:spacing w:after="0" w:line="307" w:lineRule="auto"/>
        <w:tabs>
          <w:tab w:leader="none" w:pos="17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on a pro forma as adjusted basis to give further effect to our issuance and sale of 3,500,000 shares of common stock in this offering at an assumed initial public offering price of $15.00 per share, which is the midpoint of the price range set forth on the cover page of this prospectus, after deducting the estimated underwriting discounts and commissions and estimated offering expenses payable by us.</w:t>
      </w:r>
    </w:p>
    <w:p>
      <w:pPr>
        <w:spacing w:after="0" w:line="141" w:lineRule="exact"/>
        <w:rPr>
          <w:sz w:val="20"/>
          <w:szCs w:val="20"/>
          <w:color w:val="auto"/>
        </w:rPr>
      </w:pPr>
    </w:p>
    <w:p>
      <w:pPr>
        <w:ind w:left="500" w:right="40" w:firstLine="819"/>
        <w:spacing w:after="0" w:line="274" w:lineRule="auto"/>
        <w:rPr>
          <w:sz w:val="20"/>
          <w:szCs w:val="20"/>
          <w:color w:val="auto"/>
        </w:rPr>
      </w:pPr>
      <w:r>
        <w:rPr>
          <w:rFonts w:ascii="Arial" w:cs="Arial" w:eastAsia="Arial" w:hAnsi="Arial"/>
          <w:sz w:val="16"/>
          <w:szCs w:val="16"/>
          <w:color w:val="auto"/>
        </w:rPr>
        <w:t>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appearing at the end of this prospectus and the “Use of Proceeds,” “Selected Consolidated Financial Data” and “Management’s Discussion and Analysis of Financial Condition and Results of Operations” sections and other financial information contained in this prospectus.</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740"/>
          </w:cols>
          <w:pgMar w:left="320" w:top="437" w:right="8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(in</w:t>
            </w:r>
          </w:p>
        </w:tc>
        <w:tc>
          <w:tcPr>
            <w:tcW w:w="15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3"/>
              </w:rPr>
              <w:t>As of December 31, 2019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17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89"/>
              </w:rPr>
              <w:t>thousands, except share data)</w:t>
            </w:r>
          </w:p>
        </w:tc>
        <w:tc>
          <w:tcPr>
            <w:tcW w:w="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4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rPr>
              <w:t>Actual</w:t>
            </w:r>
          </w:p>
        </w:tc>
        <w:tc>
          <w:tcPr>
            <w:tcW w:w="20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82"/>
              </w:rPr>
              <w:t>Pro Forma</w:t>
            </w:r>
          </w:p>
        </w:tc>
        <w:tc>
          <w:tcPr>
            <w:tcW w:w="80" w:type="dxa"/>
            <w:vAlign w:val="bottom"/>
          </w:tcPr>
          <w:p>
            <w:pPr>
              <w:spacing w:after="0"/>
              <w:rPr>
                <w:sz w:val="9"/>
                <w:szCs w:val="9"/>
                <w:color w:val="auto"/>
              </w:rPr>
            </w:pPr>
          </w:p>
        </w:tc>
        <w:tc>
          <w:tcPr>
            <w:tcW w:w="900" w:type="dxa"/>
            <w:vAlign w:val="bottom"/>
            <w:gridSpan w:val="4"/>
          </w:tcPr>
          <w:p>
            <w:pPr>
              <w:jc w:val="right"/>
              <w:ind w:right="100"/>
              <w:spacing w:after="0" w:line="110" w:lineRule="exact"/>
              <w:rPr>
                <w:sz w:val="20"/>
                <w:szCs w:val="20"/>
                <w:color w:val="auto"/>
              </w:rPr>
            </w:pPr>
            <w:r>
              <w:rPr>
                <w:rFonts w:ascii="Arial" w:cs="Arial" w:eastAsia="Arial" w:hAnsi="Arial"/>
                <w:sz w:val="12"/>
                <w:szCs w:val="12"/>
                <w:b w:val="1"/>
                <w:bCs w:val="1"/>
                <w:color w:val="auto"/>
                <w:w w:val="99"/>
              </w:rPr>
              <w:t>Pro Forma As</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33"/>
              <w:spacing w:after="0" w:line="194" w:lineRule="exact"/>
              <w:rPr>
                <w:sz w:val="20"/>
                <w:szCs w:val="20"/>
                <w:color w:val="auto"/>
              </w:rPr>
            </w:pPr>
            <w:r>
              <w:rPr>
                <w:rFonts w:ascii="Arial" w:cs="Arial" w:eastAsia="Arial" w:hAnsi="Arial"/>
                <w:sz w:val="17"/>
                <w:szCs w:val="17"/>
                <w:color w:val="auto"/>
              </w:rPr>
              <w:t>9,808</w:t>
            </w:r>
          </w:p>
        </w:tc>
        <w:tc>
          <w:tcPr>
            <w:tcW w:w="46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39,994</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86,244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7"/>
                <w:szCs w:val="17"/>
                <w:color w:val="auto"/>
                <w:w w:val="96"/>
              </w:rPr>
              <w:t>Redeemable convertible preferred stock (Series A-1/A, Series A-1/B, Series A-1/C, Series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ind w:left="160"/>
              <w:spacing w:after="0"/>
              <w:rPr>
                <w:sz w:val="20"/>
                <w:szCs w:val="20"/>
                <w:color w:val="auto"/>
              </w:rPr>
            </w:pPr>
            <w:r>
              <w:rPr>
                <w:rFonts w:ascii="Arial" w:cs="Arial" w:eastAsia="Arial" w:hAnsi="Arial"/>
                <w:sz w:val="17"/>
                <w:szCs w:val="17"/>
                <w:color w:val="auto"/>
              </w:rPr>
              <w:t>A-2, Series A-3, Series A-4, Series B and Series C), par value $0.001 per share;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ind w:left="160"/>
              <w:spacing w:after="0"/>
              <w:rPr>
                <w:sz w:val="20"/>
                <w:szCs w:val="20"/>
                <w:color w:val="auto"/>
              </w:rPr>
            </w:pPr>
            <w:r>
              <w:rPr>
                <w:rFonts w:ascii="Arial" w:cs="Arial" w:eastAsia="Arial" w:hAnsi="Arial"/>
                <w:sz w:val="17"/>
                <w:szCs w:val="17"/>
                <w:color w:val="auto"/>
                <w:w w:val="97"/>
              </w:rPr>
              <w:t>210,786,340 shares authorized, 209,119,674 shares issued and outstanding, actual; no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160"/>
              <w:spacing w:after="0"/>
              <w:rPr>
                <w:sz w:val="20"/>
                <w:szCs w:val="20"/>
                <w:color w:val="auto"/>
              </w:rPr>
            </w:pPr>
            <w:r>
              <w:rPr>
                <w:rFonts w:ascii="Arial" w:cs="Arial" w:eastAsia="Arial" w:hAnsi="Arial"/>
                <w:sz w:val="17"/>
                <w:szCs w:val="17"/>
                <w:color w:val="auto"/>
              </w:rPr>
              <w:t>shares authorized, issued or outstanding, pro forma and pro forma as adjusted</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33"/>
              <w:spacing w:after="0"/>
              <w:rPr>
                <w:sz w:val="20"/>
                <w:szCs w:val="20"/>
                <w:color w:val="auto"/>
              </w:rPr>
            </w:pPr>
            <w:r>
              <w:rPr>
                <w:rFonts w:ascii="Arial" w:cs="Arial" w:eastAsia="Arial" w:hAnsi="Arial"/>
                <w:sz w:val="17"/>
                <w:szCs w:val="17"/>
                <w:color w:val="auto"/>
                <w:w w:val="97"/>
              </w:rPr>
              <w:t>130,666</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(deficit)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560" w:type="dxa"/>
            <w:vAlign w:val="bottom"/>
            <w:gridSpan w:val="2"/>
          </w:tcPr>
          <w:p>
            <w:pPr>
              <w:ind w:left="340"/>
              <w:spacing w:after="0" w:line="189" w:lineRule="exact"/>
              <w:rPr>
                <w:sz w:val="20"/>
                <w:szCs w:val="20"/>
                <w:color w:val="auto"/>
              </w:rPr>
            </w:pPr>
            <w:r>
              <w:rPr>
                <w:rFonts w:ascii="Arial" w:cs="Arial" w:eastAsia="Arial" w:hAnsi="Arial"/>
                <w:sz w:val="17"/>
                <w:szCs w:val="17"/>
                <w:color w:val="auto"/>
                <w:w w:val="92"/>
              </w:rPr>
              <w:t>Preferred stock, $0.001 par value; no shares authorized, issued or outstanding, actual; no</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ind w:left="500"/>
              <w:spacing w:after="0"/>
              <w:rPr>
                <w:sz w:val="20"/>
                <w:szCs w:val="20"/>
                <w:color w:val="auto"/>
              </w:rPr>
            </w:pPr>
            <w:r>
              <w:rPr>
                <w:rFonts w:ascii="Arial" w:cs="Arial" w:eastAsia="Arial" w:hAnsi="Arial"/>
                <w:sz w:val="17"/>
                <w:szCs w:val="17"/>
                <w:color w:val="auto"/>
                <w:w w:val="95"/>
              </w:rPr>
              <w:t>shares authorized and no shares issued or outstanding, pro forma and pro forma as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500"/>
              <w:spacing w:after="0"/>
              <w:rPr>
                <w:sz w:val="20"/>
                <w:szCs w:val="20"/>
                <w:color w:val="auto"/>
              </w:rPr>
            </w:pPr>
            <w:r>
              <w:rPr>
                <w:rFonts w:ascii="Arial" w:cs="Arial" w:eastAsia="Arial" w:hAnsi="Arial"/>
                <w:sz w:val="17"/>
                <w:szCs w:val="17"/>
                <w:color w:val="auto"/>
              </w:rPr>
              <w:t>adjusted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65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w w:val="96"/>
              </w:rPr>
              <w:t>Common stock, par value $0.001 per share; 275,000,000 shares authorized, 230,860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90"/>
              </w:rPr>
              <w:t>shares issued and outstanding, actual; 275,000,000 shares authorized, 8,876,378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92"/>
              </w:rPr>
              <w:t>issued and outstanding, pro forma; 200,000,000 shares authorized, 12,376,378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issued and outstanding, pro forma as adjusted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33"/>
              <w:spacing w:after="0"/>
              <w:rPr>
                <w:sz w:val="20"/>
                <w:szCs w:val="20"/>
                <w:color w:val="auto"/>
              </w:rPr>
            </w:pPr>
            <w:r>
              <w:rPr>
                <w:rFonts w:ascii="Arial" w:cs="Arial" w:eastAsia="Arial" w:hAnsi="Arial"/>
                <w:sz w:val="17"/>
                <w:szCs w:val="17"/>
                <w:color w:val="auto"/>
              </w:rPr>
              <w:t>4,419</w:t>
            </w: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4"/>
              </w:rPr>
              <w:t>165,578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211,804</w:t>
            </w:r>
          </w:p>
        </w:tc>
        <w:tc>
          <w:tcPr>
            <w:tcW w:w="0" w:type="dxa"/>
            <w:vAlign w:val="bottom"/>
          </w:tcPr>
          <w:p>
            <w:pPr>
              <w:spacing w:after="0"/>
              <w:rPr>
                <w:sz w:val="1"/>
                <w:szCs w:val="1"/>
                <w:color w:val="auto"/>
              </w:rPr>
            </w:pPr>
          </w:p>
        </w:tc>
      </w:tr>
      <w:tr>
        <w:trPr>
          <w:trHeight w:val="201"/>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73"/>
              <w:spacing w:after="0"/>
              <w:rPr>
                <w:sz w:val="20"/>
                <w:szCs w:val="20"/>
                <w:color w:val="auto"/>
              </w:rPr>
            </w:pPr>
            <w:r>
              <w:rPr>
                <w:rFonts w:ascii="Arial" w:cs="Arial" w:eastAsia="Arial" w:hAnsi="Arial"/>
                <w:sz w:val="17"/>
                <w:szCs w:val="17"/>
                <w:color w:val="auto"/>
                <w:w w:val="90"/>
              </w:rPr>
              <w:t>(127,757)</w:t>
            </w:r>
          </w:p>
        </w:tc>
        <w:tc>
          <w:tcPr>
            <w:tcW w:w="46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7"/>
              </w:rPr>
              <w:t>(127,757)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6"/>
              </w:rPr>
              <w:t>(127,757)</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340"/>
              <w:spacing w:after="0"/>
              <w:rPr>
                <w:sz w:val="20"/>
                <w:szCs w:val="20"/>
                <w:color w:val="auto"/>
              </w:rPr>
            </w:pPr>
            <w:r>
              <w:rPr>
                <w:rFonts w:ascii="Arial" w:cs="Arial" w:eastAsia="Arial" w:hAnsi="Arial"/>
                <w:sz w:val="17"/>
                <w:szCs w:val="17"/>
                <w:color w:val="auto"/>
              </w:rPr>
              <w:t>Total stockholders’ (deficit) equity</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73"/>
              <w:spacing w:after="0"/>
              <w:rPr>
                <w:sz w:val="20"/>
                <w:szCs w:val="20"/>
                <w:color w:val="auto"/>
              </w:rPr>
            </w:pPr>
            <w:r>
              <w:rPr>
                <w:rFonts w:ascii="Arial" w:cs="Arial" w:eastAsia="Arial" w:hAnsi="Arial"/>
                <w:sz w:val="17"/>
                <w:szCs w:val="17"/>
                <w:color w:val="auto"/>
                <w:w w:val="90"/>
              </w:rPr>
              <w:t>(123,338)</w:t>
            </w:r>
          </w:p>
        </w:tc>
        <w:tc>
          <w:tcPr>
            <w:tcW w:w="46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37,829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84,059</w:t>
            </w: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7,328</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37,829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84,059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40" w:type="dxa"/>
            <w:vAlign w:val="bottom"/>
            <w:tcBorders>
              <w:bottom w:val="single" w:sz="8" w:color="auto"/>
            </w:tcBorders>
          </w:tcPr>
          <w:p>
            <w:pPr>
              <w:spacing w:after="0"/>
              <w:rPr>
                <w:sz w:val="10"/>
                <w:szCs w:val="10"/>
                <w:color w:val="auto"/>
              </w:rPr>
            </w:pPr>
          </w:p>
        </w:tc>
        <w:tc>
          <w:tcPr>
            <w:tcW w:w="5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900" w:hanging="397"/>
        <w:spacing w:after="0" w:line="267"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$1.00 increase (decrease) in the assumed initial public offering price of $15.00 per share, which is the midpoint of the price range set forth on the cover page of this prospectus, would increase (decrease) the pro forma as adjusted amount of each of cash and cash equivalents, additional paid in capital, total stockholders’ equity and total capitalization by $3.25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of $15.00 per share, which is the midpoint of the price range set forth on the cover page of this prospectus, would increase (decrease) the pro forma as adjusted amount of each of cash and cash equivalents, additional paid in capital, total stockholders’ equity and total capitalization by approximately $13.95 million.</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number of shares in the table above does not include:</w:t>
      </w:r>
    </w:p>
    <w:p>
      <w:pPr>
        <w:spacing w:after="0" w:line="231" w:lineRule="exact"/>
        <w:rPr>
          <w:sz w:val="20"/>
          <w:szCs w:val="20"/>
          <w:color w:val="auto"/>
        </w:rPr>
      </w:pPr>
    </w:p>
    <w:p>
      <w:pPr>
        <w:ind w:left="1720" w:right="860" w:hanging="301"/>
        <w:spacing w:after="0" w:line="268" w:lineRule="auto"/>
        <w:tabs>
          <w:tab w:leader="none" w:pos="1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572,979 shares of common stock issuable upon the exercise of stock options outstanding, pursuant to our 2016 Plan, as of December 31, 2019, at a weighted-average exercise price of $2.76 per share;</w:t>
      </w:r>
    </w:p>
    <w:p>
      <w:pPr>
        <w:spacing w:after="0" w:line="191" w:lineRule="exact"/>
        <w:rPr>
          <w:rFonts w:ascii="Arial" w:cs="Arial" w:eastAsia="Arial" w:hAnsi="Arial"/>
          <w:sz w:val="17"/>
          <w:szCs w:val="17"/>
          <w:color w:val="auto"/>
        </w:rPr>
      </w:pPr>
    </w:p>
    <w:p>
      <w:pPr>
        <w:ind w:left="1720" w:right="860" w:hanging="301"/>
        <w:spacing w:after="0" w:line="268" w:lineRule="auto"/>
        <w:tabs>
          <w:tab w:leader="none" w:pos="1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219,460 shares of common stock issuable upon the exercise of stock options outstanding, pursuant to our 2005 Plan, as of December 31, 2019, at a weighted-average exercise price of $16.60 per share;</w:t>
      </w:r>
    </w:p>
    <w:p>
      <w:pPr>
        <w:spacing w:after="0" w:line="191" w:lineRule="exact"/>
        <w:rPr>
          <w:rFonts w:ascii="Arial" w:cs="Arial" w:eastAsia="Arial" w:hAnsi="Arial"/>
          <w:sz w:val="17"/>
          <w:szCs w:val="17"/>
          <w:color w:val="auto"/>
        </w:rPr>
      </w:pPr>
    </w:p>
    <w:p>
      <w:pPr>
        <w:ind w:left="1720" w:right="220" w:hanging="301"/>
        <w:spacing w:after="0" w:line="268" w:lineRule="auto"/>
        <w:tabs>
          <w:tab w:leader="none" w:pos="1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109,239 shares of common stock issuable upon the exercise of stock options granted after December 31, 2019 pursuant to our 2016 Plan;</w:t>
      </w:r>
    </w:p>
    <w:p>
      <w:pPr>
        <w:spacing w:after="0" w:line="191" w:lineRule="exact"/>
        <w:rPr>
          <w:rFonts w:ascii="Arial" w:cs="Arial" w:eastAsia="Arial" w:hAnsi="Arial"/>
          <w:sz w:val="17"/>
          <w:szCs w:val="17"/>
          <w:color w:val="auto"/>
        </w:rPr>
      </w:pPr>
    </w:p>
    <w:p>
      <w:pPr>
        <w:ind w:left="1720" w:right="160" w:hanging="301"/>
        <w:spacing w:after="0" w:line="268" w:lineRule="auto"/>
        <w:tabs>
          <w:tab w:leader="none" w:pos="1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494,716 shares of common stock issuable upon the exercise of stock options to be granted in connection with this offering under our 2020 Plan, which will become effective in connection with</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740"/>
          </w:cols>
          <w:pgMar w:left="320" w:top="437" w:right="8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360"/>
        <w:spacing w:after="0" w:line="268" w:lineRule="auto"/>
        <w:rPr>
          <w:sz w:val="20"/>
          <w:szCs w:val="20"/>
          <w:color w:val="auto"/>
        </w:rPr>
      </w:pPr>
      <w:r>
        <w:rPr>
          <w:rFonts w:ascii="Arial" w:cs="Arial" w:eastAsia="Arial" w:hAnsi="Arial"/>
          <w:sz w:val="17"/>
          <w:szCs w:val="17"/>
          <w:color w:val="auto"/>
        </w:rPr>
        <w:t>this offering, to certain of our directors, executive officers and employees, at an exercise price per share equal to the initial public offering price in this offering;</w:t>
      </w:r>
    </w:p>
    <w:p>
      <w:pPr>
        <w:spacing w:after="0" w:line="191" w:lineRule="exact"/>
        <w:rPr>
          <w:sz w:val="20"/>
          <w:szCs w:val="20"/>
          <w:color w:val="auto"/>
        </w:rPr>
      </w:pPr>
    </w:p>
    <w:p>
      <w:pPr>
        <w:ind w:left="1720" w:right="260" w:hanging="301"/>
        <w:spacing w:after="0" w:line="257" w:lineRule="auto"/>
        <w:tabs>
          <w:tab w:leader="none" w:pos="1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1,605,284 additional shares of our common stock reserved for future issuance under our 2020 Plan, which will become effective in connection with this offering, as well as any automatic increases in the number of shares of our common stock reserved for future issuance under our 2020 Plan; and</w:t>
      </w:r>
    </w:p>
    <w:p>
      <w:pPr>
        <w:spacing w:after="0" w:line="200" w:lineRule="exact"/>
        <w:rPr>
          <w:rFonts w:ascii="Arial" w:cs="Arial" w:eastAsia="Arial" w:hAnsi="Arial"/>
          <w:sz w:val="17"/>
          <w:szCs w:val="17"/>
          <w:color w:val="auto"/>
        </w:rPr>
      </w:pPr>
    </w:p>
    <w:p>
      <w:pPr>
        <w:ind w:left="1720" w:hanging="301"/>
        <w:spacing w:after="0" w:line="257" w:lineRule="auto"/>
        <w:tabs>
          <w:tab w:leader="none" w:pos="1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150,000 shares of our common stock that will become available for future issuance under our 2020 ESPP, which will become effective in connection with this offering, and shares of our common stock that become available pursuant to provisions in our 2020 ESPP that automatically increase the share reserve under our 2020 ESPP.</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740"/>
          </w:cols>
          <w:pgMar w:left="320" w:top="437" w:right="8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DILUTION</w:t>
      </w:r>
    </w:p>
    <w:p>
      <w:pPr>
        <w:spacing w:after="0" w:line="210" w:lineRule="exact"/>
        <w:rPr>
          <w:sz w:val="20"/>
          <w:szCs w:val="20"/>
          <w:color w:val="auto"/>
        </w:rPr>
      </w:pPr>
    </w:p>
    <w:p>
      <w:pPr>
        <w:ind w:left="500" w:right="120" w:firstLine="819"/>
        <w:spacing w:after="0" w:line="257"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175" w:lineRule="exact"/>
        <w:rPr>
          <w:sz w:val="20"/>
          <w:szCs w:val="20"/>
          <w:color w:val="auto"/>
        </w:rPr>
      </w:pPr>
    </w:p>
    <w:p>
      <w:pPr>
        <w:jc w:val="both"/>
        <w:ind w:left="500" w:firstLine="819"/>
        <w:spacing w:after="0" w:line="257" w:lineRule="auto"/>
        <w:rPr>
          <w:sz w:val="20"/>
          <w:szCs w:val="20"/>
          <w:color w:val="auto"/>
        </w:rPr>
      </w:pPr>
      <w:r>
        <w:rPr>
          <w:rFonts w:ascii="Arial" w:cs="Arial" w:eastAsia="Arial" w:hAnsi="Arial"/>
          <w:sz w:val="17"/>
          <w:szCs w:val="17"/>
          <w:color w:val="auto"/>
        </w:rPr>
        <w:t>As of December 31, 2019, we had a historical net tangible book value (deficit) of $(127.6) million, or $(552.79) per share of common stock. Our historical net tangible book value (deficit) per share represents total tangible assets less total liabilities and preferred stock, divided by the number of shares of our common stock outstanding as of December 31, 2019.</w:t>
      </w:r>
    </w:p>
    <w:p>
      <w:pPr>
        <w:spacing w:after="0" w:line="175" w:lineRule="exact"/>
        <w:rPr>
          <w:sz w:val="20"/>
          <w:szCs w:val="20"/>
          <w:color w:val="auto"/>
        </w:rPr>
      </w:pPr>
    </w:p>
    <w:p>
      <w:pPr>
        <w:ind w:left="500" w:right="60" w:firstLine="819"/>
        <w:spacing w:after="0" w:line="283" w:lineRule="auto"/>
        <w:rPr>
          <w:sz w:val="20"/>
          <w:szCs w:val="20"/>
          <w:color w:val="auto"/>
        </w:rPr>
      </w:pPr>
      <w:r>
        <w:rPr>
          <w:rFonts w:ascii="Arial" w:cs="Arial" w:eastAsia="Arial" w:hAnsi="Arial"/>
          <w:sz w:val="15"/>
          <w:szCs w:val="15"/>
          <w:color w:val="auto"/>
        </w:rPr>
        <w:t>Our pro forma net tangible book value as of December 31, 2019 was $33.6 million, or $3.78 per share. Pro forma net tangible book value represents the amount of our total tangible assets less total liabilities, after giving effect to (1) the issuance and sale of 78,306,611 shares of our Series C preferred stock, at a price of $0.38811 per share, and warrants to purchase 681,256 shares of our common stock, in each case, in January 2020, (2) the automatic conversion of all shares of our preferred stock into an aggregate of 8,335,248 shares of our common stock in connection with this offering,</w:t>
      </w:r>
    </w:p>
    <w:p>
      <w:pPr>
        <w:spacing w:after="0" w:line="2" w:lineRule="exact"/>
        <w:rPr>
          <w:sz w:val="20"/>
          <w:szCs w:val="20"/>
          <w:color w:val="auto"/>
        </w:rPr>
      </w:pPr>
    </w:p>
    <w:p>
      <w:pPr>
        <w:ind w:left="500" w:right="20" w:firstLine="3"/>
        <w:spacing w:after="0" w:line="265" w:lineRule="auto"/>
        <w:tabs>
          <w:tab w:leader="none" w:pos="7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issuance to George Whitesides, Ph.D., one of our directors, in lieu of compensation payable by us under a consulting agreement, of such number of fully vested shares of common stock equal to $314,580 divided by the initial public offering price per share, which, based on an assumed initial public offering price of $15.00 per share, the midpoint of the price range set forth on the cover of this prospectus, would result in the issuance of 20,972 shares of our common stock upon the closing of this offering and (4) the automatic cashless exercise of outstanding warrants to purchase shares of common stock, which, based on an assumed initial public offering price of $15.00 per share, the midpoint of the price range set forth on the cover of this prospectus, would result in the issuance of 289,298 shares of our common stock upon the closing of this offering. Pro forma net tangible book value per share represents our pro forma net tangible book value divided by the total number of shares outstanding as of December 31, 2019, after giving effect to the pro forma adjustment described above.</w:t>
      </w:r>
    </w:p>
    <w:p>
      <w:pPr>
        <w:spacing w:after="0" w:line="170" w:lineRule="exact"/>
        <w:rPr>
          <w:sz w:val="20"/>
          <w:szCs w:val="20"/>
          <w:color w:val="auto"/>
        </w:rPr>
      </w:pPr>
    </w:p>
    <w:p>
      <w:pPr>
        <w:ind w:left="500" w:firstLine="819"/>
        <w:spacing w:after="0" w:line="288" w:lineRule="auto"/>
        <w:rPr>
          <w:sz w:val="20"/>
          <w:szCs w:val="20"/>
          <w:color w:val="auto"/>
        </w:rPr>
      </w:pPr>
      <w:r>
        <w:rPr>
          <w:rFonts w:ascii="Arial" w:cs="Arial" w:eastAsia="Arial" w:hAnsi="Arial"/>
          <w:sz w:val="15"/>
          <w:szCs w:val="15"/>
          <w:color w:val="auto"/>
        </w:rPr>
        <w:t>After giving further effect to receipt of the net proceeds from our issuance and the sale of 3,500,000 shares of common stock in this offering at an assumed initial public offering price of $15.00 per share, which is the midpoint of the price range set forth on the cover page of this prospectus, and after deducting the estimated underwriting discounts and commissions and estimated offering expenses payable by us, our pro forma as adjusted net tangible book value as of December 31, 2019 would have been approximately $79.8 million, or approximately $6.45 per share. This amount represents an immediate increase in pro forma net tangible book value of $2.67 per share to our existing stockholders and an immediate dilution of approximately $8.55 per share to new investors participating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95" w:lineRule="exact"/>
        <w:rPr>
          <w:sz w:val="20"/>
          <w:szCs w:val="20"/>
          <w:color w:val="auto"/>
        </w:rPr>
      </w:pPr>
    </w:p>
    <w:tbl>
      <w:tblPr>
        <w:tblLayout w:type="fixed"/>
        <w:tblInd w:w="500" w:type="dxa"/>
        <w:tblCellMar>
          <w:top w:w="0" w:type="dxa"/>
          <w:left w:w="0" w:type="dxa"/>
          <w:bottom w:w="0" w:type="dxa"/>
          <w:right w:w="0" w:type="dxa"/>
        </w:tblCellMar>
      </w:tblP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15.00</w:t>
            </w:r>
          </w:p>
        </w:tc>
        <w:tc>
          <w:tcPr>
            <w:tcW w:w="0" w:type="dxa"/>
            <w:vAlign w:val="bottom"/>
          </w:tcPr>
          <w:p>
            <w:pPr>
              <w:spacing w:after="0"/>
              <w:rPr>
                <w:sz w:val="1"/>
                <w:szCs w:val="1"/>
                <w:color w:val="auto"/>
              </w:rPr>
            </w:pPr>
          </w:p>
        </w:tc>
      </w:tr>
      <w:tr>
        <w:trPr>
          <w:trHeight w:val="201"/>
        </w:trPr>
        <w:tc>
          <w:tcPr>
            <w:tcW w:w="8800" w:type="dxa"/>
            <w:vAlign w:val="bottom"/>
          </w:tcPr>
          <w:p>
            <w:pPr>
              <w:ind w:left="340"/>
              <w:spacing w:after="0"/>
              <w:rPr>
                <w:sz w:val="20"/>
                <w:szCs w:val="20"/>
                <w:color w:val="auto"/>
              </w:rPr>
            </w:pPr>
            <w:r>
              <w:rPr>
                <w:rFonts w:ascii="Arial" w:cs="Arial" w:eastAsia="Arial" w:hAnsi="Arial"/>
                <w:sz w:val="17"/>
                <w:szCs w:val="17"/>
                <w:color w:val="auto"/>
              </w:rPr>
              <w:t>Historical net tangible book value (deficit) per share as of December 31, 2019</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$(552.79)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8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w w:val="90"/>
              </w:rPr>
              <w:t>Increase (decrease) per share attributable to the issuance and sale of shares of our Series C preferred stock and warrants to</w:t>
            </w: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0"/>
              </w:rPr>
              <w:t>purchase shares of our common stock, in each case, in January 2020, the conversion of our preferred stock, the issuance</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2"/>
              </w:rPr>
              <w:t>to one of our directors in lieu of other compensation of shares of our common stock upon the closing of this offering and</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the automatic cashless exercise of outstanding warrants to purchase shares of our common stock</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Pro forma net tangible book value per share as of December 31, 2019</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per share attributable to this offering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6.45</w:t>
            </w:r>
          </w:p>
        </w:tc>
        <w:tc>
          <w:tcPr>
            <w:tcW w:w="0" w:type="dxa"/>
            <w:vAlign w:val="bottom"/>
          </w:tcPr>
          <w:p>
            <w:pPr>
              <w:spacing w:after="0"/>
              <w:rPr>
                <w:sz w:val="1"/>
                <w:szCs w:val="1"/>
                <w:color w:val="auto"/>
              </w:rPr>
            </w:pPr>
          </w:p>
        </w:tc>
      </w:tr>
      <w:tr>
        <w:trPr>
          <w:trHeight w:val="106"/>
        </w:trPr>
        <w:tc>
          <w:tcPr>
            <w:tcW w:w="8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040"/>
              <w:spacing w:after="0"/>
              <w:rPr>
                <w:sz w:val="20"/>
                <w:szCs w:val="20"/>
                <w:color w:val="auto"/>
              </w:rPr>
            </w:pPr>
            <w:r>
              <w:rPr>
                <w:rFonts w:ascii="Arial" w:cs="Arial" w:eastAsia="Arial" w:hAnsi="Arial"/>
                <w:sz w:val="17"/>
                <w:szCs w:val="17"/>
                <w:color w:val="auto"/>
              </w:rPr>
              <w:t>87</w:t>
            </w: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37" w:right="8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80" w:firstLine="819"/>
        <w:spacing w:after="0" w:line="265" w:lineRule="auto"/>
        <w:rPr>
          <w:sz w:val="20"/>
          <w:szCs w:val="20"/>
          <w:color w:val="auto"/>
        </w:rPr>
      </w:pPr>
      <w:r>
        <w:rPr>
          <w:rFonts w:ascii="Arial" w:cs="Arial" w:eastAsia="Arial" w:hAnsi="Arial"/>
          <w:sz w:val="16"/>
          <w:szCs w:val="16"/>
          <w:color w:val="auto"/>
        </w:rPr>
        <w:t>Each $1.00 increase (decrease) in the assumed initial public offering price of $15.00 per share, which is the midpoint of the price range set forth on the cover page of this prospectus, would increase (decrease) the pro forma as adjusted net tangible book value per share after this offering by $0.26, and dilution in pro forma net tangible book value per share to new investors by $0.74, assuming that the number of shares offered by us, as set forth on the cover page of this prospectus, remains the same and after deducting estimated underwriting discounts and commissions and estimated offering expenses payable by us. Each increase of 1.0 million shares in the number of shares offered by us would increase our pro forma as adjusted net tangible book value per share after this offering by $0.56 per share and decrease the dilution to new investors by $0.56 per share, assuming that the assumed initial public offering price remains the same, and after deducting the estimated underwriting discounts and commissions and the estimated offering expenses payable by us. Similarly, each decrease of 1.0 million shares in the number of shares offered by us would decrease our pro forma as adjusted net tangible book value per share after this offering by $0.66 per share and increase the dilution to new investors by $0.66 per share, assuming that the assumed initial public offering price remains the same, and after deducting the estimated underwriting discounts and commissions and the estimated offering expenses payable by us.</w:t>
      </w:r>
    </w:p>
    <w:p>
      <w:pPr>
        <w:spacing w:after="0" w:line="175" w:lineRule="exact"/>
        <w:rPr>
          <w:sz w:val="20"/>
          <w:szCs w:val="20"/>
          <w:color w:val="auto"/>
        </w:rPr>
      </w:pPr>
    </w:p>
    <w:p>
      <w:pPr>
        <w:ind w:left="500" w:right="100" w:firstLine="819"/>
        <w:spacing w:after="0" w:line="251" w:lineRule="auto"/>
        <w:rPr>
          <w:sz w:val="20"/>
          <w:szCs w:val="20"/>
          <w:color w:val="auto"/>
        </w:rPr>
      </w:pPr>
      <w:r>
        <w:rPr>
          <w:rFonts w:ascii="Arial" w:cs="Arial" w:eastAsia="Arial" w:hAnsi="Arial"/>
          <w:sz w:val="17"/>
          <w:szCs w:val="17"/>
          <w:color w:val="auto"/>
        </w:rPr>
        <w:t>If the underwriters exercise their option to purchase additional shares of our common stock in full, the pro forma as adjusted net tangible book value after this offering would be $6.75 per share, the increase in pro forma net tangible book value per share would be $0.30 and the dilution per share to new investors would be $8.25 per share, in each case assuming an initial public offering price of $15.00 per share, which is the midpoint of the price range set forth on the cover page of this prospectus, and after deducting the estimated underwriting discounts and commissions and the estimated offering expenses payable by us.</w:t>
      </w:r>
    </w:p>
    <w:p>
      <w:pPr>
        <w:spacing w:after="0" w:line="183" w:lineRule="exact"/>
        <w:rPr>
          <w:sz w:val="20"/>
          <w:szCs w:val="20"/>
          <w:color w:val="auto"/>
        </w:rPr>
      </w:pPr>
    </w:p>
    <w:p>
      <w:pPr>
        <w:ind w:left="500" w:right="120" w:firstLine="819"/>
        <w:spacing w:after="0" w:line="251" w:lineRule="auto"/>
        <w:rPr>
          <w:sz w:val="20"/>
          <w:szCs w:val="20"/>
          <w:color w:val="auto"/>
        </w:rPr>
      </w:pPr>
      <w:r>
        <w:rPr>
          <w:rFonts w:ascii="Arial" w:cs="Arial" w:eastAsia="Arial" w:hAnsi="Arial"/>
          <w:sz w:val="17"/>
          <w:szCs w:val="17"/>
          <w:color w:val="auto"/>
        </w:rPr>
        <w:t>The following table summarizes on the pro forma as adjusted basis described above, as of December 31, 2019, the differences between the number of shares purchased from us, the total consideration paid to us in cash and the average price per share that existing stockholders and new investors paid. The calculation below is based on an assumed initial public offering price of $15.00 per share, which is the midpoint of the price range set forth on the cover page of this prospectus, before deducting the estimated underwriting discounts and commissions and estimated offering expenses payable by us.</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spacing w:after="0"/>
              <w:rPr>
                <w:sz w:val="20"/>
                <w:szCs w:val="20"/>
                <w:color w:val="auto"/>
              </w:rPr>
            </w:pPr>
            <w:r>
              <w:rPr>
                <w:rFonts w:ascii="Arial" w:cs="Arial" w:eastAsia="Arial" w:hAnsi="Arial"/>
                <w:sz w:val="13"/>
                <w:szCs w:val="13"/>
                <w:b w:val="1"/>
                <w:bCs w:val="1"/>
                <w:color w:val="auto"/>
                <w:w w:val="88"/>
              </w:rPr>
              <w:t>Shares Purchased</w:t>
            </w:r>
          </w:p>
        </w:tc>
        <w:tc>
          <w:tcPr>
            <w:tcW w:w="6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Total Consideration</w:t>
            </w:r>
          </w:p>
        </w:tc>
        <w:tc>
          <w:tcPr>
            <w:tcW w:w="220" w:type="dxa"/>
            <w:vAlign w:val="bottom"/>
          </w:tcPr>
          <w:p>
            <w:pPr>
              <w:spacing w:after="0"/>
              <w:rPr>
                <w:sz w:val="13"/>
                <w:szCs w:val="13"/>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89"/>
              </w:rPr>
              <w:t>Average Price</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line="20" w:lineRule="exact"/>
              <w:rPr>
                <w:sz w:val="1"/>
                <w:szCs w:val="1"/>
                <w:color w:val="auto"/>
              </w:rPr>
            </w:pPr>
          </w:p>
        </w:tc>
      </w:tr>
      <w:tr>
        <w:trPr>
          <w:trHeight w:val="131"/>
        </w:trPr>
        <w:tc>
          <w:tcPr>
            <w:tcW w:w="5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w w:val="93"/>
              </w:rPr>
              <w:t>Number</w:t>
            </w:r>
          </w:p>
        </w:tc>
        <w:tc>
          <w:tcPr>
            <w:tcW w:w="580" w:type="dxa"/>
            <w:vAlign w:val="bottom"/>
            <w:gridSpan w:val="2"/>
          </w:tcPr>
          <w:p>
            <w:pPr>
              <w:spacing w:after="0"/>
              <w:rPr>
                <w:sz w:val="11"/>
                <w:szCs w:val="11"/>
                <w:color w:val="auto"/>
              </w:rPr>
            </w:pPr>
          </w:p>
        </w:tc>
        <w:tc>
          <w:tcPr>
            <w:tcW w:w="44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w w:val="87"/>
              </w:rPr>
              <w:t>Percent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00" w:type="dxa"/>
            <w:vAlign w:val="bottom"/>
          </w:tcPr>
          <w:p>
            <w:pPr>
              <w:jc w:val="right"/>
              <w:ind w:right="79"/>
              <w:spacing w:after="0" w:line="131" w:lineRule="exact"/>
              <w:rPr>
                <w:sz w:val="20"/>
                <w:szCs w:val="20"/>
                <w:color w:val="auto"/>
              </w:rPr>
            </w:pPr>
            <w:r>
              <w:rPr>
                <w:rFonts w:ascii="Arial" w:cs="Arial" w:eastAsia="Arial" w:hAnsi="Arial"/>
                <w:sz w:val="12"/>
                <w:szCs w:val="12"/>
                <w:b w:val="1"/>
                <w:bCs w:val="1"/>
                <w:color w:val="auto"/>
                <w:w w:val="74"/>
              </w:rPr>
              <w:t>Amount</w:t>
            </w:r>
          </w:p>
        </w:tc>
        <w:tc>
          <w:tcPr>
            <w:tcW w:w="420" w:type="dxa"/>
            <w:vAlign w:val="bottom"/>
          </w:tcPr>
          <w:p>
            <w:pPr>
              <w:spacing w:after="0"/>
              <w:rPr>
                <w:sz w:val="11"/>
                <w:szCs w:val="11"/>
                <w:color w:val="auto"/>
              </w:rPr>
            </w:pPr>
          </w:p>
        </w:tc>
        <w:tc>
          <w:tcPr>
            <w:tcW w:w="44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w w:val="87"/>
              </w:rPr>
              <w:t>Percent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Existing stockholders</w:t>
            </w:r>
          </w:p>
        </w:tc>
        <w:tc>
          <w:tcPr>
            <w:tcW w:w="1220" w:type="dxa"/>
            <w:vAlign w:val="bottom"/>
            <w:gridSpan w:val="5"/>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8,876,378</w:t>
            </w:r>
          </w:p>
        </w:tc>
        <w:tc>
          <w:tcPr>
            <w:tcW w:w="78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71.7%</w:t>
            </w:r>
          </w:p>
        </w:tc>
        <w:tc>
          <w:tcPr>
            <w:tcW w:w="3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162,447</w:t>
            </w:r>
          </w:p>
        </w:tc>
        <w:tc>
          <w:tcPr>
            <w:tcW w:w="78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75.6%</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4"/>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18.30</w:t>
            </w: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7"/>
                <w:szCs w:val="17"/>
                <w:color w:val="auto"/>
              </w:rPr>
              <w:t>New investors</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3,500,000</w:t>
            </w:r>
          </w:p>
        </w:tc>
        <w:tc>
          <w:tcPr>
            <w:tcW w:w="42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7"/>
                <w:szCs w:val="17"/>
                <w:color w:val="auto"/>
              </w:rPr>
              <w:t>28.3%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7"/>
                <w:szCs w:val="17"/>
                <w:color w:val="auto"/>
              </w:rPr>
              <w:t>52,500</w:t>
            </w:r>
          </w:p>
        </w:tc>
        <w:tc>
          <w:tcPr>
            <w:tcW w:w="780" w:type="dxa"/>
            <w:vAlign w:val="bottom"/>
            <w:gridSpan w:val="3"/>
          </w:tcPr>
          <w:p>
            <w:pPr>
              <w:jc w:val="right"/>
              <w:ind w:right="200"/>
              <w:spacing w:after="0"/>
              <w:rPr>
                <w:sz w:val="20"/>
                <w:szCs w:val="20"/>
                <w:color w:val="auto"/>
              </w:rPr>
            </w:pPr>
            <w:r>
              <w:rPr>
                <w:rFonts w:ascii="Arial" w:cs="Arial" w:eastAsia="Arial" w:hAnsi="Arial"/>
                <w:sz w:val="17"/>
                <w:szCs w:val="17"/>
                <w:color w:val="auto"/>
              </w:rPr>
              <w:t>24.4%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1"/>
              </w:rPr>
              <w:t>12,376,378</w:t>
            </w:r>
          </w:p>
        </w:tc>
        <w:tc>
          <w:tcPr>
            <w:tcW w:w="4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7"/>
              </w:rPr>
              <w:t>100.0%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214,947</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7"/>
              </w:rPr>
              <w:t>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17.37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20" w:firstLine="819"/>
        <w:spacing w:after="0" w:line="266" w:lineRule="auto"/>
        <w:rPr>
          <w:sz w:val="20"/>
          <w:szCs w:val="20"/>
          <w:color w:val="auto"/>
        </w:rPr>
      </w:pPr>
      <w:r>
        <w:rPr>
          <w:rFonts w:ascii="Arial" w:cs="Arial" w:eastAsia="Arial" w:hAnsi="Arial"/>
          <w:sz w:val="16"/>
          <w:szCs w:val="16"/>
          <w:color w:val="auto"/>
        </w:rPr>
        <w:t>A $1.00 increase or decrease in the assumed initial public offering price of $15.00 per share, which is the midpoint of the price range set forth on the cover page of this prospectus, would increase or decrease the total consideration paid by new investors by $3.5 million and, in the case of an increase, would increase the percentage of total consideration paid by new investors by 1.2 percentage points and, in the case of a decrease, would decrease the percentage of total consideration paid by new investors by 1.2 percentage points, assuming that the number of shares offered by us, as set forth on the cover page of this prospectus, remains the same. An increase or decrease of 1.0 million shares in the number of shares offered by us, as set forth on the cover page of this prospectus, would increase or decrease the total consideration paid by new investors by $15.0 million and, in the case of an increase, would increase the percentage of total consideration paid by new investors by 5.0 percentage points and, in the case of a decrease, would decrease the percentage of total consideration paid by new investors by 5.6 percentage points, assuming no change in the assumed initial public offering price.</w:t>
      </w:r>
    </w:p>
    <w:p>
      <w:pPr>
        <w:spacing w:after="0" w:line="173" w:lineRule="exact"/>
        <w:rPr>
          <w:sz w:val="20"/>
          <w:szCs w:val="20"/>
          <w:color w:val="auto"/>
        </w:rPr>
      </w:pPr>
    </w:p>
    <w:p>
      <w:pPr>
        <w:ind w:left="500" w:right="200" w:firstLine="819"/>
        <w:spacing w:after="0" w:line="257" w:lineRule="auto"/>
        <w:rPr>
          <w:sz w:val="20"/>
          <w:szCs w:val="20"/>
          <w:color w:val="auto"/>
        </w:rPr>
      </w:pPr>
      <w:r>
        <w:rPr>
          <w:rFonts w:ascii="Arial" w:cs="Arial" w:eastAsia="Arial" w:hAnsi="Arial"/>
          <w:sz w:val="17"/>
          <w:szCs w:val="17"/>
          <w:color w:val="auto"/>
        </w:rPr>
        <w:t>The foregoing tables and calculations are based on the number of shares of our common stock outstanding as of December 31, 2019, after giving effect to the automatic conversion of all outstanding shares of our preferred stock into common stock in connection with this offering, and exclude:</w:t>
      </w:r>
    </w:p>
    <w:p>
      <w:pPr>
        <w:spacing w:after="0" w:line="201" w:lineRule="exact"/>
        <w:rPr>
          <w:sz w:val="20"/>
          <w:szCs w:val="20"/>
          <w:color w:val="auto"/>
        </w:rPr>
      </w:pPr>
    </w:p>
    <w:p>
      <w:pPr>
        <w:ind w:left="1720" w:hanging="301"/>
        <w:spacing w:after="0" w:line="268" w:lineRule="auto"/>
        <w:tabs>
          <w:tab w:leader="none" w:pos="17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572,979 shares of common stock issuable upon exercise of stock options outstanding under our 2016 Plan as of December 31, 2019, at a weighted-average exercise price of $2.76 per share;</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740"/>
          </w:cols>
          <w:pgMar w:left="320" w:top="437" w:right="8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line="268" w:lineRule="auto"/>
        <w:tabs>
          <w:tab w:leader="none" w:pos="1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219,460 shares of common stock issuable upon exercise of stock options outstanding under our 2005 Plan as of December 31, 2019, at a weighted-average exercise price of $16.60 per share;</w:t>
      </w:r>
    </w:p>
    <w:p>
      <w:pPr>
        <w:spacing w:after="0" w:line="191" w:lineRule="exact"/>
        <w:rPr>
          <w:rFonts w:ascii="Arial" w:cs="Arial" w:eastAsia="Arial" w:hAnsi="Arial"/>
          <w:sz w:val="17"/>
          <w:szCs w:val="17"/>
          <w:color w:val="auto"/>
        </w:rPr>
      </w:pPr>
    </w:p>
    <w:p>
      <w:pPr>
        <w:ind w:left="1720" w:right="220" w:hanging="301"/>
        <w:spacing w:after="0" w:line="268" w:lineRule="auto"/>
        <w:tabs>
          <w:tab w:leader="none" w:pos="1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109,239 shares of common stock issuable upon the exercise of stock options granted after December 31, 2019 pursuant to our 2016 Plan;</w:t>
      </w:r>
    </w:p>
    <w:p>
      <w:pPr>
        <w:spacing w:after="0" w:line="191" w:lineRule="exact"/>
        <w:rPr>
          <w:rFonts w:ascii="Arial" w:cs="Arial" w:eastAsia="Arial" w:hAnsi="Arial"/>
          <w:sz w:val="17"/>
          <w:szCs w:val="17"/>
          <w:color w:val="auto"/>
        </w:rPr>
      </w:pPr>
    </w:p>
    <w:p>
      <w:pPr>
        <w:ind w:left="1720" w:right="80" w:hanging="301"/>
        <w:spacing w:after="0" w:line="257" w:lineRule="auto"/>
        <w:tabs>
          <w:tab w:leader="none" w:pos="1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494,716 shares of common stock issuable upon the exercise of stock options to be granted in connection with this offering under our 2020 Plan, which will become effective in connection with this offering, to certain of our directors, executive officers and employees, at an exercise price per share equal to the initial public offering price in this offering;</w:t>
      </w:r>
    </w:p>
    <w:p>
      <w:pPr>
        <w:spacing w:after="0" w:line="200" w:lineRule="exact"/>
        <w:rPr>
          <w:rFonts w:ascii="Arial" w:cs="Arial" w:eastAsia="Arial" w:hAnsi="Arial"/>
          <w:sz w:val="17"/>
          <w:szCs w:val="17"/>
          <w:color w:val="auto"/>
        </w:rPr>
      </w:pPr>
    </w:p>
    <w:p>
      <w:pPr>
        <w:ind w:left="1720" w:right="260" w:hanging="301"/>
        <w:spacing w:after="0" w:line="257" w:lineRule="auto"/>
        <w:tabs>
          <w:tab w:leader="none" w:pos="1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1,605,284 additional shares of our common stock reserved for future issuance under our 2020 Plan, which will become effective in connection with this offering, as well as any automatic increases in the number of shares of our common stock reserved for future issuance under our 2020 Plan; and</w:t>
      </w:r>
    </w:p>
    <w:p>
      <w:pPr>
        <w:spacing w:after="0" w:line="200" w:lineRule="exact"/>
        <w:rPr>
          <w:rFonts w:ascii="Arial" w:cs="Arial" w:eastAsia="Arial" w:hAnsi="Arial"/>
          <w:sz w:val="17"/>
          <w:szCs w:val="17"/>
          <w:color w:val="auto"/>
        </w:rPr>
      </w:pPr>
    </w:p>
    <w:p>
      <w:pPr>
        <w:ind w:left="1720" w:hanging="301"/>
        <w:spacing w:after="0" w:line="257" w:lineRule="auto"/>
        <w:tabs>
          <w:tab w:leader="none" w:pos="1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150,000 shares of our common stock that will become available for future issuance under our 2020 ESPP, which will become effective in connection with this offering, and shares of our common stock that become available pursuant to provisions in our 2020 ESPP that automatically increase the share reserve under our 2020 ESPP.</w:t>
      </w:r>
    </w:p>
    <w:p>
      <w:pPr>
        <w:spacing w:after="0" w:line="175" w:lineRule="exact"/>
        <w:rPr>
          <w:sz w:val="20"/>
          <w:szCs w:val="20"/>
          <w:color w:val="auto"/>
        </w:rPr>
      </w:pPr>
    </w:p>
    <w:p>
      <w:pPr>
        <w:ind w:left="500" w:right="100" w:firstLine="819"/>
        <w:spacing w:after="0" w:line="257" w:lineRule="auto"/>
        <w:rPr>
          <w:sz w:val="20"/>
          <w:szCs w:val="20"/>
          <w:color w:val="auto"/>
        </w:rPr>
      </w:pPr>
      <w:r>
        <w:rPr>
          <w:rFonts w:ascii="Arial" w:cs="Arial" w:eastAsia="Arial" w:hAnsi="Arial"/>
          <w:sz w:val="17"/>
          <w:szCs w:val="17"/>
          <w:color w:val="auto"/>
        </w:rPr>
        <w:t>To the extent any of these outstanding options is exercised, there will be further dilution to new investors. If all of such outstanding options had been exercised as of December 31, 2019, the pro forma as adjusted net tangible book value per share after this offering would be $6.78, and total dilution per share to new investors would be $8.22.</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If the underwriters exercise their option to purchase additional shares of our common stock in full:</w:t>
      </w:r>
    </w:p>
    <w:p>
      <w:pPr>
        <w:spacing w:after="0" w:line="231" w:lineRule="exact"/>
        <w:rPr>
          <w:sz w:val="20"/>
          <w:szCs w:val="20"/>
          <w:color w:val="auto"/>
        </w:rPr>
      </w:pPr>
    </w:p>
    <w:p>
      <w:pPr>
        <w:ind w:left="1720" w:right="140" w:hanging="301"/>
        <w:spacing w:after="0" w:line="268" w:lineRule="auto"/>
        <w:tabs>
          <w:tab w:leader="none" w:pos="17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percentage of shares of common stock held by existing stockholders will decrease to approximately 72.9% of the total number of shares of our common stock outstanding after this offering; and</w:t>
      </w:r>
    </w:p>
    <w:p>
      <w:pPr>
        <w:spacing w:after="0" w:line="191" w:lineRule="exact"/>
        <w:rPr>
          <w:rFonts w:ascii="Arial" w:cs="Arial" w:eastAsia="Arial" w:hAnsi="Arial"/>
          <w:sz w:val="17"/>
          <w:szCs w:val="17"/>
          <w:color w:val="auto"/>
        </w:rPr>
      </w:pPr>
    </w:p>
    <w:p>
      <w:pPr>
        <w:ind w:left="1720" w:right="220" w:hanging="301"/>
        <w:spacing w:after="0" w:line="268" w:lineRule="auto"/>
        <w:tabs>
          <w:tab w:leader="none" w:pos="17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number of shares held by new investors will increase to 4,025,000, or approximately 27.1% of the total number of shares of our common stock outstanding after this offering.</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740"/>
          </w:cols>
          <w:pgMar w:left="320" w:top="437" w:right="8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10" w:lineRule="exact"/>
        <w:rPr>
          <w:sz w:val="20"/>
          <w:szCs w:val="20"/>
          <w:color w:val="auto"/>
        </w:rPr>
      </w:pPr>
    </w:p>
    <w:p>
      <w:pPr>
        <w:ind w:left="500" w:right="100" w:firstLine="819"/>
        <w:spacing w:after="0" w:line="271"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2019 and 2018 and the consolidated balance sheet data as of December 31, 2019 and 2018 from our audited consolidated financial statements included elsewhere in this prospectus. Our historical results are not necessarily indicative of results that may be expected in any future period.</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9"/>
          </w:tcPr>
          <w:p>
            <w:pPr>
              <w:jc w:val="center"/>
              <w:ind w:right="180"/>
              <w:spacing w:after="0"/>
              <w:rPr>
                <w:sz w:val="20"/>
                <w:szCs w:val="20"/>
                <w:color w:val="auto"/>
              </w:rPr>
            </w:pPr>
            <w:r>
              <w:rPr>
                <w:rFonts w:ascii="Arial" w:cs="Arial" w:eastAsia="Arial" w:hAnsi="Arial"/>
                <w:sz w:val="13"/>
                <w:szCs w:val="13"/>
                <w:b w:val="1"/>
                <w:bCs w:val="1"/>
                <w:color w:val="auto"/>
                <w:w w:val="91"/>
              </w:rPr>
              <w:t>Years Ended December 31,</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83"/>
              <w:spacing w:after="0" w:line="131" w:lineRule="exact"/>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gridSpan w:val="9"/>
          </w:tcPr>
          <w:p>
            <w:pPr>
              <w:jc w:val="center"/>
              <w:ind w:right="180"/>
              <w:spacing w:after="0" w:line="110" w:lineRule="exact"/>
              <w:rPr>
                <w:sz w:val="20"/>
                <w:szCs w:val="20"/>
                <w:color w:val="auto"/>
              </w:rPr>
            </w:pPr>
            <w:r>
              <w:rPr>
                <w:rFonts w:ascii="Arial" w:cs="Arial" w:eastAsia="Arial" w:hAnsi="Arial"/>
                <w:sz w:val="12"/>
                <w:szCs w:val="12"/>
                <w:b w:val="1"/>
                <w:bCs w:val="1"/>
                <w:color w:val="auto"/>
                <w:w w:val="98"/>
              </w:rPr>
              <w:t>(in thousands, except share</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93"/>
              </w:rPr>
              <w:t>and per share data)</w:t>
            </w:r>
          </w:p>
        </w:tc>
        <w:tc>
          <w:tcPr>
            <w:tcW w:w="0" w:type="dxa"/>
            <w:vAlign w:val="bottom"/>
          </w:tcPr>
          <w:p>
            <w:pPr>
              <w:spacing w:after="0"/>
              <w:rPr>
                <w:sz w:val="1"/>
                <w:szCs w:val="1"/>
                <w:color w:val="auto"/>
              </w:rPr>
            </w:pPr>
          </w:p>
        </w:tc>
      </w:tr>
      <w:tr>
        <w:trPr>
          <w:trHeight w:val="201"/>
        </w:trPr>
        <w:tc>
          <w:tcPr>
            <w:tcW w:w="7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00" w:type="dxa"/>
            <w:vAlign w:val="bottom"/>
            <w:gridSpan w:val="2"/>
          </w:tcPr>
          <w:p>
            <w:pPr>
              <w:spacing w:after="0"/>
              <w:rPr>
                <w:sz w:val="20"/>
                <w:szCs w:val="20"/>
                <w:color w:val="auto"/>
              </w:rPr>
            </w:pPr>
            <w:r>
              <w:rPr>
                <w:rFonts w:ascii="Arial" w:cs="Arial" w:eastAsia="Arial" w:hAnsi="Arial"/>
                <w:sz w:val="17"/>
                <w:szCs w:val="17"/>
                <w:color w:val="auto"/>
              </w:rPr>
              <w:t>Grant revenues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1,244</w:t>
            </w:r>
          </w:p>
        </w:tc>
        <w:tc>
          <w:tcPr>
            <w:tcW w:w="0" w:type="dxa"/>
            <w:vAlign w:val="bottom"/>
          </w:tcPr>
          <w:p>
            <w:pPr>
              <w:spacing w:after="0"/>
              <w:rPr>
                <w:sz w:val="1"/>
                <w:szCs w:val="1"/>
                <w:color w:val="auto"/>
              </w:rPr>
            </w:pPr>
          </w:p>
        </w:tc>
      </w:tr>
      <w:tr>
        <w:trPr>
          <w:trHeight w:val="201"/>
        </w:trPr>
        <w:tc>
          <w:tcPr>
            <w:tcW w:w="7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00" w:type="dxa"/>
            <w:vAlign w:val="bottom"/>
            <w:gridSpan w:val="2"/>
          </w:tcPr>
          <w:p>
            <w:pPr>
              <w:ind w:left="340"/>
              <w:spacing w:after="0"/>
              <w:rPr>
                <w:sz w:val="20"/>
                <w:szCs w:val="20"/>
                <w:color w:val="auto"/>
              </w:rPr>
            </w:pPr>
            <w:r>
              <w:rPr>
                <w:rFonts w:ascii="Arial" w:cs="Arial" w:eastAsia="Arial" w:hAnsi="Arial"/>
                <w:sz w:val="17"/>
                <w:szCs w:val="17"/>
                <w:color w:val="auto"/>
              </w:rPr>
              <w:t>Research and development</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7"/>
                <w:szCs w:val="17"/>
                <w:color w:val="auto"/>
              </w:rPr>
              <w:t>12,032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4,975</w:t>
            </w:r>
          </w:p>
        </w:tc>
        <w:tc>
          <w:tcPr>
            <w:tcW w:w="0" w:type="dxa"/>
            <w:vAlign w:val="bottom"/>
          </w:tcPr>
          <w:p>
            <w:pPr>
              <w:spacing w:after="0"/>
              <w:rPr>
                <w:sz w:val="1"/>
                <w:szCs w:val="1"/>
                <w:color w:val="auto"/>
              </w:rPr>
            </w:pPr>
          </w:p>
        </w:tc>
      </w:tr>
      <w:tr>
        <w:trPr>
          <w:trHeight w:val="201"/>
        </w:trPr>
        <w:tc>
          <w:tcPr>
            <w:tcW w:w="7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4,487</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3,528</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7"/>
                <w:szCs w:val="17"/>
                <w:color w:val="auto"/>
              </w:rPr>
              <w:t>Total operating expenses</w:t>
            </w: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7"/>
                <w:szCs w:val="17"/>
                <w:color w:val="auto"/>
              </w:rPr>
              <w:t>16,519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8,503</w:t>
            </w: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(16,519)</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(7,259)</w:t>
            </w:r>
          </w:p>
        </w:tc>
        <w:tc>
          <w:tcPr>
            <w:tcW w:w="0" w:type="dxa"/>
            <w:vAlign w:val="bottom"/>
          </w:tcPr>
          <w:p>
            <w:pPr>
              <w:spacing w:after="0"/>
              <w:rPr>
                <w:sz w:val="1"/>
                <w:szCs w:val="1"/>
                <w:color w:val="auto"/>
              </w:rPr>
            </w:pPr>
          </w:p>
        </w:tc>
      </w:tr>
      <w:tr>
        <w:trPr>
          <w:trHeight w:val="201"/>
        </w:trPr>
        <w:tc>
          <w:tcPr>
            <w:tcW w:w="750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Interest income (expense), net</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213</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00" w:type="dxa"/>
            <w:vAlign w:val="bottom"/>
            <w:gridSpan w:val="2"/>
          </w:tcPr>
          <w:p>
            <w:pPr>
              <w:ind w:left="340"/>
              <w:spacing w:after="0"/>
              <w:rPr>
                <w:sz w:val="20"/>
                <w:szCs w:val="20"/>
                <w:color w:val="auto"/>
              </w:rPr>
            </w:pPr>
            <w:r>
              <w:rPr>
                <w:rFonts w:ascii="Arial" w:cs="Arial" w:eastAsia="Arial" w:hAnsi="Arial"/>
                <w:sz w:val="17"/>
                <w:szCs w:val="17"/>
                <w:color w:val="auto"/>
              </w:rPr>
              <w:t>Other income, net</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Change in fair value of tranche liability</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7"/>
                <w:szCs w:val="17"/>
                <w:color w:val="auto"/>
              </w:rPr>
              <w:t>Total other income, net</w:t>
            </w: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7"/>
                <w:szCs w:val="17"/>
                <w:color w:val="auto"/>
              </w:rPr>
              <w:t>213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(16,306)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(6,029)</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7"/>
                <w:szCs w:val="17"/>
                <w:color w:val="auto"/>
              </w:rPr>
              <w:t>Net loss per share attributable to common stockholders—basic and diluted</w:t>
            </w:r>
            <w:r>
              <w:rPr>
                <w:rFonts w:ascii="Arial" w:cs="Arial" w:eastAsia="Arial" w:hAnsi="Arial"/>
                <w:sz w:val="14"/>
                <w:szCs w:val="14"/>
                <w:color w:val="auto"/>
              </w:rPr>
              <w:t>(1)</w:t>
            </w: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gridSpan w:val="2"/>
            <w:vMerge w:val="continue"/>
          </w:tcPr>
          <w:p>
            <w:pPr>
              <w:spacing w:after="0"/>
              <w:rPr>
                <w:sz w:val="16"/>
                <w:szCs w:val="16"/>
                <w:color w:val="auto"/>
              </w:rPr>
            </w:pPr>
          </w:p>
        </w:tc>
        <w:tc>
          <w:tcPr>
            <w:tcW w:w="92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920" w:type="dxa"/>
            <w:vAlign w:val="bottom"/>
            <w:gridSpan w:val="4"/>
          </w:tcPr>
          <w:p>
            <w:pPr>
              <w:jc w:val="right"/>
              <w:ind w:right="180"/>
              <w:spacing w:after="0" w:line="191" w:lineRule="exact"/>
              <w:rPr>
                <w:sz w:val="20"/>
                <w:szCs w:val="20"/>
                <w:color w:val="auto"/>
              </w:rPr>
            </w:pPr>
            <w:r>
              <w:rPr>
                <w:rFonts w:ascii="Arial" w:cs="Arial" w:eastAsia="Arial" w:hAnsi="Arial"/>
                <w:sz w:val="17"/>
                <w:szCs w:val="17"/>
                <w:color w:val="auto"/>
              </w:rPr>
              <w:t>(82.23)</w:t>
            </w:r>
          </w:p>
        </w:tc>
        <w:tc>
          <w:tcPr>
            <w:tcW w:w="260" w:type="dxa"/>
            <w:vAlign w:val="bottom"/>
            <w:gridSpan w:val="2"/>
          </w:tcPr>
          <w:p>
            <w:pPr>
              <w:jc w:val="right"/>
              <w:ind w:right="20"/>
              <w:spacing w:after="0" w:line="191" w:lineRule="exact"/>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40"/>
              <w:spacing w:after="0" w:line="191" w:lineRule="exact"/>
              <w:rPr>
                <w:sz w:val="20"/>
                <w:szCs w:val="20"/>
                <w:color w:val="auto"/>
              </w:rPr>
            </w:pPr>
            <w:r>
              <w:rPr>
                <w:rFonts w:ascii="Arial" w:cs="Arial" w:eastAsia="Arial" w:hAnsi="Arial"/>
                <w:sz w:val="17"/>
                <w:szCs w:val="17"/>
                <w:color w:val="auto"/>
              </w:rPr>
              <w:t>(36.79)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Weighted-average common shares outstanding—basic and diluted</w:t>
            </w:r>
            <w:r>
              <w:rPr>
                <w:rFonts w:ascii="Arial" w:cs="Arial" w:eastAsia="Arial" w:hAnsi="Arial"/>
                <w:sz w:val="14"/>
                <w:szCs w:val="14"/>
                <w:color w:val="auto"/>
              </w:rPr>
              <w:t>(1)</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40"/>
              <w:spacing w:after="0" w:line="191" w:lineRule="exact"/>
              <w:rPr>
                <w:sz w:val="20"/>
                <w:szCs w:val="20"/>
                <w:color w:val="auto"/>
              </w:rPr>
            </w:pPr>
            <w:r>
              <w:rPr>
                <w:rFonts w:ascii="Arial" w:cs="Arial" w:eastAsia="Arial" w:hAnsi="Arial"/>
                <w:sz w:val="17"/>
                <w:szCs w:val="17"/>
                <w:color w:val="auto"/>
              </w:rPr>
              <w:t>202,093</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00"/>
              <w:spacing w:after="0" w:line="191" w:lineRule="exact"/>
              <w:rPr>
                <w:sz w:val="20"/>
                <w:szCs w:val="20"/>
                <w:color w:val="auto"/>
              </w:rPr>
            </w:pPr>
            <w:r>
              <w:rPr>
                <w:rFonts w:ascii="Arial" w:cs="Arial" w:eastAsia="Arial" w:hAnsi="Arial"/>
                <w:sz w:val="17"/>
                <w:szCs w:val="17"/>
                <w:color w:val="auto"/>
                <w:w w:val="84"/>
              </w:rPr>
              <w:t>166,084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7"/>
                <w:szCs w:val="17"/>
                <w:color w:val="auto"/>
              </w:rPr>
              <w:t>Pro forma net loss per share attributable to common stockholders—basic and diluted (unaudited)</w:t>
            </w:r>
            <w:r>
              <w:rPr>
                <w:rFonts w:ascii="Arial" w:cs="Arial" w:eastAsia="Arial" w:hAnsi="Arial"/>
                <w:sz w:val="14"/>
                <w:szCs w:val="14"/>
                <w:color w:val="auto"/>
              </w:rPr>
              <w:t>(1)</w:t>
            </w: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gridSpan w:val="2"/>
            <w:vMerge w:val="continue"/>
          </w:tcPr>
          <w:p>
            <w:pPr>
              <w:spacing w:after="0"/>
              <w:rPr>
                <w:sz w:val="16"/>
                <w:szCs w:val="16"/>
                <w:color w:val="auto"/>
              </w:rPr>
            </w:pPr>
          </w:p>
        </w:tc>
        <w:tc>
          <w:tcPr>
            <w:tcW w:w="92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920" w:type="dxa"/>
            <w:vAlign w:val="bottom"/>
            <w:gridSpan w:val="4"/>
          </w:tcPr>
          <w:p>
            <w:pPr>
              <w:jc w:val="right"/>
              <w:ind w:right="180"/>
              <w:spacing w:after="0" w:line="191" w:lineRule="exact"/>
              <w:rPr>
                <w:sz w:val="20"/>
                <w:szCs w:val="20"/>
                <w:color w:val="auto"/>
              </w:rPr>
            </w:pPr>
            <w:r>
              <w:rPr>
                <w:rFonts w:ascii="Arial" w:cs="Arial" w:eastAsia="Arial" w:hAnsi="Arial"/>
                <w:sz w:val="17"/>
                <w:szCs w:val="17"/>
                <w:color w:val="auto"/>
              </w:rPr>
              <w:t>(2.65)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Pro forma weighted-average common shares outstanding—basic and diluted (unaudited)</w:t>
            </w:r>
            <w:r>
              <w:rPr>
                <w:rFonts w:ascii="Arial" w:cs="Arial" w:eastAsia="Arial" w:hAnsi="Arial"/>
                <w:sz w:val="14"/>
                <w:szCs w:val="14"/>
                <w:color w:val="auto"/>
              </w:rPr>
              <w:t>(1)</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40"/>
              <w:spacing w:after="0" w:line="191" w:lineRule="exact"/>
              <w:rPr>
                <w:sz w:val="20"/>
                <w:szCs w:val="20"/>
                <w:color w:val="auto"/>
              </w:rPr>
            </w:pPr>
            <w:r>
              <w:rPr>
                <w:rFonts w:ascii="Arial" w:cs="Arial" w:eastAsia="Arial" w:hAnsi="Arial"/>
                <w:sz w:val="17"/>
                <w:szCs w:val="17"/>
                <w:color w:val="auto"/>
                <w:w w:val="87"/>
              </w:rPr>
              <w:t>6,266,472</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40" w:type="dxa"/>
            <w:vAlign w:val="bottom"/>
            <w:tcBorders>
              <w:bottom w:val="single" w:sz="8" w:color="auto"/>
            </w:tcBorders>
          </w:tcPr>
          <w:p>
            <w:pPr>
              <w:spacing w:after="0"/>
              <w:rPr>
                <w:sz w:val="10"/>
                <w:szCs w:val="10"/>
                <w:color w:val="auto"/>
              </w:rPr>
            </w:pPr>
          </w:p>
        </w:tc>
        <w:tc>
          <w:tcPr>
            <w:tcW w:w="6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900" w:right="200" w:hanging="397"/>
        <w:spacing w:after="0" w:line="257"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See Note 2 to our consolidated financial statements included elsewhere in this prospectus for an explanation of the method used to calculate the historical and pro forma basic and diluted net loss per common share and the weighted average number of shares used in the computation of the per share amounts.</w:t>
      </w:r>
    </w:p>
    <w:p>
      <w:pPr>
        <w:spacing w:after="0" w:line="193" w:lineRule="exact"/>
        <w:rPr>
          <w:sz w:val="20"/>
          <w:szCs w:val="20"/>
          <w:color w:val="auto"/>
        </w:rPr>
      </w:pPr>
    </w:p>
    <w:tbl>
      <w:tblPr>
        <w:tblLayout w:type="fixed"/>
        <w:tblInd w:w="1940" w:type="dxa"/>
        <w:tblCellMar>
          <w:top w:w="0" w:type="dxa"/>
          <w:left w:w="0" w:type="dxa"/>
          <w:bottom w:w="0" w:type="dxa"/>
          <w:right w:w="0" w:type="dxa"/>
        </w:tblCellMar>
      </w:tblPr>
      <w:tr>
        <w:trPr>
          <w:trHeight w:val="158"/>
        </w:trPr>
        <w:tc>
          <w:tcPr>
            <w:tcW w:w="4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7"/>
          </w:tcPr>
          <w:p>
            <w:pPr>
              <w:jc w:val="center"/>
              <w:ind w:right="320"/>
              <w:spacing w:after="0"/>
              <w:rPr>
                <w:sz w:val="20"/>
                <w:szCs w:val="20"/>
                <w:color w:val="auto"/>
              </w:rPr>
            </w:pPr>
            <w:r>
              <w:rPr>
                <w:rFonts w:ascii="Arial" w:cs="Arial" w:eastAsia="Arial" w:hAnsi="Arial"/>
                <w:sz w:val="13"/>
                <w:szCs w:val="13"/>
                <w:b w:val="1"/>
                <w:bCs w:val="1"/>
                <w:color w:val="auto"/>
                <w:w w:val="94"/>
              </w:rPr>
              <w:t>As of December 31,</w:t>
            </w:r>
          </w:p>
        </w:tc>
      </w:tr>
      <w:tr>
        <w:trPr>
          <w:trHeight w:val="131"/>
        </w:trPr>
        <w:tc>
          <w:tcPr>
            <w:tcW w:w="4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33"/>
              <w:spacing w:after="0" w:line="131" w:lineRule="exact"/>
              <w:rPr>
                <w:sz w:val="20"/>
                <w:szCs w:val="20"/>
                <w:color w:val="auto"/>
              </w:rPr>
            </w:pPr>
            <w:r>
              <w:rPr>
                <w:rFonts w:ascii="Arial" w:cs="Arial" w:eastAsia="Arial" w:hAnsi="Arial"/>
                <w:sz w:val="13"/>
                <w:szCs w:val="13"/>
                <w:b w:val="1"/>
                <w:bCs w:val="1"/>
                <w:color w:val="auto"/>
                <w:w w:val="82"/>
              </w:rPr>
              <w:t>2019</w:t>
            </w: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4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4"/>
          </w:tcPr>
          <w:p>
            <w:pPr>
              <w:jc w:val="center"/>
              <w:ind w:left="333"/>
              <w:spacing w:after="0" w:line="131" w:lineRule="exact"/>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1"/>
        </w:trPr>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41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160" w:type="dxa"/>
            <w:vAlign w:val="bottom"/>
            <w:gridSpan w:val="4"/>
          </w:tcPr>
          <w:p>
            <w:pPr>
              <w:jc w:val="right"/>
              <w:ind w:right="380"/>
              <w:spacing w:after="0"/>
              <w:rPr>
                <w:sz w:val="20"/>
                <w:szCs w:val="20"/>
                <w:color w:val="auto"/>
              </w:rPr>
            </w:pPr>
            <w:r>
              <w:rPr>
                <w:rFonts w:ascii="Arial" w:cs="Arial" w:eastAsia="Arial" w:hAnsi="Arial"/>
                <w:sz w:val="17"/>
                <w:szCs w:val="17"/>
                <w:color w:val="auto"/>
              </w:rPr>
              <w:t>$   9,808</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7"/>
                <w:szCs w:val="17"/>
                <w:color w:val="auto"/>
              </w:rPr>
              <w:t>23,888</w:t>
            </w:r>
          </w:p>
        </w:tc>
      </w:tr>
      <w:tr>
        <w:trPr>
          <w:trHeight w:val="201"/>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(1)</w:t>
            </w:r>
          </w:p>
        </w:tc>
        <w:tc>
          <w:tcPr>
            <w:tcW w:w="216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4,911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22,967</w:t>
            </w:r>
          </w:p>
        </w:tc>
      </w:tr>
      <w:tr>
        <w:trPr>
          <w:trHeight w:val="201"/>
        </w:trPr>
        <w:tc>
          <w:tcPr>
            <w:tcW w:w="4100" w:type="dxa"/>
            <w:vAlign w:val="bottom"/>
          </w:tcPr>
          <w:p>
            <w:pPr>
              <w:spacing w:after="0"/>
              <w:rPr>
                <w:sz w:val="20"/>
                <w:szCs w:val="20"/>
                <w:color w:val="auto"/>
              </w:rPr>
            </w:pPr>
            <w:r>
              <w:rPr>
                <w:rFonts w:ascii="Arial" w:cs="Arial" w:eastAsia="Arial" w:hAnsi="Arial"/>
                <w:sz w:val="17"/>
                <w:szCs w:val="17"/>
                <w:color w:val="auto"/>
              </w:rPr>
              <w:t>Total assets</w:t>
            </w:r>
          </w:p>
        </w:tc>
        <w:tc>
          <w:tcPr>
            <w:tcW w:w="2160" w:type="dxa"/>
            <w:vAlign w:val="bottom"/>
            <w:gridSpan w:val="4"/>
          </w:tcPr>
          <w:p>
            <w:pPr>
              <w:jc w:val="right"/>
              <w:ind w:right="380"/>
              <w:spacing w:after="0"/>
              <w:rPr>
                <w:sz w:val="20"/>
                <w:szCs w:val="20"/>
                <w:color w:val="auto"/>
              </w:rPr>
            </w:pPr>
            <w:r>
              <w:rPr>
                <w:rFonts w:ascii="Arial" w:cs="Arial" w:eastAsia="Arial" w:hAnsi="Arial"/>
                <w:sz w:val="17"/>
                <w:szCs w:val="17"/>
                <w:color w:val="auto"/>
              </w:rPr>
              <w:t>14,963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7"/>
                <w:szCs w:val="17"/>
                <w:color w:val="auto"/>
              </w:rPr>
              <w:t>25,359</w:t>
            </w:r>
          </w:p>
        </w:tc>
      </w:tr>
      <w:tr>
        <w:trPr>
          <w:trHeight w:val="201"/>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Total redeemable convertible preferred stock</w:t>
            </w:r>
          </w:p>
        </w:tc>
        <w:tc>
          <w:tcPr>
            <w:tcW w:w="216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130,666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4"/>
              </w:rPr>
              <w:t>130,353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2160" w:type="dxa"/>
            <w:vAlign w:val="bottom"/>
            <w:gridSpan w:val="4"/>
          </w:tcPr>
          <w:p>
            <w:pPr>
              <w:jc w:val="right"/>
              <w:ind w:right="320"/>
              <w:spacing w:after="0"/>
              <w:rPr>
                <w:sz w:val="20"/>
                <w:szCs w:val="20"/>
                <w:color w:val="auto"/>
              </w:rPr>
            </w:pPr>
            <w:r>
              <w:rPr>
                <w:rFonts w:ascii="Arial" w:cs="Arial" w:eastAsia="Arial" w:hAnsi="Arial"/>
                <w:sz w:val="17"/>
                <w:szCs w:val="17"/>
                <w:color w:val="auto"/>
              </w:rPr>
              <w:t>(123,338)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7"/>
                <w:szCs w:val="17"/>
                <w:color w:val="auto"/>
                <w:w w:val="87"/>
              </w:rPr>
              <w:t>(107,074)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71755</wp:posOffset>
            </wp:positionV>
            <wp:extent cx="7175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31" w:lineRule="exact"/>
        <w:rPr>
          <w:sz w:val="20"/>
          <w:szCs w:val="20"/>
          <w:color w:val="auto"/>
        </w:rPr>
      </w:pPr>
    </w:p>
    <w:p>
      <w:pPr>
        <w:ind w:left="900" w:right="460" w:hanging="397"/>
        <w:spacing w:after="0" w:line="268"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 See our consolidated financial statements for further details regarding our current assets and current liabilities.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740"/>
          </w:cols>
          <w:pgMar w:left="320" w:top="437" w:right="8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10" w:lineRule="exact"/>
        <w:rPr>
          <w:sz w:val="20"/>
          <w:szCs w:val="20"/>
          <w:color w:val="auto"/>
        </w:rPr>
      </w:pPr>
    </w:p>
    <w:p>
      <w:pPr>
        <w:ind w:left="500" w:right="80" w:firstLine="819"/>
        <w:spacing w:after="0" w:line="290"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“Selected Consolidated Financial Data” section of this prospectus and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Overview</w:t>
      </w:r>
    </w:p>
    <w:p>
      <w:pPr>
        <w:spacing w:after="0" w:line="210" w:lineRule="exact"/>
        <w:rPr>
          <w:sz w:val="20"/>
          <w:szCs w:val="20"/>
          <w:color w:val="auto"/>
        </w:rPr>
      </w:pPr>
    </w:p>
    <w:p>
      <w:pPr>
        <w:ind w:left="500" w:firstLine="819"/>
        <w:spacing w:after="0" w:line="283" w:lineRule="auto"/>
        <w:rPr>
          <w:sz w:val="20"/>
          <w:szCs w:val="20"/>
          <w:color w:val="auto"/>
        </w:rPr>
      </w:pPr>
      <w:r>
        <w:rPr>
          <w:rFonts w:ascii="Arial" w:cs="Arial" w:eastAsia="Arial" w:hAnsi="Arial"/>
          <w:sz w:val="15"/>
          <w:szCs w:val="15"/>
          <w:color w:val="auto"/>
        </w:rPr>
        <w:t>We are a clinical-stage therapeutics company focused on the development and commercialization of novel integrated drug and delivery solutions for the localized treatment of patients with ear, nose and throat diseases. Our proprietary technology platform, XTreo, is designed to precisely and consistently deliver medicines directly to the affected tissue for sustained periods with a single administration. Our initial product candidates, LYR-210 and LYR-220, are bioresorbable polymeric matrices designed to be administered in a brief, non-invasive, in-office procedure and intended to deliver up to six months of continuous drug therapy to the sinonasal passages for the treatment of chronic rhinosinusitis, or CRS. The therapeutic embedded within LYR-210 and LYR-220 is mometasone furoate, which is the active ingredient in various U.S. Food and Drug Administration, or FDA, approved drugs and has a well-established efficacy and safety profile. CRS is an inflammatory disease of the paranasal sinuses which leads to debilitating symptoms and significant morbidities and affects approximately 14 million people in the United States. We are advancing LYR-210 as a potential preferred alternative to surgery in an ongoing Phase 2 LANTERN clinical trial for CRS patients who have failed medical management. In our Phase 1 clinical trial, LYR-210 met its primary safety endpoint, and we observed that patients generally experienced significant and rapid, clinically meaningful and durable improvement in SNOT-22 scores, an established patient symptom severity scale, through week 25, which was the end of the trial. We are also developing LYR-220 for use in CRS patients who have an enlarged nasal cavity due to sinus surgery but continue to require treatment to manage CRS symptoms. Beyond CRS, we believe our XTreo platform has potential applications in other disease areas, which we are actively exploring to further broaden its therapeutic potential.</w:t>
      </w:r>
    </w:p>
    <w:p>
      <w:pPr>
        <w:spacing w:after="0" w:line="165" w:lineRule="exact"/>
        <w:rPr>
          <w:sz w:val="20"/>
          <w:szCs w:val="20"/>
          <w:color w:val="auto"/>
        </w:rPr>
      </w:pPr>
    </w:p>
    <w:p>
      <w:pPr>
        <w:ind w:left="500" w:right="60" w:firstLine="819"/>
        <w:spacing w:after="0" w:line="266" w:lineRule="auto"/>
        <w:rPr>
          <w:sz w:val="20"/>
          <w:szCs w:val="20"/>
          <w:color w:val="auto"/>
        </w:rPr>
      </w:pPr>
      <w:r>
        <w:rPr>
          <w:rFonts w:ascii="Arial" w:cs="Arial" w:eastAsia="Arial" w:hAnsi="Arial"/>
          <w:sz w:val="16"/>
          <w:szCs w:val="16"/>
          <w:color w:val="auto"/>
        </w:rPr>
        <w:t>We were incorporated as a Delaware corporation on November 21, 2005, and our headquarters is located in Watertown, Massachusetts. On July 16, 2018, we formally changed our name to Lyra Therapeutics, Inc. Our operations to date have been limited to organizing and staffing our company, business planning, raising capital, developing our technology, building our intellectual property portfolio and conducting research and development activities for our product candidates. We do not have any products approved for sale and have not generated any revenue from product sales. To date, we have funded our operations primarily through private placements of redeemable convertible preferred stock and funding from government contracts. From inception through December 31, 2019, we have raised an aggregate of $148.9 million to fund our operations, of which $131.8 million were gross proceeds from sales of our redeemable convertible preferred stock, $0.3 million were gross proceeds from the issuance of common stock and $16.8 million were gross proceeds from government contracts. In January 2020, we raised $30.4 million of gross proceeds from the sale of our Series C redeemable convertible preferred stock.</w:t>
      </w:r>
    </w:p>
    <w:p>
      <w:pPr>
        <w:spacing w:after="0" w:line="173" w:lineRule="exact"/>
        <w:rPr>
          <w:sz w:val="20"/>
          <w:szCs w:val="20"/>
          <w:color w:val="auto"/>
        </w:rPr>
      </w:pPr>
    </w:p>
    <w:p>
      <w:pPr>
        <w:ind w:left="500" w:right="60" w:firstLine="819"/>
        <w:spacing w:after="0" w:line="307" w:lineRule="auto"/>
        <w:rPr>
          <w:sz w:val="20"/>
          <w:szCs w:val="20"/>
          <w:color w:val="auto"/>
        </w:rPr>
      </w:pPr>
      <w:r>
        <w:rPr>
          <w:rFonts w:ascii="Arial" w:cs="Arial" w:eastAsia="Arial" w:hAnsi="Arial"/>
          <w:sz w:val="15"/>
          <w:szCs w:val="15"/>
          <w:color w:val="auto"/>
        </w:rPr>
        <w:t>We have incurred significant net operating losses in every year since our inception and expect to continue to incur significant expenses and increasing operating losses for the foreseeable future. Our net losses may fluctuate significantly from quarter to quarter and year to year and could be substantial. Our net losses were $16.3 million and $6.0 million for the years ended December 31, 2019 and 2018, respectively. As of</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680"/>
          </w:cols>
          <w:pgMar w:left="320" w:top="437" w:right="89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December 31, 2019, we had an accumulated deficit of $127.8 million. We anticipate that our expenses will increase significantly as we:</w:t>
      </w:r>
    </w:p>
    <w:p>
      <w:pPr>
        <w:spacing w:after="0" w:line="231" w:lineRule="exact"/>
        <w:rPr>
          <w:sz w:val="20"/>
          <w:szCs w:val="20"/>
          <w:color w:val="auto"/>
        </w:rPr>
      </w:pPr>
    </w:p>
    <w:p>
      <w:pPr>
        <w:ind w:left="1720" w:right="340" w:hanging="301"/>
        <w:spacing w:after="0" w:line="268" w:lineRule="auto"/>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conduct additional clinical trials of our most advanced product candidate, LYR-210, including the Phase 2 LANTERN trial which commenced in May 2019 and one or more planned pivotal Phase 3 clinical trials of LYR-210;</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advance the development of LYR-220;</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continue to discover and develop additional product candidates;</w:t>
      </w:r>
    </w:p>
    <w:p>
      <w:pPr>
        <w:spacing w:after="0" w:line="231" w:lineRule="exact"/>
        <w:rPr>
          <w:rFonts w:ascii="Arial" w:cs="Arial" w:eastAsia="Arial" w:hAnsi="Arial"/>
          <w:sz w:val="17"/>
          <w:szCs w:val="17"/>
          <w:color w:val="auto"/>
        </w:rPr>
      </w:pPr>
    </w:p>
    <w:p>
      <w:pPr>
        <w:ind w:left="1720" w:right="40" w:hanging="301"/>
        <w:spacing w:after="0" w:line="268" w:lineRule="auto"/>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establish manufacturing and supply chain capacity sufficient to provide commercial quantities of any product candidates for which we may obtain marketing approval;</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seek regulatory and marketing approvals for product candidates that successfully complete clinical trials, if any;</w:t>
      </w:r>
    </w:p>
    <w:p>
      <w:pPr>
        <w:spacing w:after="0" w:line="231" w:lineRule="exact"/>
        <w:rPr>
          <w:rFonts w:ascii="Arial" w:cs="Arial" w:eastAsia="Arial" w:hAnsi="Arial"/>
          <w:sz w:val="17"/>
          <w:szCs w:val="17"/>
          <w:color w:val="auto"/>
        </w:rPr>
      </w:pPr>
    </w:p>
    <w:p>
      <w:pPr>
        <w:ind w:left="1720" w:right="600" w:hanging="301"/>
        <w:spacing w:after="0" w:line="268" w:lineRule="auto"/>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 in geographies in which we plan to commercialize our products ourselves;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31" w:lineRule="exact"/>
        <w:rPr>
          <w:rFonts w:ascii="Arial" w:cs="Arial" w:eastAsia="Arial" w:hAnsi="Arial"/>
          <w:sz w:val="17"/>
          <w:szCs w:val="17"/>
          <w:color w:val="auto"/>
        </w:rPr>
      </w:pPr>
    </w:p>
    <w:p>
      <w:pPr>
        <w:ind w:left="1720" w:right="240" w:hanging="301"/>
        <w:spacing w:after="0" w:line="268" w:lineRule="auto"/>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hire additional staff, including clinical, scientific, technical, regulatory, operational, financial commercial and support personnel, to execute our business plan; and</w:t>
      </w:r>
    </w:p>
    <w:p>
      <w:pPr>
        <w:spacing w:after="0" w:line="191" w:lineRule="exact"/>
        <w:rPr>
          <w:rFonts w:ascii="Arial" w:cs="Arial" w:eastAsia="Arial" w:hAnsi="Arial"/>
          <w:sz w:val="17"/>
          <w:szCs w:val="17"/>
          <w:color w:val="auto"/>
        </w:rPr>
      </w:pPr>
    </w:p>
    <w:p>
      <w:pPr>
        <w:ind w:left="1720" w:right="40" w:hanging="301"/>
        <w:spacing w:after="0" w:line="268" w:lineRule="auto"/>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to support our product development and potential future commercialization efforts, and to enable us to operate as a public company.</w:t>
      </w:r>
    </w:p>
    <w:p>
      <w:pPr>
        <w:spacing w:after="0" w:line="166"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We do not expect to generate revenue from product sales unless and until we successfully complete clinical development and obtain regulatory approval for a product candidate. Additionally, we currently use contract research organizations, or CROs, to carry out our clinical development activities. We do not yet have a sales organization. If we obtain regulatory approval for any of our product candidates, we expect to incur significant commercialization expenses related to product sales, marketing, manufacturing and distribution. Furthermore, commencing upon the closing of this offering, we will incur additional costs associated with operating as a public company. As a result, we will need substantial additional funding to support our continuing operations and pursue our growth strategy. Until such time as we can generate significant revenue from product sales, if ever, we expect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w:t>
      </w:r>
    </w:p>
    <w:p>
      <w:pPr>
        <w:spacing w:after="0" w:line="161" w:lineRule="exact"/>
        <w:rPr>
          <w:sz w:val="20"/>
          <w:szCs w:val="20"/>
          <w:color w:val="auto"/>
        </w:rPr>
      </w:pPr>
    </w:p>
    <w:p>
      <w:pPr>
        <w:jc w:val="both"/>
        <w:ind w:left="500" w:right="80" w:firstLine="819"/>
        <w:spacing w:after="0" w:line="274" w:lineRule="auto"/>
        <w:rPr>
          <w:sz w:val="20"/>
          <w:szCs w:val="20"/>
          <w:color w:val="auto"/>
        </w:rPr>
      </w:pPr>
      <w:r>
        <w:rPr>
          <w:rFonts w:ascii="Arial" w:cs="Arial" w:eastAsia="Arial" w:hAnsi="Arial"/>
          <w:sz w:val="16"/>
          <w:szCs w:val="16"/>
          <w:color w:val="auto"/>
        </w:rPr>
        <w:t>Because of the numerous risks and uncertainties associated with therapeutics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64" w:lineRule="exact"/>
        <w:rPr>
          <w:sz w:val="20"/>
          <w:szCs w:val="20"/>
          <w:color w:val="auto"/>
        </w:rPr>
      </w:pPr>
    </w:p>
    <w:p>
      <w:pPr>
        <w:ind w:left="500" w:right="440" w:firstLine="819"/>
        <w:spacing w:after="0" w:line="268" w:lineRule="auto"/>
        <w:rPr>
          <w:sz w:val="20"/>
          <w:szCs w:val="20"/>
          <w:color w:val="auto"/>
        </w:rPr>
      </w:pPr>
      <w:r>
        <w:rPr>
          <w:rFonts w:ascii="Arial" w:cs="Arial" w:eastAsia="Arial" w:hAnsi="Arial"/>
          <w:sz w:val="17"/>
          <w:szCs w:val="17"/>
          <w:color w:val="auto"/>
        </w:rPr>
        <w:t>As of December 31, 2019, we had cash and cash equivalents totaling $9.8 million. We believe that the net proceeds from this offering, together with our existing cash and cash equivalents and the funds we raised in</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740"/>
          </w:cols>
          <w:pgMar w:left="320" w:top="437" w:right="8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40"/>
        <w:spacing w:after="0" w:line="290" w:lineRule="auto"/>
        <w:rPr>
          <w:sz w:val="20"/>
          <w:szCs w:val="20"/>
          <w:color w:val="auto"/>
        </w:rPr>
      </w:pPr>
      <w:r>
        <w:rPr>
          <w:rFonts w:ascii="Arial" w:cs="Arial" w:eastAsia="Arial" w:hAnsi="Arial"/>
          <w:sz w:val="15"/>
          <w:szCs w:val="15"/>
          <w:color w:val="auto"/>
        </w:rPr>
        <w:t>January 2020, will enable us to fund our operating expenses and capital expenditure requirements into the fourth quarter of 2023. We have based these estimates on assumptions that may prove to be imprecise or incorrect, and we may use our available capital resources sooner than we currently expect. See “—Liquidity and Capital Resources.” Because of the numerous risks and uncertainties associated with the development of our product candidates and any future product candidates, our platform and technology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w:t>
      </w:r>
    </w:p>
    <w:p>
      <w:pPr>
        <w:spacing w:after="0" w:line="155"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Financial Operations Overview</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Revenue</w:t>
      </w:r>
    </w:p>
    <w:p>
      <w:pPr>
        <w:spacing w:after="0" w:line="206" w:lineRule="exact"/>
        <w:rPr>
          <w:sz w:val="20"/>
          <w:szCs w:val="20"/>
          <w:color w:val="auto"/>
        </w:rPr>
      </w:pPr>
    </w:p>
    <w:p>
      <w:pPr>
        <w:ind w:left="500" w:right="140" w:firstLine="819"/>
        <w:spacing w:after="0" w:line="251"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the sale of products in the foreseeable future. If our development efforts for our product candidates are successful and result in regulatory approval and successful commercialization efforts,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3"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To date, all of our revenue has been derived from government awards. In July 2016, we were awarded a grant from the National Institutes of Health, or NIH, titled “Novel Bioabsorbable, Flexible Polymeric Stent for Pulmonary Artery Stenosis,” which we refer to as PED-PA. The amount awarded of approximately $1.0 million related to the award period of August 2016 through July 2019.</w:t>
      </w:r>
    </w:p>
    <w:p>
      <w:pPr>
        <w:spacing w:after="0" w:line="175" w:lineRule="exact"/>
        <w:rPr>
          <w:sz w:val="20"/>
          <w:szCs w:val="20"/>
          <w:color w:val="auto"/>
        </w:rPr>
      </w:pPr>
    </w:p>
    <w:p>
      <w:pPr>
        <w:ind w:left="500" w:right="40" w:firstLine="819"/>
        <w:spacing w:after="0" w:line="250" w:lineRule="auto"/>
        <w:rPr>
          <w:sz w:val="20"/>
          <w:szCs w:val="20"/>
          <w:color w:val="auto"/>
        </w:rPr>
      </w:pPr>
      <w:r>
        <w:rPr>
          <w:rFonts w:ascii="Arial" w:cs="Arial" w:eastAsia="Arial" w:hAnsi="Arial"/>
          <w:sz w:val="17"/>
          <w:szCs w:val="17"/>
          <w:color w:val="auto"/>
        </w:rPr>
        <w:t>In September 2016, we received a fixed-fee award of approximately $0.4 million from NIH for the development leading to the commercialization of bioresorbable stents, or BRS, for the treatment of coarctation of the aorta in neonates, which we refer to as PED-CA. In November 2017, we were awarded an amendment to this contract which increased the amount by approximately $3.0 million. We recognized revenue under the government awards as we incurred qualifying expenses. During the years ended December 31, 2019 and 2018, we recognized $0 and approximately $1.2 million, respectively, of revenue under the NIH awards. In 2019, we focused our efforts on the development of LYR-210 and our other product development efforts and are no longer conducting research under the NIH awards and as a result do not expect any future revenue from government awards.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6" w:lineRule="exact"/>
        <w:rPr>
          <w:sz w:val="20"/>
          <w:szCs w:val="20"/>
          <w:color w:val="auto"/>
        </w:rPr>
      </w:pPr>
    </w:p>
    <w:p>
      <w:pPr>
        <w:jc w:val="center"/>
        <w:ind w:left="1180" w:right="460"/>
        <w:spacing w:after="0" w:line="437" w:lineRule="auto"/>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 93</w:t>
      </w:r>
    </w:p>
    <w:p>
      <w:pPr>
        <w:sectPr>
          <w:pgSz w:w="11900" w:h="16838" w:orient="portrait"/>
          <w:cols w:equalWidth="0" w:num="1">
            <w:col w:w="10740"/>
          </w:cols>
          <w:pgMar w:left="320" w:top="437" w:right="8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Research and Development Expenses</w:t>
      </w:r>
    </w:p>
    <w:p>
      <w:pPr>
        <w:spacing w:after="0" w:line="206" w:lineRule="exact"/>
        <w:rPr>
          <w:sz w:val="20"/>
          <w:szCs w:val="20"/>
          <w:color w:val="auto"/>
        </w:rPr>
      </w:pPr>
    </w:p>
    <w:p>
      <w:pPr>
        <w:ind w:left="500" w:right="60" w:firstLine="819"/>
        <w:spacing w:after="0" w:line="299" w:lineRule="auto"/>
        <w:rPr>
          <w:sz w:val="20"/>
          <w:szCs w:val="20"/>
          <w:color w:val="auto"/>
        </w:rPr>
      </w:pPr>
      <w:r>
        <w:rPr>
          <w:rFonts w:ascii="Arial" w:cs="Arial" w:eastAsia="Arial" w:hAnsi="Arial"/>
          <w:sz w:val="16"/>
          <w:szCs w:val="16"/>
          <w:color w:val="auto"/>
        </w:rPr>
        <w:t>Research and development expenses consist primarily of costs incurred for our research activities, including the development of and pursuit of regulatory approval of our most advanced product candidate, LYR-210, for the treatment of CRS, which include:</w:t>
      </w:r>
    </w:p>
    <w:p>
      <w:pPr>
        <w:spacing w:after="0" w:line="169" w:lineRule="exact"/>
        <w:rPr>
          <w:sz w:val="20"/>
          <w:szCs w:val="20"/>
          <w:color w:val="auto"/>
        </w:rPr>
      </w:pPr>
    </w:p>
    <w:p>
      <w:pPr>
        <w:ind w:left="1720" w:right="100" w:hanging="301"/>
        <w:spacing w:after="0" w:line="268" w:lineRule="auto"/>
        <w:tabs>
          <w:tab w:leader="none" w:pos="1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 for personnel engaged in research and development functions;</w:t>
      </w:r>
    </w:p>
    <w:p>
      <w:pPr>
        <w:spacing w:after="0" w:line="191" w:lineRule="exact"/>
        <w:rPr>
          <w:rFonts w:ascii="Arial" w:cs="Arial" w:eastAsia="Arial" w:hAnsi="Arial"/>
          <w:sz w:val="17"/>
          <w:szCs w:val="17"/>
          <w:color w:val="auto"/>
        </w:rPr>
      </w:pPr>
    </w:p>
    <w:p>
      <w:pPr>
        <w:ind w:left="1720" w:right="120" w:hanging="301"/>
        <w:spacing w:after="0" w:line="268" w:lineRule="auto"/>
        <w:tabs>
          <w:tab w:leader="none" w:pos="1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expenses incurred in connection with the preclinical and clinical development of our product candidates, including under agreements with CROs, investigative sites and consultants;</w:t>
      </w:r>
    </w:p>
    <w:p>
      <w:pPr>
        <w:spacing w:after="0" w:line="191" w:lineRule="exact"/>
        <w:rPr>
          <w:rFonts w:ascii="Arial" w:cs="Arial" w:eastAsia="Arial" w:hAnsi="Arial"/>
          <w:sz w:val="17"/>
          <w:szCs w:val="17"/>
          <w:color w:val="auto"/>
        </w:rPr>
      </w:pPr>
    </w:p>
    <w:p>
      <w:pPr>
        <w:ind w:left="1720" w:hanging="301"/>
        <w:spacing w:after="0" w:line="299" w:lineRule="auto"/>
        <w:tabs>
          <w:tab w:leader="none" w:pos="1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costs of manufacturing our product candidates for use in our preclinical studies and clinical trials as well as manufacturers that provide components of our product candidates for use in our preclinical and potential future clinical trials;</w:t>
      </w:r>
    </w:p>
    <w:p>
      <w:pPr>
        <w:spacing w:after="0" w:line="169" w:lineRule="exact"/>
        <w:rPr>
          <w:rFonts w:ascii="Arial" w:cs="Arial" w:eastAsia="Arial" w:hAnsi="Arial"/>
          <w:sz w:val="16"/>
          <w:szCs w:val="16"/>
          <w:color w:val="auto"/>
        </w:rPr>
      </w:pPr>
    </w:p>
    <w:p>
      <w:pPr>
        <w:ind w:left="1720" w:hanging="301"/>
        <w:spacing w:after="0"/>
        <w:tabs>
          <w:tab w:leader="none" w:pos="1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consulting and professional fees related to research and development activities;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costs related to compliance with clinical regulatory requirements; and</w:t>
      </w:r>
    </w:p>
    <w:p>
      <w:pPr>
        <w:spacing w:after="0" w:line="231" w:lineRule="exact"/>
        <w:rPr>
          <w:rFonts w:ascii="Arial" w:cs="Arial" w:eastAsia="Arial" w:hAnsi="Arial"/>
          <w:sz w:val="17"/>
          <w:szCs w:val="17"/>
          <w:color w:val="auto"/>
        </w:rPr>
      </w:pPr>
    </w:p>
    <w:p>
      <w:pPr>
        <w:ind w:left="1720" w:right="100" w:hanging="301"/>
        <w:spacing w:after="0" w:line="268" w:lineRule="auto"/>
        <w:tabs>
          <w:tab w:leader="none" w:pos="1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facility costs and other allocated expenses, which include expenses for rent and maintenance of our facility, utilities, depreciation and other supplies.</w:t>
      </w:r>
    </w:p>
    <w:p>
      <w:pPr>
        <w:spacing w:after="0" w:line="166"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We expense research and development costs as incurred. We recognize costs for certain development activities, such as clinical trials, based on an evaluation of the progress to completion of specific tasks using data such as clinical site activations, patient enrollment, or information provided to us by our vendors and our clinical investigative sites. Payments for these activities are based on the terms of the individual agreements, which may differ from the pattern of costs incurred, and may be reflected in our consolidated financial statements as prepaid or accrued research and development expenses.</w:t>
      </w:r>
    </w:p>
    <w:p>
      <w:pPr>
        <w:spacing w:after="0" w:line="183" w:lineRule="exact"/>
        <w:rPr>
          <w:sz w:val="20"/>
          <w:szCs w:val="20"/>
          <w:color w:val="auto"/>
        </w:rPr>
      </w:pPr>
    </w:p>
    <w:p>
      <w:pPr>
        <w:ind w:left="500" w:right="100" w:firstLine="819"/>
        <w:spacing w:after="0" w:line="253" w:lineRule="auto"/>
        <w:rPr>
          <w:sz w:val="20"/>
          <w:szCs w:val="20"/>
          <w:color w:val="auto"/>
        </w:rPr>
      </w:pPr>
      <w:r>
        <w:rPr>
          <w:rFonts w:ascii="Arial" w:cs="Arial" w:eastAsia="Arial" w:hAnsi="Arial"/>
          <w:sz w:val="17"/>
          <w:szCs w:val="17"/>
          <w:color w:val="auto"/>
        </w:rPr>
        <w:t>Our external research and development expenses consist primarily of costs such as fees paid to consultants, contractors and CROs in connection with our preclinical and clinical development activities. We typically use our employee and infrastructure resources across our development programs and we do not allocate personnel costs and other internal costs to specific product candidates or development programs with the exception of the costs to manufacture our product candidates.</w:t>
      </w:r>
    </w:p>
    <w:p>
      <w:pPr>
        <w:spacing w:after="0" w:line="180" w:lineRule="exact"/>
        <w:rPr>
          <w:sz w:val="20"/>
          <w:szCs w:val="20"/>
          <w:color w:val="auto"/>
        </w:rPr>
      </w:pPr>
    </w:p>
    <w:p>
      <w:pPr>
        <w:ind w:left="500" w:right="20" w:firstLine="819"/>
        <w:spacing w:after="0" w:line="271"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initiate additional clinical trials, including one or more clinical trials for LYR-210 and LYR-220, scale our manufacturing processes, continue to discover and develop additional product candidates and hire additional clinical and scientific personnel.</w:t>
      </w:r>
    </w:p>
    <w:p>
      <w:pPr>
        <w:spacing w:after="0" w:line="166" w:lineRule="exact"/>
        <w:rPr>
          <w:sz w:val="20"/>
          <w:szCs w:val="20"/>
          <w:color w:val="auto"/>
        </w:rPr>
      </w:pPr>
    </w:p>
    <w:p>
      <w:pPr>
        <w:ind w:left="500" w:right="100" w:firstLine="819"/>
        <w:spacing w:after="0" w:line="250" w:lineRule="auto"/>
        <w:rPr>
          <w:sz w:val="20"/>
          <w:szCs w:val="20"/>
          <w:color w:val="auto"/>
        </w:rPr>
      </w:pPr>
      <w:r>
        <w:rPr>
          <w:rFonts w:ascii="Arial" w:cs="Arial" w:eastAsia="Arial" w:hAnsi="Arial"/>
          <w:sz w:val="17"/>
          <w:szCs w:val="17"/>
          <w:color w:val="auto"/>
        </w:rPr>
        <w:t>The successful development of LYR-210, LYR-220 and other potential future product candidates is highly uncertain. Accordingly, at this time, we cannot reasonably estimate or know the nature, timing and costs of the efforts that will be necessary to complete the development of these product candidates. We are also unable to predict when, if ever, we will generate revenue and material net cash inflows from the commercialization and sale of any of our product candidates for which we may obtain marketing approval. We may never succeed in achieving regulatory approval for any of our product candidates. The duration, costs and timing of preclinical studies, clinical trials and development of our product candidates will depend on a variety of factors, including:</w:t>
      </w:r>
    </w:p>
    <w:p>
      <w:pPr>
        <w:spacing w:after="0" w:line="209" w:lineRule="exact"/>
        <w:rPr>
          <w:sz w:val="20"/>
          <w:szCs w:val="20"/>
          <w:color w:val="auto"/>
        </w:rPr>
      </w:pPr>
    </w:p>
    <w:p>
      <w:pPr>
        <w:ind w:left="1720" w:right="200" w:hanging="301"/>
        <w:spacing w:after="0" w:line="268" w:lineRule="auto"/>
        <w:tabs>
          <w:tab w:leader="none" w:pos="17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successful completion of clinical trials with safety, tolerability and efficacy profiles for LYR-210, LYR-220 and any potential future product candidates that are satisfactory to the FDA or any comparable foreign regulatory authority;</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740"/>
          </w:cols>
          <w:pgMar w:left="320" w:top="437" w:right="8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440" w:hanging="301"/>
        <w:spacing w:after="0" w:line="268" w:lineRule="auto"/>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approval of an IND for LYR-220 and any potential future product candidate to commence planned or future clinical trials in the United States or foreign countries;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significant and changing government regulation and regulatory guidance;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timing and receipt of marketing approvals from applicable regulatory authorities;</w:t>
      </w:r>
    </w:p>
    <w:p>
      <w:pPr>
        <w:spacing w:after="0" w:line="231" w:lineRule="exact"/>
        <w:rPr>
          <w:rFonts w:ascii="Arial" w:cs="Arial" w:eastAsia="Arial" w:hAnsi="Arial"/>
          <w:sz w:val="17"/>
          <w:szCs w:val="17"/>
          <w:color w:val="auto"/>
        </w:rPr>
      </w:pPr>
    </w:p>
    <w:p>
      <w:pPr>
        <w:ind w:left="1720" w:right="960" w:hanging="301"/>
        <w:spacing w:after="0" w:line="268" w:lineRule="auto"/>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establishing arrangements with contract manufacturing organizations, or CMOs, for third-party clinical and commercial manufacturing to obtain sufficient supply of our product candidates;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obtaining and maintaining patent and other intellectual property protection and regulatory exclusivity for our product candidates;</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commercializing the product candidates, if and when approved, whether alone or in collaboration with others;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acceptance of the product, if and when approved, by patients, the medical community and third-party payors;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competition with other therapies;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maintenance of a continued acceptable safety profile of the products following approval;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business interruptions resulting from the COVID-19 global pandemic.</w:t>
      </w:r>
    </w:p>
    <w:p>
      <w:pPr>
        <w:spacing w:after="0" w:line="206" w:lineRule="exact"/>
        <w:rPr>
          <w:sz w:val="20"/>
          <w:szCs w:val="20"/>
          <w:color w:val="auto"/>
        </w:rPr>
      </w:pPr>
    </w:p>
    <w:p>
      <w:pPr>
        <w:jc w:val="both"/>
        <w:ind w:left="500" w:right="20" w:firstLine="819"/>
        <w:spacing w:after="0" w:line="293" w:lineRule="auto"/>
        <w:rPr>
          <w:sz w:val="20"/>
          <w:szCs w:val="20"/>
          <w:color w:val="auto"/>
        </w:rPr>
      </w:pPr>
      <w:r>
        <w:rPr>
          <w:rFonts w:ascii="Arial" w:cs="Arial" w:eastAsia="Arial" w:hAnsi="Arial"/>
          <w:sz w:val="15"/>
          <w:szCs w:val="15"/>
          <w:color w:val="auto"/>
        </w:rPr>
        <w:t>A change in the outcome of any of these variables with respect to the development, manufacture or commercialization enabling activities of any of our product candidates would significantly change the costs, timing and viability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52"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06" w:lineRule="exact"/>
        <w:rPr>
          <w:sz w:val="20"/>
          <w:szCs w:val="20"/>
          <w:color w:val="auto"/>
        </w:rPr>
      </w:pPr>
    </w:p>
    <w:p>
      <w:pPr>
        <w:jc w:val="both"/>
        <w:ind w:left="500" w:firstLine="819"/>
        <w:spacing w:after="0" w:line="307" w:lineRule="auto"/>
        <w:rPr>
          <w:sz w:val="20"/>
          <w:szCs w:val="20"/>
          <w:color w:val="auto"/>
        </w:rPr>
      </w:pPr>
      <w:r>
        <w:rPr>
          <w:rFonts w:ascii="Arial" w:cs="Arial" w:eastAsia="Arial" w:hAnsi="Arial"/>
          <w:sz w:val="15"/>
          <w:szCs w:val="15"/>
          <w:color w:val="auto"/>
        </w:rPr>
        <w:t>General and administrative expenses consist primarily of salaries and other related costs, including stock-based compensation, for personnel in executive, finance and administrative functions. General and administrative expenses also include direct and allocated facility-related costs as well as professional fees for legal, patent, consulting, investor and public relations, accounting, auditing, tax services and insurance costs.</w:t>
      </w:r>
    </w:p>
    <w:p>
      <w:pPr>
        <w:spacing w:after="0" w:line="141" w:lineRule="exact"/>
        <w:rPr>
          <w:sz w:val="20"/>
          <w:szCs w:val="20"/>
          <w:color w:val="auto"/>
        </w:rPr>
      </w:pPr>
    </w:p>
    <w:p>
      <w:pPr>
        <w:ind w:left="500" w:right="60" w:firstLine="819"/>
        <w:spacing w:after="0" w:line="269" w:lineRule="auto"/>
        <w:rPr>
          <w:sz w:val="20"/>
          <w:szCs w:val="20"/>
          <w:color w:val="auto"/>
        </w:rPr>
      </w:pPr>
      <w:r>
        <w:rPr>
          <w:rFonts w:ascii="Arial" w:cs="Arial" w:eastAsia="Arial" w:hAnsi="Arial"/>
          <w:sz w:val="16"/>
          <w:szCs w:val="16"/>
          <w:color w:val="auto"/>
        </w:rPr>
        <w:t>We expect that our general and administrative expenses will increase in the future to support continued research and development activities and potential commercialization of our product candidates. These increases will likely include increased costs related to the hiring of additional personnel and fees to outside consultants, attorneys and accountants, among other expenses. Additionally, we expect to incur increased expenses associated with being a public company, including costs of additional personnel, accounting, audit, legal, regulatory and tax-related services associated with maintaining compliance with exchange listing and Securities and Exchange Commission, or SEC, requirements, director and officer insurance costs, and investor and public relations costs.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206" w:lineRule="exact"/>
        <w:rPr>
          <w:sz w:val="20"/>
          <w:szCs w:val="20"/>
          <w:color w:val="auto"/>
        </w:rPr>
      </w:pPr>
    </w:p>
    <w:p>
      <w:pPr>
        <w:ind w:left="500" w:right="120" w:firstLine="819"/>
        <w:spacing w:after="0" w:line="335" w:lineRule="auto"/>
        <w:rPr>
          <w:sz w:val="20"/>
          <w:szCs w:val="20"/>
          <w:color w:val="auto"/>
        </w:rPr>
      </w:pPr>
      <w:r>
        <w:rPr>
          <w:rFonts w:ascii="Arial" w:cs="Arial" w:eastAsia="Arial" w:hAnsi="Arial"/>
          <w:sz w:val="15"/>
          <w:szCs w:val="15"/>
          <w:color w:val="auto"/>
        </w:rPr>
        <w:t>Interest income (expense), net, primarily consists of non-cash interest expense incurred on our convertible notes, non-cash accretion of the fair value of the conversion feature related to our convertible notes, and interest income earned on our cash and cash equivalents.</w:t>
      </w:r>
    </w:p>
    <w:p>
      <w:pPr>
        <w:spacing w:after="0" w:line="5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700"/>
          </w:cols>
          <w:pgMar w:left="320" w:top="437" w:right="8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Change in Fair Value of Tranche Liability</w:t>
      </w:r>
    </w:p>
    <w:p>
      <w:pPr>
        <w:spacing w:after="0" w:line="206" w:lineRule="exact"/>
        <w:rPr>
          <w:sz w:val="20"/>
          <w:szCs w:val="20"/>
          <w:color w:val="auto"/>
        </w:rPr>
      </w:pPr>
    </w:p>
    <w:p>
      <w:pPr>
        <w:ind w:left="500" w:right="60" w:firstLine="819"/>
        <w:spacing w:after="0" w:line="267" w:lineRule="auto"/>
        <w:rPr>
          <w:sz w:val="20"/>
          <w:szCs w:val="20"/>
          <w:color w:val="auto"/>
        </w:rPr>
      </w:pPr>
      <w:r>
        <w:rPr>
          <w:rFonts w:ascii="Arial" w:cs="Arial" w:eastAsia="Arial" w:hAnsi="Arial"/>
          <w:sz w:val="16"/>
          <w:szCs w:val="16"/>
          <w:color w:val="auto"/>
        </w:rPr>
        <w:t>Change in fair value of tranche liability consists of non-cash changes in the fair value of the tranche rights associated with our Series B redeemable convertible preferred stock which provided investors with the right to participate in a subsequent offering of Series B redeemable convertible preferred stock in the event specified development milestone was achieved. We classified the tranche rights as a derivative liability on our consolidated balance sheet that was initially recorded at fair value and that we remeasured to fair value at each reporting date, and we recognized changes in the fair value of the derivative associated with the tranche rights as a component of other income in our consolidated statement of operations and comprehensive loss. The tranche liability was valued using the Black-Scholes option pricing model, which considered as inputs (a) the expected stock price volatility of the underlying common stock, (b) the expected term of the tranche right, (c) the risk-free interest rate and (d) expected dividends. The tranche rights were settled in 2018.</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210"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liabilities and expenses and the disclosure of contingent assets and liabilities in our consolidated financial statements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73" w:lineRule="exact"/>
        <w:rPr>
          <w:sz w:val="20"/>
          <w:szCs w:val="20"/>
          <w:color w:val="auto"/>
        </w:rPr>
      </w:pPr>
    </w:p>
    <w:p>
      <w:pPr>
        <w:ind w:left="500" w:right="220" w:firstLine="819"/>
        <w:spacing w:after="0" w:line="257"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206"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purchase orders and open contracts, communicating with our personnel to identify services that have been performed on our behalf and estimating the level of service performed and the associated cost incurred for the services when we have not yet been invoiced or otherwise notified of the actual cost. The majority of our service providers invoice us monthly in arrears for services performed, on a pre-determined schedule or when contractual milestones are met; however, some require advance payments.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following costs incurred for services in connection with research and development activities for which we have not yet been invoiced:</w:t>
      </w:r>
    </w:p>
    <w:p>
      <w:pPr>
        <w:spacing w:after="0" w:line="198" w:lineRule="exact"/>
        <w:rPr>
          <w:sz w:val="20"/>
          <w:szCs w:val="20"/>
          <w:color w:val="auto"/>
        </w:rPr>
      </w:pPr>
    </w:p>
    <w:p>
      <w:pPr>
        <w:ind w:left="1720" w:hanging="301"/>
        <w:spacing w:after="0"/>
        <w:tabs>
          <w:tab w:leader="none" w:pos="1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vendors in connection with the preclinical development activities;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vendors in connection with the testing of preclinical and clinical trial materials;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CROs in connection with preclinical and clinical studies;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investigative sites in connection with clinical trials.</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720"/>
          </w:cols>
          <w:pgMar w:left="320" w:top="437" w:right="8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67" w:lineRule="auto"/>
        <w:rPr>
          <w:sz w:val="20"/>
          <w:szCs w:val="20"/>
          <w:color w:val="auto"/>
        </w:rPr>
      </w:pPr>
      <w:r>
        <w:rPr>
          <w:rFonts w:ascii="Arial" w:cs="Arial" w:eastAsia="Arial" w:hAnsi="Arial"/>
          <w:sz w:val="16"/>
          <w:szCs w:val="16"/>
          <w:color w:val="auto"/>
        </w:rPr>
        <w:t>We contract with CROs to conduct clinical and other research and development services on our behalf. We base our expenses related to CROs on our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our CROs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0" w:lineRule="exact"/>
        <w:rPr>
          <w:sz w:val="20"/>
          <w:szCs w:val="20"/>
          <w:color w:val="auto"/>
        </w:rPr>
      </w:pPr>
    </w:p>
    <w:p>
      <w:pPr>
        <w:ind w:left="500" w:right="260" w:firstLine="819"/>
        <w:spacing w:after="0" w:line="253" w:lineRule="auto"/>
        <w:rPr>
          <w:sz w:val="20"/>
          <w:szCs w:val="20"/>
          <w:color w:val="auto"/>
        </w:rPr>
      </w:pPr>
      <w:r>
        <w:rPr>
          <w:rFonts w:ascii="Arial" w:cs="Arial" w:eastAsia="Arial" w:hAnsi="Arial"/>
          <w:sz w:val="17"/>
          <w:szCs w:val="17"/>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6" w:lineRule="exact"/>
        <w:rPr>
          <w:sz w:val="20"/>
          <w:szCs w:val="20"/>
          <w:color w:val="auto"/>
        </w:rPr>
      </w:pPr>
    </w:p>
    <w:p>
      <w:pPr>
        <w:ind w:left="500" w:right="200" w:firstLine="819"/>
        <w:spacing w:after="0" w:line="298" w:lineRule="auto"/>
        <w:rPr>
          <w:sz w:val="20"/>
          <w:szCs w:val="20"/>
          <w:color w:val="auto"/>
        </w:rPr>
      </w:pPr>
      <w:r>
        <w:rPr>
          <w:rFonts w:ascii="Arial" w:cs="Arial" w:eastAsia="Arial" w:hAnsi="Arial"/>
          <w:sz w:val="15"/>
          <w:szCs w:val="15"/>
          <w:color w:val="auto"/>
        </w:rPr>
        <w:t xml:space="preserve">We apply the fair value recognition provisions of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or ASC 718, for stock-based awards granted to employees and directors for their services on the board of directors. Determining the amount of stock-based compensation to be recorded requires us to develop estimates of the fair value of stock options as of their grant date. We estimate the fair value of each stock option grant using the Black-Scholes option-pricing model. Calculating the fair value of stock-based awards requires that we make subjective assumptions.</w:t>
      </w:r>
    </w:p>
    <w:p>
      <w:pPr>
        <w:spacing w:after="0" w:line="148"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Pursuant to ASC 718, we measure stock-based awards granted to employees and members of the board of directors at fair value on the date of grant and recognize the corresponding stock-based compensation expense of those awards on a straight-line basis over the requisite service period, which is generally the vesting period of the respective award. We have historically granted stock options with exercise prices equivalent to the fair value of our common stock as of the date of grant.</w:t>
      </w:r>
    </w:p>
    <w:p>
      <w:pPr>
        <w:spacing w:after="0" w:line="180"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 xml:space="preserve">We account for stock-based awards to non-employees in accordance with ASU No. 2018-07, </w:t>
      </w:r>
      <w:r>
        <w:rPr>
          <w:rFonts w:ascii="Arial" w:cs="Arial" w:eastAsia="Arial" w:hAnsi="Arial"/>
          <w:sz w:val="16"/>
          <w:szCs w:val="16"/>
          <w:i w:val="1"/>
          <w:iCs w:val="1"/>
          <w:color w:val="auto"/>
        </w:rPr>
        <w:t>Compensation-Stock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 Improvements to Nonemployee Share-Based Payment Accounting</w:t>
      </w:r>
      <w:r>
        <w:rPr>
          <w:rFonts w:ascii="Arial" w:cs="Arial" w:eastAsia="Arial" w:hAnsi="Arial"/>
          <w:sz w:val="16"/>
          <w:szCs w:val="16"/>
          <w:color w:val="auto"/>
        </w:rPr>
        <w:t>, or ASU No. 2018-07, which permits the valuation of stock-based awards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granted to non-employees to be measured at fair value at the grant date rather than on an accelerated attribution basis over the vesting period and recognizes non-employee stock-based compensation expense over the related service period of the non-employee award. Prior to January 1, 2019, we accounted for stock-based payments to non-employees in accordance with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or ASC 505-50. Pursuant to ASC 505-50, we measured stock-based awards granted to non-employees at fair value as the awards vest and recognize the resulting value as expense during the period the related services are rendered, which is typically the vesting period. At the end of each financial reporting period prior to completion of the service, we re-measured the unvested portion of these awards using the then-current fair value of our common stock and updated assumption inputs in the Black-Scholes option-pricing model.</w:t>
      </w:r>
    </w:p>
    <w:p>
      <w:pPr>
        <w:spacing w:after="0" w:line="173" w:lineRule="exact"/>
        <w:rPr>
          <w:sz w:val="20"/>
          <w:szCs w:val="20"/>
          <w:color w:val="auto"/>
        </w:rPr>
      </w:pPr>
    </w:p>
    <w:p>
      <w:pPr>
        <w:ind w:left="500" w:right="200" w:firstLine="819"/>
        <w:spacing w:after="0" w:line="271" w:lineRule="auto"/>
        <w:rPr>
          <w:sz w:val="20"/>
          <w:szCs w:val="20"/>
          <w:color w:val="auto"/>
        </w:rPr>
      </w:pPr>
      <w:r>
        <w:rPr>
          <w:rFonts w:ascii="Arial" w:cs="Arial" w:eastAsia="Arial" w:hAnsi="Arial"/>
          <w:sz w:val="16"/>
          <w:szCs w:val="16"/>
          <w:color w:val="auto"/>
        </w:rPr>
        <w:t>The Black-Scholes option-pricing model uses the following inputs: the fair value of our common stock, the expected volatility of our common stock, the expected term of our stock options, the risk-free interest rate for a period that approximates the expected term of our stock options and our expected dividend yield. Due to the lack of a public market for our common stock and a lack of company-specific historical and implied volatility data, we have based our computation of expected volatility on the historical volatility of a representative group of public companies with similar characteristics to us, including stage of product development, life science industry</w:t>
      </w:r>
    </w:p>
    <w:p>
      <w:pPr>
        <w:spacing w:after="0" w:line="104"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720"/>
          </w:cols>
          <w:pgMar w:left="320" w:top="437" w:right="85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80"/>
        <w:spacing w:after="0" w:line="265" w:lineRule="auto"/>
        <w:rPr>
          <w:sz w:val="20"/>
          <w:szCs w:val="20"/>
          <w:color w:val="auto"/>
        </w:rPr>
      </w:pPr>
      <w:r>
        <w:rPr>
          <w:rFonts w:ascii="Arial" w:cs="Arial" w:eastAsia="Arial" w:hAnsi="Arial"/>
          <w:sz w:val="16"/>
          <w:szCs w:val="16"/>
          <w:color w:val="auto"/>
        </w:rPr>
        <w:t xml:space="preserve">focus, length of trading history and similar vesting provisions. The historical volatility data is calculated based on a period of time commensurate with the expected term assumption. We will continue to apply this process until a sufficient amount of historical information regarding the volatility of our own stock price becomes available or until circumstances change, such that the identified entities are no longer representative companies. In the latter case, more suitable, similar entities whose share prices are publicly available would be utilized in the calculation. We use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for options granted to employees as we do not have sufficient historical exercise data to provide a reasonable basis upon which to estimate the expected term. Under this approach, the weighted-average expected option term is presumed to be the average of the contractual term (ten years) and the vesting term (generally four years) of our stock options. We utilize this method due to lack of historical exercise data and the “plain-vanilla” nature of our stock-based awards. The expected term is applied to the stock option grant group as a whole, as we do not expect substantially different exercise or post-vesting termination behavior among our employee population. For options granted to non-employees, we utilize the contractual term of the arrangement as the basis for the expected term assumption. The risk-free interest rate is based on a treasury instrument whose term is consistent with the expected term of the stock options. The expected dividend yield is assumed to be zero as we have never paid cash dividends and have no current plans to pay any cash dividends on our common stock.</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fair value of stock options granted to employees, directors and non-employees was estimated on the date of grant using the Black-</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Scholes option-pricing model, with the following range of assumptions for the years ended December 31, 2019 and 2018:</w:t>
      </w:r>
    </w:p>
    <w:p>
      <w:pPr>
        <w:spacing w:after="0" w:line="211" w:lineRule="exact"/>
        <w:rPr>
          <w:sz w:val="20"/>
          <w:szCs w:val="20"/>
          <w:color w:val="auto"/>
        </w:rPr>
      </w:pPr>
    </w:p>
    <w:tbl>
      <w:tblPr>
        <w:tblLayout w:type="fixed"/>
        <w:tblInd w:w="2780" w:type="dxa"/>
        <w:tblCellMar>
          <w:top w:w="0" w:type="dxa"/>
          <w:left w:w="0" w:type="dxa"/>
          <w:bottom w:w="0" w:type="dxa"/>
          <w:right w:w="0" w:type="dxa"/>
        </w:tblCellMar>
      </w:tblPr>
      <w:tr>
        <w:trPr>
          <w:trHeight w:val="158"/>
        </w:trPr>
        <w:tc>
          <w:tcPr>
            <w:tcW w:w="3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1"/>
              </w:rPr>
              <w:t>Years Ended December 31,</w:t>
            </w:r>
          </w:p>
        </w:tc>
        <w:tc>
          <w:tcPr>
            <w:tcW w:w="500" w:type="dxa"/>
            <w:vAlign w:val="bottom"/>
            <w:gridSpan w:val="2"/>
          </w:tcPr>
          <w:p>
            <w:pPr>
              <w:spacing w:after="0"/>
              <w:rPr>
                <w:sz w:val="13"/>
                <w:szCs w:val="13"/>
                <w:color w:val="auto"/>
              </w:rPr>
            </w:pPr>
          </w:p>
        </w:tc>
      </w:tr>
      <w:tr>
        <w:trPr>
          <w:trHeight w:val="131"/>
        </w:trPr>
        <w:tc>
          <w:tcPr>
            <w:tcW w:w="3300" w:type="dxa"/>
            <w:vAlign w:val="bottom"/>
          </w:tcPr>
          <w:p>
            <w:pPr>
              <w:spacing w:after="0"/>
              <w:rPr>
                <w:sz w:val="11"/>
                <w:szCs w:val="11"/>
                <w:color w:val="auto"/>
              </w:rPr>
            </w:pPr>
          </w:p>
        </w:tc>
        <w:tc>
          <w:tcPr>
            <w:tcW w:w="680" w:type="dxa"/>
            <w:vAlign w:val="bottom"/>
            <w:tcBorders>
              <w:bottom w:val="single" w:sz="8" w:color="auto"/>
            </w:tcBorders>
            <w:gridSpan w:val="2"/>
          </w:tcPr>
          <w:p>
            <w:pPr>
              <w:jc w:val="right"/>
              <w:ind w:right="125"/>
              <w:spacing w:after="0" w:line="131" w:lineRule="exact"/>
              <w:rPr>
                <w:sz w:val="20"/>
                <w:szCs w:val="20"/>
                <w:color w:val="auto"/>
              </w:rPr>
            </w:pPr>
            <w:r>
              <w:rPr>
                <w:rFonts w:ascii="Arial" w:cs="Arial" w:eastAsia="Arial" w:hAnsi="Arial"/>
                <w:sz w:val="13"/>
                <w:szCs w:val="13"/>
                <w:b w:val="1"/>
                <w:bCs w:val="1"/>
                <w:color w:val="auto"/>
              </w:rPr>
              <w:t>2019</w:t>
            </w:r>
          </w:p>
        </w:tc>
        <w:tc>
          <w:tcPr>
            <w:tcW w:w="900" w:type="dxa"/>
            <w:vAlign w:val="bottom"/>
          </w:tcPr>
          <w:p>
            <w:pPr>
              <w:spacing w:after="0"/>
              <w:rPr>
                <w:sz w:val="11"/>
                <w:szCs w:val="11"/>
                <w:color w:val="auto"/>
              </w:rPr>
            </w:pPr>
          </w:p>
        </w:tc>
        <w:tc>
          <w:tcPr>
            <w:tcW w:w="600" w:type="dxa"/>
            <w:vAlign w:val="bottom"/>
            <w:tcBorders>
              <w:bottom w:val="single" w:sz="8" w:color="auto"/>
            </w:tcBorders>
            <w:gridSpan w:val="2"/>
          </w:tcPr>
          <w:p>
            <w:pPr>
              <w:jc w:val="right"/>
              <w:ind w:right="76"/>
              <w:spacing w:after="0" w:line="131"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1"/>
                <w:szCs w:val="11"/>
                <w:color w:val="auto"/>
              </w:rPr>
            </w:pPr>
          </w:p>
        </w:tc>
      </w:tr>
      <w:tr>
        <w:trPr>
          <w:trHeight w:val="193"/>
        </w:trPr>
        <w:tc>
          <w:tcPr>
            <w:tcW w:w="3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1580" w:type="dxa"/>
            <w:vAlign w:val="bottom"/>
            <w:gridSpan w:val="3"/>
            <w:shd w:val="clear" w:color="auto" w:fill="CCEEFF"/>
          </w:tcPr>
          <w:p>
            <w:pPr>
              <w:jc w:val="right"/>
              <w:ind w:right="760"/>
              <w:spacing w:after="0" w:line="194" w:lineRule="exact"/>
              <w:rPr>
                <w:sz w:val="20"/>
                <w:szCs w:val="20"/>
                <w:color w:val="auto"/>
              </w:rPr>
            </w:pPr>
            <w:r>
              <w:rPr>
                <w:rFonts w:ascii="Arial" w:cs="Arial" w:eastAsia="Arial" w:hAnsi="Arial"/>
                <w:sz w:val="17"/>
                <w:szCs w:val="17"/>
                <w:color w:val="auto"/>
              </w:rPr>
              <w:t>2.2%</w:t>
            </w:r>
          </w:p>
        </w:tc>
        <w:tc>
          <w:tcPr>
            <w:tcW w:w="80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3.1%</w:t>
            </w:r>
          </w:p>
        </w:tc>
      </w:tr>
      <w:tr>
        <w:trPr>
          <w:trHeight w:val="201"/>
        </w:trPr>
        <w:tc>
          <w:tcPr>
            <w:tcW w:w="33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340" w:type="dxa"/>
            <w:vAlign w:val="bottom"/>
          </w:tcPr>
          <w:p>
            <w:pPr>
              <w:spacing w:after="0"/>
              <w:rPr>
                <w:sz w:val="17"/>
                <w:szCs w:val="17"/>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1"/>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580" w:type="dxa"/>
            <w:vAlign w:val="bottom"/>
            <w:gridSpan w:val="3"/>
            <w:shd w:val="clear" w:color="auto" w:fill="CCEEFF"/>
          </w:tcPr>
          <w:p>
            <w:pPr>
              <w:jc w:val="right"/>
              <w:ind w:right="900"/>
              <w:spacing w:after="0"/>
              <w:rPr>
                <w:sz w:val="20"/>
                <w:szCs w:val="20"/>
                <w:color w:val="auto"/>
              </w:rPr>
            </w:pPr>
            <w:r>
              <w:rPr>
                <w:rFonts w:ascii="Arial" w:cs="Arial" w:eastAsia="Arial" w:hAnsi="Arial"/>
                <w:sz w:val="17"/>
                <w:szCs w:val="17"/>
                <w:color w:val="auto"/>
              </w:rPr>
              <w:t>6.1</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6.1</w:t>
            </w:r>
          </w:p>
        </w:tc>
      </w:tr>
      <w:tr>
        <w:trPr>
          <w:trHeight w:val="213"/>
        </w:trPr>
        <w:tc>
          <w:tcPr>
            <w:tcW w:w="3300" w:type="dxa"/>
            <w:vAlign w:val="bottom"/>
          </w:tcPr>
          <w:p>
            <w:pPr>
              <w:spacing w:after="0"/>
              <w:rPr>
                <w:sz w:val="20"/>
                <w:szCs w:val="20"/>
                <w:color w:val="auto"/>
              </w:rPr>
            </w:pPr>
            <w:r>
              <w:rPr>
                <w:rFonts w:ascii="Arial" w:cs="Arial" w:eastAsia="Arial" w:hAnsi="Arial"/>
                <w:sz w:val="17"/>
                <w:szCs w:val="17"/>
                <w:color w:val="auto"/>
              </w:rPr>
              <w:t>Expected volatility</w:t>
            </w:r>
          </w:p>
        </w:tc>
        <w:tc>
          <w:tcPr>
            <w:tcW w:w="1580" w:type="dxa"/>
            <w:vAlign w:val="bottom"/>
            <w:gridSpan w:val="3"/>
          </w:tcPr>
          <w:p>
            <w:pPr>
              <w:jc w:val="right"/>
              <w:ind w:right="760"/>
              <w:spacing w:after="0"/>
              <w:rPr>
                <w:sz w:val="20"/>
                <w:szCs w:val="20"/>
                <w:color w:val="auto"/>
              </w:rPr>
            </w:pPr>
            <w:r>
              <w:rPr>
                <w:rFonts w:ascii="Arial" w:cs="Arial" w:eastAsia="Arial" w:hAnsi="Arial"/>
                <w:sz w:val="17"/>
                <w:szCs w:val="17"/>
                <w:color w:val="auto"/>
              </w:rPr>
              <w:t>76.8%</w:t>
            </w: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80.7%</w:t>
            </w:r>
          </w:p>
        </w:tc>
      </w:tr>
    </w:tbl>
    <w:p>
      <w:pPr>
        <w:spacing w:after="0" w:line="176" w:lineRule="exact"/>
        <w:rPr>
          <w:sz w:val="20"/>
          <w:szCs w:val="20"/>
          <w:color w:val="auto"/>
        </w:rPr>
      </w:pPr>
    </w:p>
    <w:p>
      <w:pPr>
        <w:jc w:val="both"/>
        <w:ind w:left="500" w:firstLine="819"/>
        <w:spacing w:after="0" w:line="335" w:lineRule="auto"/>
        <w:rPr>
          <w:sz w:val="20"/>
          <w:szCs w:val="20"/>
          <w:color w:val="auto"/>
        </w:rPr>
      </w:pPr>
      <w:r>
        <w:rPr>
          <w:rFonts w:ascii="Arial" w:cs="Arial" w:eastAsia="Arial" w:hAnsi="Arial"/>
          <w:sz w:val="15"/>
          <w:szCs w:val="15"/>
          <w:color w:val="auto"/>
        </w:rPr>
        <w:t>These assumptions represented our best estimates, but the estimates involve inherent uncertainties and the application of our judgment. As a result, if factors change and we use significantly different assumptions or estimates, our stock-based compensation expense could be materially different.</w:t>
      </w:r>
    </w:p>
    <w:p>
      <w:pPr>
        <w:spacing w:after="0" w:line="121" w:lineRule="exact"/>
        <w:rPr>
          <w:sz w:val="20"/>
          <w:szCs w:val="20"/>
          <w:color w:val="auto"/>
        </w:rPr>
      </w:pPr>
    </w:p>
    <w:p>
      <w:pPr>
        <w:ind w:left="500" w:right="500" w:firstLine="819"/>
        <w:spacing w:after="0" w:line="257" w:lineRule="auto"/>
        <w:rPr>
          <w:sz w:val="20"/>
          <w:szCs w:val="20"/>
          <w:color w:val="auto"/>
        </w:rPr>
      </w:pPr>
      <w:r>
        <w:rPr>
          <w:rFonts w:ascii="Arial" w:cs="Arial" w:eastAsia="Arial" w:hAnsi="Arial"/>
          <w:sz w:val="17"/>
          <w:szCs w:val="17"/>
          <w:color w:val="auto"/>
        </w:rPr>
        <w:t>The following table presents the grant dates, number of underlying shares of common stock and the per share exercise prices of stock options granted between January 1, 2018 and the date of this prospectus, along with the fair value per share utilized to calculate stock-based compensation expense:</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Number</w:t>
            </w:r>
          </w:p>
        </w:tc>
        <w:tc>
          <w:tcPr>
            <w:tcW w:w="20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Exercise</w:t>
            </w:r>
          </w:p>
        </w:tc>
        <w:tc>
          <w:tcPr>
            <w:tcW w:w="200" w:type="dxa"/>
            <w:vAlign w:val="bottom"/>
          </w:tcPr>
          <w:p>
            <w:pPr>
              <w:spacing w:after="0"/>
              <w:rPr>
                <w:sz w:val="12"/>
                <w:szCs w:val="12"/>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Fair Value of</w:t>
            </w:r>
          </w:p>
        </w:tc>
        <w:tc>
          <w:tcPr>
            <w:tcW w:w="8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2"/>
              </w:rPr>
              <w:t>Per Share</w:t>
            </w:r>
          </w:p>
        </w:tc>
        <w:tc>
          <w:tcPr>
            <w:tcW w:w="0" w:type="dxa"/>
            <w:vAlign w:val="bottom"/>
          </w:tcPr>
          <w:p>
            <w:pPr>
              <w:spacing w:after="0"/>
              <w:rPr>
                <w:sz w:val="1"/>
                <w:szCs w:val="1"/>
                <w:color w:val="auto"/>
              </w:rPr>
            </w:pPr>
          </w:p>
        </w:tc>
      </w:tr>
      <w:tr>
        <w:trPr>
          <w:trHeight w:val="138"/>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60"/>
              <w:spacing w:after="0" w:line="138" w:lineRule="exact"/>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Type of</w:t>
            </w:r>
          </w:p>
        </w:tc>
        <w:tc>
          <w:tcPr>
            <w:tcW w:w="220" w:type="dxa"/>
            <w:vAlign w:val="bottom"/>
          </w:tcPr>
          <w:p>
            <w:pPr>
              <w:spacing w:after="0"/>
              <w:rPr>
                <w:sz w:val="12"/>
                <w:szCs w:val="12"/>
                <w:color w:val="auto"/>
              </w:rPr>
            </w:pPr>
          </w:p>
        </w:tc>
        <w:tc>
          <w:tcPr>
            <w:tcW w:w="76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7"/>
              </w:rPr>
              <w:t>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Price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60"/>
              <w:spacing w:after="0" w:line="138" w:lineRule="exact"/>
              <w:rPr>
                <w:sz w:val="20"/>
                <w:szCs w:val="20"/>
                <w:color w:val="auto"/>
              </w:rPr>
            </w:pPr>
            <w:r>
              <w:rPr>
                <w:rFonts w:ascii="Arial" w:cs="Arial" w:eastAsia="Arial" w:hAnsi="Arial"/>
                <w:sz w:val="13"/>
                <w:szCs w:val="13"/>
                <w:b w:val="1"/>
                <w:bCs w:val="1"/>
                <w:color w:val="auto"/>
                <w:w w:val="91"/>
              </w:rPr>
              <w:t>Stock per</w:t>
            </w: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Estimated</w:t>
            </w:r>
          </w:p>
        </w:tc>
        <w:tc>
          <w:tcPr>
            <w:tcW w:w="0" w:type="dxa"/>
            <w:vAlign w:val="bottom"/>
          </w:tcPr>
          <w:p>
            <w:pPr>
              <w:spacing w:after="0"/>
              <w:rPr>
                <w:sz w:val="1"/>
                <w:szCs w:val="1"/>
                <w:color w:val="auto"/>
              </w:rPr>
            </w:pPr>
          </w:p>
        </w:tc>
      </w:tr>
      <w:tr>
        <w:trPr>
          <w:trHeight w:val="138"/>
        </w:trPr>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w w:val="96"/>
              </w:rPr>
              <w:t>Grant Date</w:t>
            </w:r>
          </w:p>
        </w:tc>
        <w:tc>
          <w:tcPr>
            <w:tcW w:w="458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80" w:type="dxa"/>
            <w:vAlign w:val="bottom"/>
            <w:gridSpan w:val="3"/>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Common</w:t>
            </w:r>
          </w:p>
        </w:tc>
        <w:tc>
          <w:tcPr>
            <w:tcW w:w="200" w:type="dxa"/>
            <w:vAlign w:val="bottom"/>
          </w:tcPr>
          <w:p>
            <w:pPr>
              <w:spacing w:after="0"/>
              <w:rPr>
                <w:sz w:val="12"/>
                <w:szCs w:val="12"/>
                <w:color w:val="auto"/>
              </w:rPr>
            </w:pPr>
          </w:p>
        </w:tc>
        <w:tc>
          <w:tcPr>
            <w:tcW w:w="82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Award per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60"/>
              <w:spacing w:after="0" w:line="138" w:lineRule="exact"/>
              <w:rPr>
                <w:sz w:val="20"/>
                <w:szCs w:val="20"/>
                <w:color w:val="auto"/>
              </w:rPr>
            </w:pPr>
            <w:r>
              <w:rPr>
                <w:rFonts w:ascii="Arial" w:cs="Arial" w:eastAsia="Arial" w:hAnsi="Arial"/>
                <w:sz w:val="13"/>
                <w:szCs w:val="13"/>
                <w:b w:val="1"/>
                <w:bCs w:val="1"/>
                <w:color w:val="auto"/>
                <w:w w:val="89"/>
              </w:rPr>
              <w:t>Share on</w:t>
            </w:r>
          </w:p>
        </w:tc>
        <w:tc>
          <w:tcPr>
            <w:tcW w:w="8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w w:val="99"/>
              </w:rPr>
              <w:t>Fair Value of</w:t>
            </w:r>
          </w:p>
        </w:tc>
        <w:tc>
          <w:tcPr>
            <w:tcW w:w="0" w:type="dxa"/>
            <w:vAlign w:val="bottom"/>
          </w:tcPr>
          <w:p>
            <w:pPr>
              <w:spacing w:after="0"/>
              <w:rPr>
                <w:sz w:val="1"/>
                <w:szCs w:val="1"/>
                <w:color w:val="auto"/>
              </w:rPr>
            </w:pPr>
          </w:p>
        </w:tc>
      </w:tr>
      <w:tr>
        <w:trPr>
          <w:trHeight w:val="158"/>
        </w:trPr>
        <w:tc>
          <w:tcPr>
            <w:tcW w:w="660" w:type="dxa"/>
            <w:vAlign w:val="bottom"/>
            <w:tcBorders>
              <w:bottom w:val="single" w:sz="8" w:color="auto"/>
            </w:tcBorders>
            <w:vMerge w:val="continue"/>
          </w:tcPr>
          <w:p>
            <w:pPr>
              <w:spacing w:after="0"/>
              <w:rPr>
                <w:sz w:val="13"/>
                <w:szCs w:val="13"/>
                <w:color w:val="auto"/>
              </w:rPr>
            </w:pPr>
          </w:p>
        </w:tc>
        <w:tc>
          <w:tcPr>
            <w:tcW w:w="4580" w:type="dxa"/>
            <w:vAlign w:val="bottom"/>
            <w:vMerge w:val="continue"/>
          </w:tcPr>
          <w:p>
            <w:pPr>
              <w:spacing w:after="0"/>
              <w:rPr>
                <w:sz w:val="13"/>
                <w:szCs w:val="13"/>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Award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Share</w:t>
            </w:r>
            <w:r>
              <w:rPr>
                <w:rFonts w:ascii="Arial" w:cs="Arial" w:eastAsia="Arial" w:hAnsi="Arial"/>
                <w:sz w:val="11"/>
                <w:szCs w:val="11"/>
                <w:b w:val="1"/>
                <w:bCs w:val="1"/>
                <w:color w:val="auto"/>
              </w:rPr>
              <w:t>(1)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Grant Date</w:t>
            </w:r>
          </w:p>
        </w:tc>
        <w:tc>
          <w:tcPr>
            <w:tcW w:w="560" w:type="dxa"/>
            <w:vAlign w:val="bottom"/>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Award</w:t>
            </w:r>
            <w:r>
              <w:rPr>
                <w:rFonts w:ascii="Arial" w:cs="Arial" w:eastAsia="Arial" w:hAnsi="Arial"/>
                <w:sz w:val="11"/>
                <w:szCs w:val="11"/>
                <w:b w:val="1"/>
                <w:bCs w:val="1"/>
                <w:color w:val="auto"/>
                <w:w w:val="96"/>
              </w:rPr>
              <w:t>(2)(3)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November 5, 2018</w:t>
            </w:r>
          </w:p>
        </w:tc>
        <w:tc>
          <w:tcPr>
            <w:tcW w:w="7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Option</w:t>
            </w:r>
          </w:p>
        </w:tc>
        <w:tc>
          <w:tcPr>
            <w:tcW w:w="98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57,432</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2.76</w:t>
            </w:r>
          </w:p>
        </w:tc>
        <w:tc>
          <w:tcPr>
            <w:tcW w:w="30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2.76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1"/>
        </w:trPr>
        <w:tc>
          <w:tcPr>
            <w:tcW w:w="5240" w:type="dxa"/>
            <w:vAlign w:val="bottom"/>
            <w:gridSpan w:val="2"/>
          </w:tcPr>
          <w:p>
            <w:pPr>
              <w:spacing w:after="0"/>
              <w:rPr>
                <w:sz w:val="20"/>
                <w:szCs w:val="20"/>
                <w:color w:val="auto"/>
              </w:rPr>
            </w:pPr>
            <w:r>
              <w:rPr>
                <w:rFonts w:ascii="Arial" w:cs="Arial" w:eastAsia="Arial" w:hAnsi="Arial"/>
                <w:sz w:val="17"/>
                <w:szCs w:val="17"/>
                <w:color w:val="auto"/>
              </w:rPr>
              <w:t>March 6, 2019</w:t>
            </w:r>
          </w:p>
        </w:tc>
        <w:tc>
          <w:tcPr>
            <w:tcW w:w="700" w:type="dxa"/>
            <w:vAlign w:val="bottom"/>
            <w:gridSpan w:val="2"/>
          </w:tcPr>
          <w:p>
            <w:pPr>
              <w:spacing w:after="0"/>
              <w:rPr>
                <w:sz w:val="20"/>
                <w:szCs w:val="20"/>
                <w:color w:val="auto"/>
              </w:rPr>
            </w:pPr>
            <w:r>
              <w:rPr>
                <w:rFonts w:ascii="Arial" w:cs="Arial" w:eastAsia="Arial" w:hAnsi="Arial"/>
                <w:sz w:val="17"/>
                <w:szCs w:val="17"/>
                <w:color w:val="auto"/>
              </w:rPr>
              <w:t>Option</w:t>
            </w: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183,130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2.76</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2.76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1"/>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2019</w:t>
            </w: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33,926</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4.49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1"/>
        </w:trPr>
        <w:tc>
          <w:tcPr>
            <w:tcW w:w="5240" w:type="dxa"/>
            <w:vAlign w:val="bottom"/>
            <w:gridSpan w:val="2"/>
          </w:tcPr>
          <w:p>
            <w:pPr>
              <w:spacing w:after="0"/>
              <w:rPr>
                <w:sz w:val="20"/>
                <w:szCs w:val="20"/>
                <w:color w:val="auto"/>
              </w:rPr>
            </w:pPr>
            <w:r>
              <w:rPr>
                <w:rFonts w:ascii="Arial" w:cs="Arial" w:eastAsia="Arial" w:hAnsi="Arial"/>
                <w:sz w:val="17"/>
                <w:szCs w:val="17"/>
                <w:color w:val="auto"/>
              </w:rPr>
              <w:t>September 24, 2019</w:t>
            </w:r>
          </w:p>
        </w:tc>
        <w:tc>
          <w:tcPr>
            <w:tcW w:w="700" w:type="dxa"/>
            <w:vAlign w:val="bottom"/>
            <w:gridSpan w:val="2"/>
          </w:tcPr>
          <w:p>
            <w:pPr>
              <w:spacing w:after="0"/>
              <w:rPr>
                <w:sz w:val="20"/>
                <w:szCs w:val="20"/>
                <w:color w:val="auto"/>
              </w:rPr>
            </w:pPr>
            <w:r>
              <w:rPr>
                <w:rFonts w:ascii="Arial" w:cs="Arial" w:eastAsia="Arial" w:hAnsi="Arial"/>
                <w:sz w:val="17"/>
                <w:szCs w:val="17"/>
                <w:color w:val="auto"/>
              </w:rPr>
              <w:t>Option</w:t>
            </w: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93,541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4.49</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8.63</w:t>
            </w:r>
            <w:r>
              <w:rPr>
                <w:rFonts w:ascii="Arial" w:cs="Arial" w:eastAsia="Arial" w:hAnsi="Arial"/>
                <w:sz w:val="14"/>
                <w:szCs w:val="14"/>
                <w:color w:val="auto"/>
              </w:rPr>
              <w:t>(4)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01"/>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February 6, 2020</w:t>
            </w: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109,239</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8.63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80010</wp:posOffset>
            </wp:positionV>
            <wp:extent cx="7175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43" w:lineRule="exact"/>
        <w:rPr>
          <w:sz w:val="20"/>
          <w:szCs w:val="20"/>
          <w:color w:val="auto"/>
        </w:rPr>
      </w:pPr>
    </w:p>
    <w:p>
      <w:pPr>
        <w:jc w:val="both"/>
        <w:ind w:left="900" w:right="20" w:hanging="397"/>
        <w:spacing w:after="0" w:line="257"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Exercise Price of Award per Share represents the fair value of our common stock on the date of grant, as determined by our board of directors, after taking into account our most recently available contemporaneous valuations of our common stock as well as additional factors that may have changed since the date of such contemporaneous valuations through the date of grant.</w:t>
      </w:r>
    </w:p>
    <w:p>
      <w:pPr>
        <w:spacing w:after="0" w:line="200" w:lineRule="exact"/>
        <w:rPr>
          <w:rFonts w:ascii="Arial" w:cs="Arial" w:eastAsia="Arial" w:hAnsi="Arial"/>
          <w:sz w:val="17"/>
          <w:szCs w:val="17"/>
          <w:color w:val="auto"/>
        </w:rPr>
      </w:pPr>
    </w:p>
    <w:p>
      <w:pPr>
        <w:ind w:left="900" w:right="260" w:hanging="397"/>
        <w:spacing w:after="0" w:line="268"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Per Share Estimated Fair Value of Award reflects the fair value of options as estimated at the date of grant using the Black-Scholes option-pricing model.</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740"/>
          </w:cols>
          <w:pgMar w:left="320" w:top="437" w:right="8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900" w:right="40" w:hanging="397"/>
        <w:spacing w:after="0" w:line="250"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the purposes of recording stock-based compensation for stock options granted to non-employees, upon adoption of ASU No. 2018-07 on January 1, 2019, we measure the fair value of the award at the grant date rather than on an accelerated attribution basis over the vesting period and recognize non-employee stock-based compensation expense over the related service period of the non-employee award. Prior to adoption of ASU No. 2018-07, we measured the fair value of the award on the service completion date (vesting date). At the end of each reporting period prior to completion of the services, we re-measured the value of any unvested portion of the award based on the then-current fair value of the award and adjusted expense accordingly.</w:t>
      </w:r>
    </w:p>
    <w:p>
      <w:pPr>
        <w:spacing w:after="0" w:line="209" w:lineRule="exact"/>
        <w:rPr>
          <w:rFonts w:ascii="Arial" w:cs="Arial" w:eastAsia="Arial" w:hAnsi="Arial"/>
          <w:sz w:val="17"/>
          <w:szCs w:val="17"/>
          <w:color w:val="auto"/>
        </w:rPr>
      </w:pPr>
    </w:p>
    <w:p>
      <w:pPr>
        <w:ind w:left="900" w:right="60" w:hanging="397"/>
        <w:spacing w:after="0" w:line="257"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undertook a retrospective valuation of the fair value of our common stock as of September 19, 2019 and this value represents our estimated fair value per common share in accordance with such retrospective valuation, as no contemporaneous valuation was performed at the time of such grants.</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Determination of Fair Value of Common Stock</w:t>
      </w:r>
    </w:p>
    <w:p>
      <w:pPr>
        <w:spacing w:after="0" w:line="206" w:lineRule="exact"/>
        <w:rPr>
          <w:sz w:val="20"/>
          <w:szCs w:val="20"/>
          <w:color w:val="auto"/>
        </w:rPr>
      </w:pPr>
    </w:p>
    <w:p>
      <w:pPr>
        <w:ind w:left="500" w:right="20" w:firstLine="819"/>
        <w:spacing w:after="0" w:line="251" w:lineRule="auto"/>
        <w:rPr>
          <w:sz w:val="20"/>
          <w:szCs w:val="20"/>
          <w:color w:val="auto"/>
        </w:rPr>
      </w:pPr>
      <w:r>
        <w:rPr>
          <w:rFonts w:ascii="Arial" w:cs="Arial" w:eastAsia="Arial" w:hAnsi="Arial"/>
          <w:sz w:val="17"/>
          <w:szCs w:val="17"/>
          <w:color w:val="auto"/>
        </w:rPr>
        <w:t>As a private company with no active public market for our common stock, our board of directors has historically determined the fair value of our common stock on each date of grant, with input from management. Our board of directors periodically determined the estimated per share fair value of our common stock at various dates using contemporaneous valuations performed by third parties. Once a public trading market for our common stock has been established in connection with the completion of this offering, it will no longer be necessary for us to estimate the fair value of our common stock in connection with our accounting for stock options.</w:t>
      </w:r>
    </w:p>
    <w:p>
      <w:pPr>
        <w:spacing w:after="0" w:line="183" w:lineRule="exact"/>
        <w:rPr>
          <w:sz w:val="20"/>
          <w:szCs w:val="20"/>
          <w:color w:val="auto"/>
        </w:rPr>
      </w:pPr>
    </w:p>
    <w:p>
      <w:pPr>
        <w:ind w:left="500" w:firstLine="819"/>
        <w:spacing w:after="0" w:line="290" w:lineRule="auto"/>
        <w:rPr>
          <w:sz w:val="20"/>
          <w:szCs w:val="20"/>
          <w:color w:val="auto"/>
        </w:rPr>
      </w:pPr>
      <w:r>
        <w:rPr>
          <w:rFonts w:ascii="Arial" w:cs="Arial" w:eastAsia="Arial" w:hAnsi="Arial"/>
          <w:sz w:val="15"/>
          <w:szCs w:val="15"/>
          <w:color w:val="auto"/>
        </w:rPr>
        <w:t>We performed contemporaneous valuations, with the assistance of a third-party specialist, as of September 30, 2018, May 31, 2019 and January 23, 2020, which resulted in valuations of our common stock of $2.76, $4.49 and $8.63 per share, respectively. As no contemporaneous valuation was performed at the time of such grants, we performed a retrospective valuation as of September 19, 2019, which resulted in a valuation of our common stock of $8.63 per share. In conducting the valuations, we considered all objective and subjective factors that we believed to be relevant for each valuation conducted, including our best estimate of our business condition, prospects and operating performance at each valuation date. Within the valuations performed, a range of factors, assumptions and methodologies were used. The significant factors included:</w:t>
      </w:r>
    </w:p>
    <w:p>
      <w:pPr>
        <w:spacing w:after="0" w:line="180" w:lineRule="exact"/>
        <w:rPr>
          <w:sz w:val="20"/>
          <w:szCs w:val="20"/>
          <w:color w:val="auto"/>
        </w:rPr>
      </w:pPr>
    </w:p>
    <w:p>
      <w:pPr>
        <w:ind w:left="1720" w:hanging="301"/>
        <w:spacing w:after="0"/>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stock and redeemable convertible preferred stock;</w:t>
      </w:r>
    </w:p>
    <w:p>
      <w:pPr>
        <w:spacing w:after="0" w:line="231" w:lineRule="exact"/>
        <w:rPr>
          <w:rFonts w:ascii="Arial" w:cs="Arial" w:eastAsia="Arial" w:hAnsi="Arial"/>
          <w:sz w:val="17"/>
          <w:szCs w:val="17"/>
          <w:color w:val="auto"/>
        </w:rPr>
      </w:pPr>
    </w:p>
    <w:p>
      <w:pPr>
        <w:ind w:left="1720" w:hanging="301"/>
        <w:spacing w:after="0" w:line="257" w:lineRule="auto"/>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prices at which we sold shares of our redeemable convertible preferred stock in arm’s length transactions and the superior rights, preferences and privileges of the convertible preferred stock relative to our common stock, including the liquidation preferences of our preferred stock;</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results of operations and financial condition, including cash on hand;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material risks related to our business;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stage of development and business strategy;</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composition of, and changes to, our management team and board of directors;</w:t>
      </w:r>
    </w:p>
    <w:p>
      <w:pPr>
        <w:spacing w:after="0" w:line="231" w:lineRule="exact"/>
        <w:rPr>
          <w:rFonts w:ascii="Arial" w:cs="Arial" w:eastAsia="Arial" w:hAnsi="Arial"/>
          <w:sz w:val="17"/>
          <w:szCs w:val="17"/>
          <w:color w:val="auto"/>
        </w:rPr>
      </w:pPr>
    </w:p>
    <w:p>
      <w:pPr>
        <w:ind w:left="1720" w:right="300" w:hanging="301"/>
        <w:spacing w:after="0" w:line="268" w:lineRule="auto"/>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market performance of publicly traded companies in the life sciences and biotechnology sectors, as well as recently completed initial public offerings, or IPOs, of companies in the life sciences and biotechnology sectors; and</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IPO given prevailing market conditions.</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740"/>
          </w:cols>
          <w:pgMar w:left="320" w:top="437" w:right="8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60" w:firstLine="819"/>
        <w:spacing w:after="0" w:line="290" w:lineRule="auto"/>
        <w:rPr>
          <w:sz w:val="20"/>
          <w:szCs w:val="20"/>
          <w:color w:val="auto"/>
        </w:rPr>
      </w:pPr>
      <w:r>
        <w:rPr>
          <w:rFonts w:ascii="Arial" w:cs="Arial" w:eastAsia="Arial" w:hAnsi="Arial"/>
          <w:sz w:val="15"/>
          <w:szCs w:val="15"/>
          <w:color w:val="auto"/>
        </w:rPr>
        <w:t>Historically, the dates of our valuations have not coincided with the dates of our stock-based compensation grants. In determining the exercise prices of the stock options granted, our board of directors considered, among other things, the most recent valuations of our common stock and our assessment of additional objective and subjective factors we believed were relevant as of the grant date. The additional factors considered when determining any changes in fair value of our common stock between the most recent valuation and the grant dates included the status of our stage of research and development, our operating and financial performance and current business conditions. The fair value of 93,541 options granted on September 24, 2019 was determined retrospectively as no contemporaneous valuation was performed at the time of such grants.</w:t>
      </w:r>
    </w:p>
    <w:p>
      <w:pPr>
        <w:spacing w:after="0" w:line="155" w:lineRule="exact"/>
        <w:rPr>
          <w:sz w:val="20"/>
          <w:szCs w:val="20"/>
          <w:color w:val="auto"/>
        </w:rPr>
      </w:pPr>
    </w:p>
    <w:p>
      <w:pPr>
        <w:ind w:left="500" w:right="40" w:firstLine="819"/>
        <w:spacing w:after="0" w:line="251" w:lineRule="auto"/>
        <w:rPr>
          <w:sz w:val="20"/>
          <w:szCs w:val="20"/>
          <w:color w:val="auto"/>
        </w:rPr>
      </w:pPr>
      <w:r>
        <w:rPr>
          <w:rFonts w:ascii="Arial" w:cs="Arial" w:eastAsia="Arial" w:hAnsi="Arial"/>
          <w:sz w:val="17"/>
          <w:szCs w:val="17"/>
          <w:color w:val="auto"/>
        </w:rPr>
        <w:t>There are significant judgments and estimates inherent in the determination of the fair value of our common stock. These judgments and estimates are management’s best estimates and include assumptions regarding our future operating performance, the time to completing an initial public offering or other liquidity event, the related company valuations associated with such events and the determinations of the appropriate valuation methods. If we had made different assumptions, our stock-based compensation expense, net loss and net loss per common share could have been different.</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Common Stock Valuation Methodologies</w:t>
      </w:r>
    </w:p>
    <w:p>
      <w:pPr>
        <w:spacing w:after="0" w:line="206" w:lineRule="exact"/>
        <w:rPr>
          <w:sz w:val="20"/>
          <w:szCs w:val="20"/>
          <w:color w:val="auto"/>
        </w:rPr>
      </w:pPr>
    </w:p>
    <w:p>
      <w:pPr>
        <w:ind w:left="500" w:right="240" w:firstLine="819"/>
        <w:spacing w:after="0" w:line="253" w:lineRule="auto"/>
        <w:rPr>
          <w:sz w:val="20"/>
          <w:szCs w:val="20"/>
          <w:color w:val="auto"/>
        </w:rPr>
      </w:pPr>
      <w:r>
        <w:rPr>
          <w:rFonts w:ascii="Arial" w:cs="Arial" w:eastAsia="Arial" w:hAnsi="Arial"/>
          <w:sz w:val="17"/>
          <w:szCs w:val="17"/>
          <w:color w:val="auto"/>
        </w:rPr>
        <w:t>Our common stock valuations were prepared in accordance with the guidelines in the American Institute of Certified Public Accountants Practice Aid, V</w:t>
      </w:r>
      <w:r>
        <w:rPr>
          <w:rFonts w:ascii="Arial" w:cs="Arial" w:eastAsia="Arial" w:hAnsi="Arial"/>
          <w:sz w:val="17"/>
          <w:szCs w:val="17"/>
          <w:i w:val="1"/>
          <w:iCs w:val="1"/>
          <w:color w:val="auto"/>
        </w:rPr>
        <w:t>aluation of Privately-Held Company Equity Securities Issued as Compensation</w:t>
      </w:r>
      <w:r>
        <w:rPr>
          <w:rFonts w:ascii="Arial" w:cs="Arial" w:eastAsia="Arial" w:hAnsi="Arial"/>
          <w:sz w:val="17"/>
          <w:szCs w:val="17"/>
          <w:color w:val="auto"/>
        </w:rPr>
        <w:t>,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80" w:lineRule="exact"/>
        <w:rPr>
          <w:sz w:val="20"/>
          <w:szCs w:val="20"/>
          <w:color w:val="auto"/>
        </w:rPr>
      </w:pPr>
    </w:p>
    <w:p>
      <w:pPr>
        <w:ind w:left="500" w:right="40" w:firstLine="819"/>
        <w:spacing w:after="0" w:line="250" w:lineRule="auto"/>
        <w:rPr>
          <w:sz w:val="20"/>
          <w:szCs w:val="20"/>
          <w:color w:val="auto"/>
        </w:rPr>
      </w:pPr>
      <w:r>
        <w:rPr>
          <w:rFonts w:ascii="Arial" w:cs="Arial" w:eastAsia="Arial" w:hAnsi="Arial"/>
          <w:sz w:val="17"/>
          <w:szCs w:val="17"/>
          <w:color w:val="auto"/>
        </w:rPr>
        <w:t>Our common stock valuation as of September 30, 2018 was prepared using an option pricing method, or OPM, framework and utilized a recent transactions market approach for inferring the equity value implied by our recently completed sales of Series B redeemable convertible preferred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 at the time of the liquidity event, such as a strategic sale or a merger. A discount to reflect a lack of marketability of 40% was then applied to arrive at a $2.76 per share valuation of our common stock.</w:t>
      </w:r>
    </w:p>
    <w:p>
      <w:pPr>
        <w:spacing w:after="0" w:line="181"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Our common stock valuation as of May 31, 2019 was prepared using a hybrid method of two potential liquidity outcomes: a merger and acquisition scenario utilizing the Guideline Transaction approach and an IPO scenario utilizing the Direct Waterfall approach. The hybrid method is a probability-weighed expected return method, or PWERM, where the equity value in one or more scenarios is calculated using the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For the May 31, 2019 valuation, we (i) assigned a 90% probability of occurrence to the merger and acquisition scenario, with a 30% weighted average cost of capital within this scenario, then reflected a calculated discount for lack of marketability of 34.5%; and (ii) we assigned a 10% probability of occurrence to the IPO scenario, with a 30% weighted average cost of capital and a 0.75-year estimated term to an IPO event, then reflected a calculated discount for lack of marketability of 15%.</w:t>
      </w:r>
    </w:p>
    <w:p>
      <w:pPr>
        <w:spacing w:after="0" w:line="175" w:lineRule="exact"/>
        <w:rPr>
          <w:sz w:val="20"/>
          <w:szCs w:val="20"/>
          <w:color w:val="auto"/>
        </w:rPr>
      </w:pPr>
    </w:p>
    <w:p>
      <w:pPr>
        <w:jc w:val="both"/>
        <w:ind w:left="500" w:right="100" w:firstLine="819"/>
        <w:spacing w:after="0" w:line="257" w:lineRule="auto"/>
        <w:rPr>
          <w:sz w:val="20"/>
          <w:szCs w:val="20"/>
          <w:color w:val="auto"/>
        </w:rPr>
      </w:pPr>
      <w:r>
        <w:rPr>
          <w:rFonts w:ascii="Arial" w:cs="Arial" w:eastAsia="Arial" w:hAnsi="Arial"/>
          <w:sz w:val="17"/>
          <w:szCs w:val="17"/>
          <w:color w:val="auto"/>
        </w:rPr>
        <w:t>Our common stock valuation as of September 19, 2019 was prepared using a hybrid method of two potential liquidity outcomes: a merger and acquisition scenario utilizing the Guideline Transaction approach and an IPO scenario utilizing the Direct Waterfall approach. For the retrospective September 19, 2019 valuation, we</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720"/>
          </w:cols>
          <w:pgMar w:left="320" w:top="437" w:right="85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both"/>
        <w:ind w:left="500" w:right="180" w:firstLine="3"/>
        <w:spacing w:after="0" w:line="253" w:lineRule="auto"/>
        <w:tabs>
          <w:tab w:leader="none" w:pos="7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assigned a 60% probability of occurrence to the merger and acquisition scenario, with a 25% weighted average cost of capital within this scenario, then reflected a calculated discount for lack of marketability of 30%; and (ii) we assigned a 40% probability of occurrence to the IPO scenario, with a 25% weighted average cost of capital and a 0.53-year estimated term to an IPO event, then reflected a calculated discount for lack of marketability of 10%.</w:t>
      </w:r>
    </w:p>
    <w:p>
      <w:pPr>
        <w:spacing w:after="0" w:line="180"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Our common stock valuation as of January 23, 2020 was prepared using a recent transactions market approach for inferring the equity value implied by our recent sales of Series C redeemable convertible preferred stock and a hybrid of the OPM and Direct Waterfall, including a future IPO scenario utilizing the Direct Waterfall approach, to allocate the total equity value. For the January 23, 2020 valuation, we (i) assigned a 45% probability of occurrence to the merger and acquisition scenario and applied a discount for lack of marketability of 30%; and (ii) we assigned a 55% probability of occurrence to the IPO scenario, with a 25% weighted average cost of capital and a 0.19-year estimated term to an IPO event, then reflected a calculated discount for lack of marketability of 5%.</w:t>
      </w:r>
    </w:p>
    <w:p>
      <w:pPr>
        <w:spacing w:after="0" w:line="184"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Tranche Rights</w:t>
      </w:r>
    </w:p>
    <w:p>
      <w:pPr>
        <w:spacing w:after="0" w:line="206" w:lineRule="exact"/>
        <w:rPr>
          <w:sz w:val="20"/>
          <w:szCs w:val="20"/>
          <w:color w:val="auto"/>
        </w:rPr>
      </w:pPr>
    </w:p>
    <w:p>
      <w:pPr>
        <w:ind w:left="500" w:right="140" w:firstLine="819"/>
        <w:spacing w:after="0" w:line="267" w:lineRule="auto"/>
        <w:rPr>
          <w:sz w:val="20"/>
          <w:szCs w:val="20"/>
          <w:color w:val="auto"/>
        </w:rPr>
      </w:pPr>
      <w:r>
        <w:rPr>
          <w:rFonts w:ascii="Arial" w:cs="Arial" w:eastAsia="Arial" w:hAnsi="Arial"/>
          <w:sz w:val="16"/>
          <w:szCs w:val="16"/>
          <w:color w:val="auto"/>
        </w:rPr>
        <w:t>Our sale of Series B redeemable convertible preferred stock provided our investors with the right to participate in a subsequent offering of Series B redeemable convertible preferred stock in the event specified development milestone was achieved. We classified the tranche rights as a derivative liability on our consolidated balance sheet because it met the definition of a freestanding financial instrument that could have required the Company to transfer assets upon exercise. We remeasured the derivative liability associated with the tranche right to fair value at each reporting date, and recognized changes in the fair value of the derivative liability as a component of other income (expense) in our consolidated statements of operations and comprehensive loss. The fair value of the derivative liability was determined using the Black-Scholes option pricing model, which considered as inputs (a) the expected stock price volatility of the underlying common stock, (b) the expected term of the tranche right, (c) the risk-free interest rate and (d) expected dividends.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Results of Operations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Comparison of the Years Ended December 31, 2019 and 2018</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following table summarizes our results of operations for the years ended December 31, 2019 and 2018 (in thousands):</w:t>
      </w:r>
    </w:p>
    <w:p>
      <w:pPr>
        <w:spacing w:after="0" w:line="212"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1"/>
              </w:rPr>
              <w:t>Years Ended December 31,</w:t>
            </w:r>
          </w:p>
        </w:tc>
        <w:tc>
          <w:tcPr>
            <w:tcW w:w="520" w:type="dxa"/>
            <w:vAlign w:val="bottom"/>
            <w:gridSpan w:val="2"/>
            <w:vMerge w:val="restart"/>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auto"/>
            </w:tcBorders>
            <w:gridSpan w:val="5"/>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Grant revenues</w:t>
            </w:r>
          </w:p>
        </w:tc>
        <w:tc>
          <w:tcPr>
            <w:tcW w:w="18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1,244</w:t>
            </w: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(1,244)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Operating expenses:</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12,032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4,975</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4,487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3,528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16,519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8,503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(8,016)</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2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w w:val="94"/>
              </w:rPr>
              <w:t>(16,519)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7"/>
                <w:szCs w:val="17"/>
                <w:color w:val="auto"/>
              </w:rPr>
              <w:t>(7,259)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(9,260)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Arial" w:cs="Arial" w:eastAsia="Arial" w:hAnsi="Arial"/>
                <w:sz w:val="17"/>
                <w:szCs w:val="17"/>
                <w:color w:val="auto"/>
              </w:rPr>
              <w:t>Interest income (expense), net</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213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income, net</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Arial" w:cs="Arial" w:eastAsia="Arial" w:hAnsi="Arial"/>
                <w:sz w:val="17"/>
                <w:szCs w:val="17"/>
                <w:color w:val="auto"/>
              </w:rPr>
              <w:t>Change in fair value of tranche liability</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1,184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Total other income, net</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(1,017)</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20" w:type="dxa"/>
            <w:vAlign w:val="bottom"/>
            <w:gridSpan w:val="2"/>
            <w:vMerge w:val="continue"/>
          </w:tcPr>
          <w:p>
            <w:pPr>
              <w:spacing w:after="0"/>
              <w:rPr>
                <w:sz w:val="17"/>
                <w:szCs w:val="17"/>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w w:val="94"/>
              </w:rPr>
              <w:t>(16,306)</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280"/>
              <w:spacing w:after="0"/>
              <w:rPr>
                <w:sz w:val="20"/>
                <w:szCs w:val="20"/>
                <w:color w:val="auto"/>
              </w:rPr>
            </w:pPr>
            <w:r>
              <w:rPr>
                <w:rFonts w:ascii="Arial" w:cs="Arial" w:eastAsia="Arial" w:hAnsi="Arial"/>
                <w:sz w:val="17"/>
                <w:szCs w:val="17"/>
                <w:color w:val="auto"/>
              </w:rPr>
              <w:t>(6,029)</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vMerge w:val="restart"/>
          </w:tcPr>
          <w:p>
            <w:pPr>
              <w:jc w:val="right"/>
              <w:ind w:right="736"/>
              <w:spacing w:after="0"/>
              <w:rPr>
                <w:sz w:val="20"/>
                <w:szCs w:val="20"/>
                <w:color w:val="auto"/>
              </w:rPr>
            </w:pPr>
            <w:r>
              <w:rPr>
                <w:rFonts w:ascii="Arial" w:cs="Arial" w:eastAsia="Arial" w:hAnsi="Arial"/>
                <w:sz w:val="17"/>
                <w:szCs w:val="17"/>
                <w:color w:val="auto"/>
              </w:rPr>
              <w:t>101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37" w:right="8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Revenue</w:t>
      </w:r>
    </w:p>
    <w:p>
      <w:pPr>
        <w:spacing w:after="0" w:line="206" w:lineRule="exact"/>
        <w:rPr>
          <w:sz w:val="20"/>
          <w:szCs w:val="20"/>
          <w:color w:val="auto"/>
        </w:rPr>
      </w:pPr>
    </w:p>
    <w:p>
      <w:pPr>
        <w:ind w:left="500" w:right="600" w:firstLine="819"/>
        <w:spacing w:after="0" w:line="268" w:lineRule="auto"/>
        <w:rPr>
          <w:sz w:val="20"/>
          <w:szCs w:val="20"/>
          <w:color w:val="auto"/>
        </w:rPr>
      </w:pPr>
      <w:r>
        <w:rPr>
          <w:rFonts w:ascii="Arial" w:cs="Arial" w:eastAsia="Arial" w:hAnsi="Arial"/>
          <w:sz w:val="17"/>
          <w:szCs w:val="17"/>
          <w:color w:val="auto"/>
        </w:rPr>
        <w:t>Grant revenue decreased from $1.2 million for the year ended December 31, 2018 to $0 for the year ended December 31, 2019. The decrease was a result of the conclusion of our activities related to the NIH awards.</w:t>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Research and Development Expenses</w:t>
      </w:r>
    </w:p>
    <w:p>
      <w:pPr>
        <w:spacing w:after="0" w:line="206" w:lineRule="exact"/>
        <w:rPr>
          <w:sz w:val="20"/>
          <w:szCs w:val="20"/>
          <w:color w:val="auto"/>
        </w:rPr>
      </w:pPr>
    </w:p>
    <w:p>
      <w:pPr>
        <w:ind w:left="500" w:right="100" w:firstLine="819"/>
        <w:spacing w:after="0" w:line="268" w:lineRule="auto"/>
        <w:rPr>
          <w:sz w:val="20"/>
          <w:szCs w:val="20"/>
          <w:color w:val="auto"/>
        </w:rPr>
      </w:pPr>
      <w:r>
        <w:rPr>
          <w:rFonts w:ascii="Arial" w:cs="Arial" w:eastAsia="Arial" w:hAnsi="Arial"/>
          <w:sz w:val="17"/>
          <w:szCs w:val="17"/>
          <w:color w:val="auto"/>
        </w:rPr>
        <w:t>Research and development expense increased by $7.0 million to $12.0 million for the year ended December 31, 2019 from $5.0 million for the year ended December 31, 2018.</w:t>
      </w:r>
    </w:p>
    <w:p>
      <w:pPr>
        <w:spacing w:after="0" w:line="166" w:lineRule="exact"/>
        <w:rPr>
          <w:sz w:val="20"/>
          <w:szCs w:val="20"/>
          <w:color w:val="auto"/>
        </w:rPr>
      </w:pPr>
    </w:p>
    <w:p>
      <w:pPr>
        <w:ind w:left="500" w:right="140" w:firstLine="819"/>
        <w:spacing w:after="0" w:line="266" w:lineRule="auto"/>
        <w:rPr>
          <w:sz w:val="20"/>
          <w:szCs w:val="20"/>
          <w:color w:val="auto"/>
        </w:rPr>
      </w:pPr>
      <w:r>
        <w:rPr>
          <w:rFonts w:ascii="Arial" w:cs="Arial" w:eastAsia="Arial" w:hAnsi="Arial"/>
          <w:sz w:val="16"/>
          <w:szCs w:val="16"/>
          <w:color w:val="auto"/>
        </w:rPr>
        <w:t>The increase in research and development expense was primarily attributable to an increase in clinical development external costs of $3.5 million for the year ended December 31, 2019, primarily as a result of Phase 2 LANTERN clinical trial costs associated with LYR-210; an increase in chemistry, manufacturing and controls costs of $0.7 million for the year ended December 31, 2019, primarily as a result of increased spending on LYR-210 as it began the Phase 2 LANTERN clinical trial; an increase in employee compensation and benefits of $1.1 million for the year ended December 31, 2019, primarily as result of an increase in headcount and a decrease in charges to Arsenal Medical, Inc., or Arsenal, a company which shared certain common owners with us, for employee compensation and benefit costs related to our employees working on Arsenal-sponsored projects in accordance with the terms of the Transition Services Agreement between the two companies. Additionally, research and development expense increased by $1.4 million for the year ended December 31, 2019, as a result of a decrease in non-employee related charges to Arsenal and a resulting increase in facilities and allocated expenses.</w:t>
      </w:r>
    </w:p>
    <w:p>
      <w:pPr>
        <w:spacing w:after="0" w:line="173"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06" w:lineRule="exact"/>
        <w:rPr>
          <w:sz w:val="20"/>
          <w:szCs w:val="20"/>
          <w:color w:val="auto"/>
        </w:rPr>
      </w:pPr>
    </w:p>
    <w:p>
      <w:pPr>
        <w:ind w:left="500" w:right="180" w:firstLine="819"/>
        <w:spacing w:after="0" w:line="268" w:lineRule="auto"/>
        <w:rPr>
          <w:sz w:val="20"/>
          <w:szCs w:val="20"/>
          <w:color w:val="auto"/>
        </w:rPr>
      </w:pPr>
      <w:r>
        <w:rPr>
          <w:rFonts w:ascii="Arial" w:cs="Arial" w:eastAsia="Arial" w:hAnsi="Arial"/>
          <w:sz w:val="17"/>
          <w:szCs w:val="17"/>
          <w:color w:val="auto"/>
        </w:rPr>
        <w:t>General and administrative expense increased by $1.0 million from $3.5 million for the year ended December 31, 2018 to $4.5 million for the year ended December 31, 2019.</w:t>
      </w:r>
    </w:p>
    <w:p>
      <w:pPr>
        <w:spacing w:after="0" w:line="166"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The increase in general and administrative expenses was primarily attributable to an increase in employee compensation and benefits of $0.3 million for the year ended December 31, 2019, primarily due to an increase in headcount and related expenses; an increase in consulting and professional services of $0.5 million for the year ended December 31, 2019, primarily as a result of increased consulting and professional fees resulting from the growth in our general business operations; and the write-off the $0.2 million receivable from the NIH as a result of the conclusion of our activities related to the NIH awards.</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Interest Income (Expense), net</w:t>
      </w:r>
    </w:p>
    <w:p>
      <w:pPr>
        <w:spacing w:after="0" w:line="206"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Interest income (expense), net consists of interest income earned on our cash and cash equivalents and non-cash interest expense incurred on our convertible notes payable. Interest income increased $0.2 million from $36,000 for the year ended December 31, 2018 to $0.2 million for the year ended December 31, 2019. The increase was attributable to the interest earned on higher average cash and cash equivalents balances during the year ended December 31, 2019 after the closing of the second tranche of our Series B redeemable convertible preferred stock financing in October 2018.</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Change in Fair Value of Tranche Liability</w:t>
      </w:r>
    </w:p>
    <w:p>
      <w:pPr>
        <w:spacing w:after="0" w:line="206" w:lineRule="exact"/>
        <w:rPr>
          <w:sz w:val="20"/>
          <w:szCs w:val="20"/>
          <w:color w:val="auto"/>
        </w:rPr>
      </w:pPr>
    </w:p>
    <w:p>
      <w:pPr>
        <w:ind w:left="500" w:right="120" w:firstLine="819"/>
        <w:spacing w:after="0" w:line="280" w:lineRule="auto"/>
        <w:rPr>
          <w:sz w:val="20"/>
          <w:szCs w:val="20"/>
          <w:color w:val="auto"/>
        </w:rPr>
      </w:pPr>
      <w:r>
        <w:rPr>
          <w:rFonts w:ascii="Arial" w:cs="Arial" w:eastAsia="Arial" w:hAnsi="Arial"/>
          <w:sz w:val="16"/>
          <w:szCs w:val="16"/>
          <w:color w:val="auto"/>
        </w:rPr>
        <w:t>Change in fair value of tranche liability consists of the change in fair value of the tranche rights related to the sale of our Series B redeemable convertible preferred stock. It decreased from $1.2 million for the year ended December 31, 2018 to none for the year ended December 31, 2019. The decrease was attributable to the change in fair value of the tranche rights which were settled in October 2018.</w:t>
      </w:r>
    </w:p>
    <w:p>
      <w:pPr>
        <w:spacing w:after="0" w:line="9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740"/>
          </w:cols>
          <w:pgMar w:left="320" w:top="437" w:right="8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Liquidity and Capital Resources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06"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We have funded our operations from inception through December 31, 2019 primarily through gross proceeds of $131.8 million from sales of our redeemable convertible preferred stock and $16.8 million from government contracts. The following table provides information regarding our total cash and cash equivalents at December 31, 2019 and 2018 (in thousands):</w:t>
      </w:r>
    </w:p>
    <w:p>
      <w:pPr>
        <w:spacing w:after="0" w:line="193" w:lineRule="exact"/>
        <w:rPr>
          <w:sz w:val="20"/>
          <w:szCs w:val="20"/>
          <w:color w:val="auto"/>
        </w:rPr>
      </w:pPr>
    </w:p>
    <w:p>
      <w:pPr>
        <w:jc w:val="center"/>
        <w:ind w:left="3860"/>
        <w:spacing w:after="0"/>
        <w:rPr>
          <w:sz w:val="20"/>
          <w:szCs w:val="20"/>
          <w:color w:val="auto"/>
        </w:rPr>
      </w:pPr>
      <w:r>
        <w:rPr>
          <w:rFonts w:ascii="Arial" w:cs="Arial" w:eastAsia="Arial" w:hAnsi="Arial"/>
          <w:sz w:val="13"/>
          <w:szCs w:val="13"/>
          <w:b w:val="1"/>
          <w:bCs w:val="1"/>
          <w:color w:val="auto"/>
        </w:rPr>
        <w:t>As of</w:t>
      </w:r>
    </w:p>
    <w:p>
      <w:pPr>
        <w:jc w:val="center"/>
        <w:ind w:left="3860"/>
        <w:spacing w:after="0" w:line="235" w:lineRule="auto"/>
        <w:rPr>
          <w:sz w:val="20"/>
          <w:szCs w:val="20"/>
          <w:color w:val="auto"/>
        </w:rPr>
      </w:pPr>
      <w:r>
        <w:rPr>
          <w:rFonts w:ascii="Arial" w:cs="Arial" w:eastAsia="Arial" w:hAnsi="Arial"/>
          <w:sz w:val="13"/>
          <w:szCs w:val="13"/>
          <w:b w:val="1"/>
          <w:bCs w:val="1"/>
          <w:color w:val="auto"/>
        </w:rPr>
        <w:t>December 31,</w:t>
      </w:r>
    </w:p>
    <w:p>
      <w:pPr>
        <w:spacing w:after="0" w:line="1" w:lineRule="exact"/>
        <w:rPr>
          <w:sz w:val="20"/>
          <w:szCs w:val="20"/>
          <w:color w:val="auto"/>
        </w:rPr>
      </w:pPr>
    </w:p>
    <w:tbl>
      <w:tblPr>
        <w:tblLayout w:type="fixed"/>
        <w:tblInd w:w="2780" w:type="dxa"/>
        <w:tblCellMar>
          <w:top w:w="0" w:type="dxa"/>
          <w:left w:w="0" w:type="dxa"/>
          <w:bottom w:w="0" w:type="dxa"/>
          <w:right w:w="0" w:type="dxa"/>
        </w:tblCellMar>
      </w:tblPr>
      <w:tr>
        <w:trPr>
          <w:trHeight w:val="131"/>
        </w:trPr>
        <w:tc>
          <w:tcPr>
            <w:tcW w:w="2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79"/>
              <w:spacing w:after="0" w:line="131" w:lineRule="exact"/>
              <w:rPr>
                <w:sz w:val="20"/>
                <w:szCs w:val="20"/>
                <w:color w:val="auto"/>
              </w:rPr>
            </w:pPr>
            <w:r>
              <w:rPr>
                <w:rFonts w:ascii="Arial" w:cs="Arial" w:eastAsia="Arial" w:hAnsi="Arial"/>
                <w:sz w:val="12"/>
                <w:szCs w:val="12"/>
                <w:b w:val="1"/>
                <w:bCs w:val="1"/>
                <w:color w:val="auto"/>
                <w:w w:val="74"/>
              </w:rPr>
              <w:t>2019</w:t>
            </w: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93"/>
        </w:trPr>
        <w:tc>
          <w:tcPr>
            <w:tcW w:w="2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1920" w:type="dxa"/>
            <w:vAlign w:val="bottom"/>
            <w:gridSpan w:val="4"/>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$ 9,808</w:t>
            </w:r>
          </w:p>
        </w:tc>
        <w:tc>
          <w:tcPr>
            <w:tcW w:w="920" w:type="dxa"/>
            <w:vAlign w:val="bottom"/>
            <w:gridSpan w:val="4"/>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$ 23,888</w:t>
            </w: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Cash Flows</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following table provides information regarding our cash flows for the years ended December 31, 2019 and 2018 (in thousands):</w:t>
      </w:r>
    </w:p>
    <w:p>
      <w:pPr>
        <w:spacing w:after="0" w:line="235" w:lineRule="exact"/>
        <w:rPr>
          <w:sz w:val="20"/>
          <w:szCs w:val="20"/>
          <w:color w:val="auto"/>
        </w:rPr>
      </w:pPr>
    </w:p>
    <w:tbl>
      <w:tblPr>
        <w:tblLayout w:type="fixed"/>
        <w:tblInd w:w="12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7"/>
          </w:tcPr>
          <w:p>
            <w:pPr>
              <w:jc w:val="right"/>
              <w:ind w:right="280"/>
              <w:spacing w:after="0"/>
              <w:rPr>
                <w:sz w:val="20"/>
                <w:szCs w:val="20"/>
                <w:color w:val="auto"/>
              </w:rPr>
            </w:pPr>
            <w:r>
              <w:rPr>
                <w:rFonts w:ascii="Arial" w:cs="Arial" w:eastAsia="Arial" w:hAnsi="Arial"/>
                <w:sz w:val="13"/>
                <w:szCs w:val="13"/>
                <w:b w:val="1"/>
                <w:bCs w:val="1"/>
                <w:color w:val="auto"/>
                <w:w w:val="91"/>
              </w:rPr>
              <w:t>Years Ended December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33"/>
              <w:spacing w:after="0" w:line="131" w:lineRule="exact"/>
              <w:rPr>
                <w:sz w:val="20"/>
                <w:szCs w:val="20"/>
                <w:color w:val="auto"/>
              </w:rPr>
            </w:pPr>
            <w:r>
              <w:rPr>
                <w:rFonts w:ascii="Arial" w:cs="Arial" w:eastAsia="Arial" w:hAnsi="Arial"/>
                <w:sz w:val="13"/>
                <w:szCs w:val="13"/>
                <w:b w:val="1"/>
                <w:bCs w:val="1"/>
                <w:color w:val="auto"/>
                <w:w w:val="96"/>
              </w:rPr>
              <w:t>2019</w:t>
            </w:r>
          </w:p>
        </w:tc>
        <w:tc>
          <w:tcPr>
            <w:tcW w:w="3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used in operating activities</w:t>
            </w:r>
          </w:p>
        </w:tc>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 (13,754)</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(6,640)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gridSpan w:val="4"/>
          </w:tcPr>
          <w:p>
            <w:pPr>
              <w:jc w:val="right"/>
              <w:ind w:right="240"/>
              <w:spacing w:after="0"/>
              <w:rPr>
                <w:sz w:val="20"/>
                <w:szCs w:val="20"/>
                <w:color w:val="auto"/>
              </w:rPr>
            </w:pPr>
            <w:r>
              <w:rPr>
                <w:rFonts w:ascii="Arial" w:cs="Arial" w:eastAsia="Arial" w:hAnsi="Arial"/>
                <w:sz w:val="17"/>
                <w:szCs w:val="17"/>
                <w:color w:val="auto"/>
              </w:rPr>
              <w:t>(211)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29,213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Net (decrease) increase in cash and cash equivalents</w:t>
            </w: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80" w:type="dxa"/>
            <w:vAlign w:val="bottom"/>
            <w:gridSpan w:val="2"/>
            <w:vMerge w:val="continue"/>
          </w:tcPr>
          <w:p>
            <w:pPr>
              <w:spacing w:after="0"/>
              <w:rPr>
                <w:sz w:val="17"/>
                <w:szCs w:val="17"/>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7"/>
                <w:szCs w:val="17"/>
                <w:color w:val="auto"/>
                <w:w w:val="90"/>
              </w:rPr>
              <w:t>$ (14,080)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22,536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Net Cash Used in Operating Activities</w:t>
      </w:r>
    </w:p>
    <w:p>
      <w:pPr>
        <w:spacing w:after="0" w:line="206" w:lineRule="exact"/>
        <w:rPr>
          <w:sz w:val="20"/>
          <w:szCs w:val="20"/>
          <w:color w:val="auto"/>
        </w:rPr>
      </w:pPr>
    </w:p>
    <w:p>
      <w:pPr>
        <w:ind w:left="500" w:right="320" w:firstLine="819"/>
        <w:spacing w:after="0" w:line="268" w:lineRule="auto"/>
        <w:rPr>
          <w:sz w:val="20"/>
          <w:szCs w:val="20"/>
          <w:color w:val="auto"/>
        </w:rPr>
      </w:pPr>
      <w:r>
        <w:rPr>
          <w:rFonts w:ascii="Arial" w:cs="Arial" w:eastAsia="Arial" w:hAnsi="Arial"/>
          <w:sz w:val="17"/>
          <w:szCs w:val="17"/>
          <w:color w:val="auto"/>
        </w:rPr>
        <w:t>The cash used in operating activities resulted primarily from our net losses adjusted for non-cash charges and changes in components of working capital.</w:t>
      </w:r>
    </w:p>
    <w:p>
      <w:pPr>
        <w:spacing w:after="0" w:line="16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Net cash used in operating activities was $13.8 million for the year ended December 31, 2019 compared to $6.6 million for the year ended</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December 31, 2018. The increase in cash used in operating activities of $7.2 million was attributable to:</w:t>
      </w:r>
    </w:p>
    <w:p>
      <w:pPr>
        <w:spacing w:after="0" w:line="219" w:lineRule="exact"/>
        <w:rPr>
          <w:sz w:val="20"/>
          <w:szCs w:val="20"/>
          <w:color w:val="auto"/>
        </w:rPr>
      </w:pPr>
    </w:p>
    <w:p>
      <w:pPr>
        <w:ind w:left="1720" w:hanging="301"/>
        <w:spacing w:after="0"/>
        <w:tabs>
          <w:tab w:leader="none" w:pos="17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$10.3 million increase in net loss;</w:t>
      </w:r>
    </w:p>
    <w:p>
      <w:pPr>
        <w:spacing w:after="0" w:line="231" w:lineRule="exact"/>
        <w:rPr>
          <w:rFonts w:ascii="Arial" w:cs="Arial" w:eastAsia="Arial" w:hAnsi="Arial"/>
          <w:sz w:val="17"/>
          <w:szCs w:val="17"/>
          <w:color w:val="auto"/>
        </w:rPr>
      </w:pPr>
    </w:p>
    <w:p>
      <w:pPr>
        <w:ind w:left="1720" w:right="60" w:hanging="301"/>
        <w:spacing w:after="0" w:line="257" w:lineRule="auto"/>
        <w:tabs>
          <w:tab w:leader="none" w:pos="17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$1.1 million increase in non-cash charges for the year ended December 31, 2019 primarily because there was no non-cash income in the year ended December 31, 2019, which differed from the prior year which had $1.2 million of non-cash income from the change in fair value of the tranche liability; and</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$2.0 million increase in changes in the components of working capital.</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06" w:lineRule="exact"/>
        <w:rPr>
          <w:sz w:val="20"/>
          <w:szCs w:val="20"/>
          <w:color w:val="auto"/>
        </w:rPr>
      </w:pPr>
    </w:p>
    <w:p>
      <w:pPr>
        <w:jc w:val="both"/>
        <w:ind w:left="500" w:right="540" w:firstLine="819"/>
        <w:spacing w:after="0" w:line="257" w:lineRule="auto"/>
        <w:rPr>
          <w:sz w:val="20"/>
          <w:szCs w:val="20"/>
          <w:color w:val="auto"/>
        </w:rPr>
      </w:pPr>
      <w:r>
        <w:rPr>
          <w:rFonts w:ascii="Arial" w:cs="Arial" w:eastAsia="Arial" w:hAnsi="Arial"/>
          <w:sz w:val="17"/>
          <w:szCs w:val="17"/>
          <w:color w:val="auto"/>
        </w:rPr>
        <w:t>Net cash used in investing activities was $0.2 million for the year ended December 31, 2019 compared to $37,000 for the year ended December 31, 2018. The increase in cash used for investing activities of $0.2 million was attributable to an increase in purchases of property and equipment.</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740"/>
          </w:cols>
          <w:pgMar w:left="320" w:top="437" w:right="8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206" w:lineRule="exact"/>
        <w:rPr>
          <w:sz w:val="20"/>
          <w:szCs w:val="20"/>
          <w:color w:val="auto"/>
        </w:rPr>
      </w:pPr>
    </w:p>
    <w:p>
      <w:pPr>
        <w:ind w:left="500" w:right="240" w:firstLine="819"/>
        <w:spacing w:after="0" w:line="299" w:lineRule="auto"/>
        <w:rPr>
          <w:sz w:val="20"/>
          <w:szCs w:val="20"/>
          <w:color w:val="auto"/>
        </w:rPr>
      </w:pPr>
      <w:r>
        <w:rPr>
          <w:rFonts w:ascii="Arial" w:cs="Arial" w:eastAsia="Arial" w:hAnsi="Arial"/>
          <w:sz w:val="16"/>
          <w:szCs w:val="16"/>
          <w:color w:val="auto"/>
        </w:rPr>
        <w:t>Net cash provided by financing activities was $0.1 million for the year ended December 31, 2019 compared to $29.2 million for the year ended December 31, 2018. The decrease in cash provided by financing activities of $29.1 million was attributable to:</w:t>
      </w:r>
    </w:p>
    <w:p>
      <w:pPr>
        <w:spacing w:after="0" w:line="169" w:lineRule="exact"/>
        <w:rPr>
          <w:sz w:val="20"/>
          <w:szCs w:val="20"/>
          <w:color w:val="auto"/>
        </w:rPr>
      </w:pPr>
    </w:p>
    <w:p>
      <w:pPr>
        <w:ind w:left="1720" w:right="180" w:hanging="301"/>
        <w:spacing w:after="0" w:line="268" w:lineRule="auto"/>
        <w:tabs>
          <w:tab w:leader="none" w:pos="1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net proceeds of $28.7 million from the sale of our Series B redeemable convertible preferred stock and the $0.5 million of proceeds from the sale of our convertible notes payable during the year ended December 31, 2018;</w:t>
      </w:r>
    </w:p>
    <w:p>
      <w:pPr>
        <w:spacing w:after="0" w:line="191" w:lineRule="exact"/>
        <w:rPr>
          <w:rFonts w:ascii="Arial" w:cs="Arial" w:eastAsia="Arial" w:hAnsi="Arial"/>
          <w:sz w:val="17"/>
          <w:szCs w:val="17"/>
          <w:color w:val="auto"/>
        </w:rPr>
      </w:pPr>
    </w:p>
    <w:p>
      <w:pPr>
        <w:ind w:left="1720" w:right="160" w:hanging="301"/>
        <w:spacing w:after="0" w:line="268" w:lineRule="auto"/>
        <w:tabs>
          <w:tab w:leader="none" w:pos="1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$0.1 million increase in proceeds from the exercise of common stock options in the year ended December 31, 2019 compared to the year ended December 31, 2018; and</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$0.2 million in payments for deferred financing costs in the year ended December 31, 2019.</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06" w:lineRule="exact"/>
        <w:rPr>
          <w:sz w:val="20"/>
          <w:szCs w:val="20"/>
          <w:color w:val="auto"/>
        </w:rPr>
      </w:pPr>
    </w:p>
    <w:p>
      <w:pPr>
        <w:jc w:val="both"/>
        <w:ind w:left="500" w:firstLine="819"/>
        <w:spacing w:after="0" w:line="285" w:lineRule="auto"/>
        <w:rPr>
          <w:sz w:val="20"/>
          <w:szCs w:val="20"/>
          <w:color w:val="auto"/>
        </w:rPr>
      </w:pPr>
      <w:r>
        <w:rPr>
          <w:rFonts w:ascii="Arial" w:cs="Arial" w:eastAsia="Arial" w:hAnsi="Arial"/>
          <w:sz w:val="15"/>
          <w:szCs w:val="15"/>
          <w:color w:val="auto"/>
        </w:rPr>
        <w:t>We expect our expenses to increase in connection with our ongoing activities, particularly as we continue the research and development for, initiate later stage clinical trials for, and seek marketing approval for, our product candidates. In addition, if we obtain marketing approval for any of our product candidates, we expect to incur significant commercialization expenses related to product sales, marketing, manufacturing and distribution.</w:t>
      </w:r>
    </w:p>
    <w:p>
      <w:pPr>
        <w:jc w:val="both"/>
        <w:ind w:left="500" w:right="20"/>
        <w:spacing w:after="0" w:line="299" w:lineRule="auto"/>
        <w:rPr>
          <w:sz w:val="20"/>
          <w:szCs w:val="20"/>
          <w:color w:val="auto"/>
        </w:rPr>
      </w:pPr>
      <w:r>
        <w:rPr>
          <w:rFonts w:ascii="Arial" w:cs="Arial" w:eastAsia="Arial" w:hAnsi="Arial"/>
          <w:sz w:val="15"/>
          <w:szCs w:val="15"/>
          <w:color w:val="auto"/>
        </w:rPr>
        <w:t>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46"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We expect that the net proceeds from this offering, together with our existing cash and cash equivalents and the funds we raised in January 2020 will enable us to fund our operating expenses and capital expenditure requirements into the fourth quarter of 2023. We have based this estimate on assumptions that may prove to be wrong, and we may use our available capital resources sooner than we currently expect. Our future capital requirements will depend on many factors, including:</w:t>
      </w:r>
    </w:p>
    <w:p>
      <w:pPr>
        <w:spacing w:after="0" w:line="205" w:lineRule="exact"/>
        <w:rPr>
          <w:sz w:val="20"/>
          <w:szCs w:val="20"/>
          <w:color w:val="auto"/>
        </w:rPr>
      </w:pPr>
    </w:p>
    <w:p>
      <w:pPr>
        <w:ind w:left="1720" w:hanging="301"/>
        <w:spacing w:after="0"/>
        <w:tabs>
          <w:tab w:leader="none" w:pos="1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costs of conducting future clinical trials of LYR-210;</w:t>
      </w:r>
    </w:p>
    <w:p>
      <w:pPr>
        <w:spacing w:after="0" w:line="231" w:lineRule="exact"/>
        <w:rPr>
          <w:rFonts w:ascii="Arial" w:cs="Arial" w:eastAsia="Arial" w:hAnsi="Arial"/>
          <w:sz w:val="17"/>
          <w:szCs w:val="17"/>
          <w:color w:val="auto"/>
        </w:rPr>
      </w:pPr>
    </w:p>
    <w:p>
      <w:pPr>
        <w:ind w:left="1720" w:right="100" w:hanging="301"/>
        <w:spacing w:after="0" w:line="268" w:lineRule="auto"/>
        <w:tabs>
          <w:tab w:leader="none" w:pos="1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costs of manufacturing additional material for one or more pivotal Phase 3 clinical trials of LYR-210 and potential future clinical studies we might conduct for our other product candidates;</w:t>
      </w:r>
    </w:p>
    <w:p>
      <w:pPr>
        <w:spacing w:after="0" w:line="191" w:lineRule="exact"/>
        <w:rPr>
          <w:rFonts w:ascii="Arial" w:cs="Arial" w:eastAsia="Arial" w:hAnsi="Arial"/>
          <w:sz w:val="17"/>
          <w:szCs w:val="17"/>
          <w:color w:val="auto"/>
        </w:rPr>
      </w:pPr>
    </w:p>
    <w:p>
      <w:pPr>
        <w:ind w:left="1720" w:right="480" w:hanging="301"/>
        <w:spacing w:after="0" w:line="335" w:lineRule="auto"/>
        <w:tabs>
          <w:tab w:leader="none" w:pos="17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costs of scaling up our manufacturing process and supply chain capacity to provide sufficient quantities of LYR-210 for the potential commercialization of LYR-210 if our clinical development program is successful and we obtain marketing approval;</w:t>
      </w:r>
    </w:p>
    <w:p>
      <w:pPr>
        <w:spacing w:after="0" w:line="146" w:lineRule="exact"/>
        <w:rPr>
          <w:rFonts w:ascii="Arial" w:cs="Arial" w:eastAsia="Arial" w:hAnsi="Arial"/>
          <w:sz w:val="15"/>
          <w:szCs w:val="15"/>
          <w:color w:val="auto"/>
        </w:rPr>
      </w:pPr>
    </w:p>
    <w:p>
      <w:pPr>
        <w:ind w:left="1720" w:hanging="301"/>
        <w:spacing w:after="0"/>
        <w:tabs>
          <w:tab w:leader="none" w:pos="1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advancement of LYR-220;</w:t>
      </w:r>
    </w:p>
    <w:p>
      <w:pPr>
        <w:spacing w:after="0" w:line="231" w:lineRule="exact"/>
        <w:rPr>
          <w:rFonts w:ascii="Arial" w:cs="Arial" w:eastAsia="Arial" w:hAnsi="Arial"/>
          <w:sz w:val="17"/>
          <w:szCs w:val="17"/>
          <w:color w:val="auto"/>
        </w:rPr>
      </w:pPr>
    </w:p>
    <w:p>
      <w:pPr>
        <w:ind w:left="1720" w:right="260" w:hanging="301"/>
        <w:spacing w:after="0" w:line="268" w:lineRule="auto"/>
        <w:tabs>
          <w:tab w:leader="none" w:pos="1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scope, progress, results and costs of discovery, preclinical development, laboratory testing and clinical trials for other potential product candidates we may develop, if any;</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231" w:lineRule="exact"/>
        <w:rPr>
          <w:rFonts w:ascii="Arial" w:cs="Arial" w:eastAsia="Arial" w:hAnsi="Arial"/>
          <w:sz w:val="17"/>
          <w:szCs w:val="17"/>
          <w:color w:val="auto"/>
        </w:rPr>
      </w:pPr>
    </w:p>
    <w:p>
      <w:pPr>
        <w:ind w:left="1720" w:right="320" w:hanging="301"/>
        <w:spacing w:after="0" w:line="268" w:lineRule="auto"/>
        <w:tabs>
          <w:tab w:leader="none" w:pos="1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collaboration agreements we might have at such time;</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700"/>
          </w:cols>
          <w:pgMar w:left="320" w:top="437" w:right="87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line="268" w:lineRule="auto"/>
        <w:tabs>
          <w:tab w:leader="none" w:pos="1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sales, marketing, manufacturing and distribution, for any of our product candidates for which we receive marketing approval;</w:t>
      </w:r>
    </w:p>
    <w:p>
      <w:pPr>
        <w:spacing w:after="0" w:line="191" w:lineRule="exact"/>
        <w:rPr>
          <w:rFonts w:ascii="Arial" w:cs="Arial" w:eastAsia="Arial" w:hAnsi="Arial"/>
          <w:sz w:val="17"/>
          <w:szCs w:val="17"/>
          <w:color w:val="auto"/>
        </w:rPr>
      </w:pPr>
    </w:p>
    <w:p>
      <w:pPr>
        <w:ind w:left="1720" w:right="20" w:hanging="301"/>
        <w:spacing w:after="0" w:line="268" w:lineRule="auto"/>
        <w:tabs>
          <w:tab w:leader="none" w:pos="1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w:t>
      </w:r>
    </w:p>
    <w:p>
      <w:pPr>
        <w:spacing w:after="0" w:line="191" w:lineRule="exact"/>
        <w:rPr>
          <w:rFonts w:ascii="Arial" w:cs="Arial" w:eastAsia="Arial" w:hAnsi="Arial"/>
          <w:sz w:val="17"/>
          <w:szCs w:val="17"/>
          <w:color w:val="auto"/>
        </w:rPr>
      </w:pPr>
    </w:p>
    <w:p>
      <w:pPr>
        <w:ind w:left="1720" w:right="80" w:hanging="301"/>
        <w:spacing w:after="0" w:line="268" w:lineRule="auto"/>
        <w:tabs>
          <w:tab w:leader="none" w:pos="1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our headcount growth and associated costs as we expand our business operations and our research and development activities; and</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206" w:lineRule="exact"/>
        <w:rPr>
          <w:sz w:val="20"/>
          <w:szCs w:val="20"/>
          <w:color w:val="auto"/>
        </w:rPr>
      </w:pPr>
    </w:p>
    <w:p>
      <w:pPr>
        <w:ind w:left="500" w:firstLine="819"/>
        <w:spacing w:after="0" w:line="293" w:lineRule="auto"/>
        <w:rPr>
          <w:sz w:val="20"/>
          <w:szCs w:val="20"/>
          <w:color w:val="auto"/>
        </w:rPr>
      </w:pPr>
      <w:r>
        <w:rPr>
          <w:rFonts w:ascii="Arial" w:cs="Arial" w:eastAsia="Arial" w:hAnsi="Arial"/>
          <w:sz w:val="15"/>
          <w:szCs w:val="15"/>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52" w:lineRule="exact"/>
        <w:rPr>
          <w:sz w:val="20"/>
          <w:szCs w:val="20"/>
          <w:color w:val="auto"/>
        </w:rPr>
      </w:pPr>
    </w:p>
    <w:p>
      <w:pPr>
        <w:ind w:left="500" w:right="20" w:firstLine="819"/>
        <w:spacing w:after="0" w:line="290"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interests may be diluted, and the terms of these securities may include liquidation or other preferences that could adversely affect your rights as a common stockholder. Any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55" w:lineRule="exact"/>
        <w:rPr>
          <w:sz w:val="20"/>
          <w:szCs w:val="20"/>
          <w:color w:val="auto"/>
        </w:rPr>
      </w:pPr>
    </w:p>
    <w:p>
      <w:pPr>
        <w:ind w:left="500" w:right="40" w:firstLine="819"/>
        <w:spacing w:after="0" w:line="251" w:lineRule="auto"/>
        <w:rPr>
          <w:sz w:val="20"/>
          <w:szCs w:val="20"/>
          <w:color w:val="auto"/>
        </w:rPr>
      </w:pPr>
      <w:r>
        <w:rPr>
          <w:rFonts w:ascii="Arial" w:cs="Arial" w:eastAsia="Arial" w:hAnsi="Arial"/>
          <w:sz w:val="17"/>
          <w:szCs w:val="17"/>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Contractual Obligations</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following table summarizes our significant contractual obligations as of payment due date by period at December 31, 2019 (in</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thousands):</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2"/>
              <w:spacing w:after="0"/>
              <w:rPr>
                <w:sz w:val="20"/>
                <w:szCs w:val="20"/>
                <w:color w:val="auto"/>
              </w:rPr>
            </w:pPr>
            <w:r>
              <w:rPr>
                <w:rFonts w:ascii="Arial" w:cs="Arial" w:eastAsia="Arial" w:hAnsi="Arial"/>
                <w:sz w:val="13"/>
                <w:szCs w:val="13"/>
                <w:b w:val="1"/>
                <w:bCs w:val="1"/>
                <w:color w:val="auto"/>
              </w:rPr>
              <w:t>Total</w:t>
            </w:r>
          </w:p>
        </w:tc>
        <w:tc>
          <w:tcPr>
            <w:tcW w:w="520" w:type="dxa"/>
            <w:vAlign w:val="bottom"/>
          </w:tcPr>
          <w:p>
            <w:pPr>
              <w:spacing w:after="0"/>
              <w:rPr>
                <w:sz w:val="12"/>
                <w:szCs w:val="12"/>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9"/>
              </w:rPr>
              <w:t>Less than 1</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1 to 3 years</w:t>
            </w:r>
          </w:p>
        </w:tc>
        <w:tc>
          <w:tcPr>
            <w:tcW w:w="520" w:type="dxa"/>
            <w:vAlign w:val="bottom"/>
            <w:vMerge w:val="restart"/>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97"/>
              </w:rPr>
              <w:t>3 to 5 years</w:t>
            </w:r>
          </w:p>
        </w:tc>
        <w:tc>
          <w:tcPr>
            <w:tcW w:w="5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7"/>
              </w:rPr>
              <w:t>year</w:t>
            </w:r>
          </w:p>
        </w:tc>
        <w:tc>
          <w:tcPr>
            <w:tcW w:w="52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5 years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4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Operating lease obligation</w:t>
            </w:r>
            <w:r>
              <w:rPr>
                <w:rFonts w:ascii="Arial" w:cs="Arial" w:eastAsia="Arial" w:hAnsi="Arial"/>
                <w:sz w:val="14"/>
                <w:szCs w:val="14"/>
                <w:color w:val="auto"/>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3,653</w:t>
            </w:r>
          </w:p>
        </w:tc>
        <w:tc>
          <w:tcPr>
            <w:tcW w:w="700" w:type="dxa"/>
            <w:vAlign w:val="bottom"/>
            <w:gridSpan w:val="2"/>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20"/>
              <w:spacing w:after="0" w:line="194" w:lineRule="exact"/>
              <w:rPr>
                <w:sz w:val="20"/>
                <w:szCs w:val="20"/>
                <w:color w:val="auto"/>
              </w:rPr>
            </w:pPr>
            <w:r>
              <w:rPr>
                <w:rFonts w:ascii="Arial" w:cs="Arial" w:eastAsia="Arial" w:hAnsi="Arial"/>
                <w:sz w:val="17"/>
                <w:szCs w:val="17"/>
                <w:color w:val="auto"/>
              </w:rPr>
              <w:t>1,059</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20"/>
              <w:spacing w:after="0" w:line="194" w:lineRule="exact"/>
              <w:rPr>
                <w:sz w:val="20"/>
                <w:szCs w:val="20"/>
                <w:color w:val="auto"/>
              </w:rPr>
            </w:pPr>
            <w:r>
              <w:rPr>
                <w:rFonts w:ascii="Arial" w:cs="Arial" w:eastAsia="Arial" w:hAnsi="Arial"/>
                <w:sz w:val="17"/>
                <w:szCs w:val="17"/>
                <w:color w:val="auto"/>
              </w:rPr>
              <w:t>2,594</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520"/>
              <w:spacing w:after="0" w:line="194"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6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ind w:left="34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00" w:type="dxa"/>
            <w:vAlign w:val="bottom"/>
            <w:gridSpan w:val="2"/>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3,653</w:t>
            </w:r>
          </w:p>
        </w:tc>
        <w:tc>
          <w:tcPr>
            <w:tcW w:w="70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7"/>
                <w:szCs w:val="17"/>
                <w:color w:val="auto"/>
              </w:rPr>
              <w:t>1,059</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20"/>
              <w:spacing w:after="0"/>
              <w:rPr>
                <w:sz w:val="20"/>
                <w:szCs w:val="20"/>
                <w:color w:val="auto"/>
              </w:rPr>
            </w:pPr>
            <w:r>
              <w:rPr>
                <w:rFonts w:ascii="Arial" w:cs="Arial" w:eastAsia="Arial" w:hAnsi="Arial"/>
                <w:sz w:val="17"/>
                <w:szCs w:val="17"/>
                <w:color w:val="auto"/>
              </w:rPr>
              <w:t>2,594</w:t>
            </w:r>
          </w:p>
        </w:tc>
        <w:tc>
          <w:tcPr>
            <w:tcW w:w="320" w:type="dxa"/>
            <w:vAlign w:val="bottom"/>
          </w:tcPr>
          <w:p>
            <w:pPr>
              <w:jc w:val="right"/>
              <w:ind w:right="169"/>
              <w:spacing w:after="0"/>
              <w:rPr>
                <w:sz w:val="20"/>
                <w:szCs w:val="20"/>
                <w:color w:val="auto"/>
              </w:rPr>
            </w:pPr>
            <w:r>
              <w:rPr>
                <w:rFonts w:ascii="Arial" w:cs="Arial" w:eastAsia="Arial" w:hAnsi="Arial"/>
                <w:sz w:val="15"/>
                <w:szCs w:val="15"/>
                <w:color w:val="auto"/>
                <w:w w:val="71"/>
              </w:rPr>
              <w:t>$</w:t>
            </w: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40" w:type="dxa"/>
            <w:vAlign w:val="bottom"/>
            <w:tcBorders>
              <w:bottom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900" w:right="280" w:hanging="397"/>
        <w:spacing w:after="0" w:line="299"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future minimum lease payments under our non-cancelable operating lease which expires April 2023. The minimum lease payments above do not include any related common area maintenance charges, operating expenses or real estate taxes.</w:t>
      </w:r>
    </w:p>
    <w:p>
      <w:pPr>
        <w:spacing w:after="0" w:line="8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740"/>
          </w:cols>
          <w:pgMar w:left="320" w:top="437" w:right="8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firstLine="819"/>
        <w:spacing w:after="0" w:line="251" w:lineRule="auto"/>
        <w:rPr>
          <w:sz w:val="20"/>
          <w:szCs w:val="20"/>
          <w:color w:val="auto"/>
        </w:rPr>
      </w:pPr>
      <w:r>
        <w:rPr>
          <w:rFonts w:ascii="Arial" w:cs="Arial" w:eastAsia="Arial" w:hAnsi="Arial"/>
          <w:sz w:val="17"/>
          <w:szCs w:val="17"/>
          <w:color w:val="auto"/>
        </w:rPr>
        <w:t>We enter into agreements in the normal course of business with CROs for clinical trials, third party manufacturers for clinical supply manufacturing, professional consultants for expert advice and other vendors for other services for operating purposes. We have not included these payments in the table of contractual obligations above since the contracts do not contain any minimum purchase commitments and are cancelable at any time by us, generally upon 30 days prior written notice and therefore we believe that our non-cancelable obligations under these agreements are not material.</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Off-Balance Sheet Arrangements</w:t>
      </w:r>
    </w:p>
    <w:p>
      <w:pPr>
        <w:spacing w:after="0" w:line="210" w:lineRule="exact"/>
        <w:rPr>
          <w:sz w:val="20"/>
          <w:szCs w:val="20"/>
          <w:color w:val="auto"/>
        </w:rPr>
      </w:pPr>
    </w:p>
    <w:p>
      <w:pPr>
        <w:ind w:left="500" w:right="700" w:firstLine="819"/>
        <w:spacing w:after="0" w:line="268"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applicable SEC rules.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10" w:lineRule="exact"/>
        <w:rPr>
          <w:sz w:val="20"/>
          <w:szCs w:val="20"/>
          <w:color w:val="auto"/>
        </w:rPr>
      </w:pPr>
    </w:p>
    <w:p>
      <w:pPr>
        <w:ind w:left="500" w:right="160" w:firstLine="819"/>
        <w:spacing w:after="0" w:line="298" w:lineRule="auto"/>
        <w:rPr>
          <w:sz w:val="20"/>
          <w:szCs w:val="20"/>
          <w:color w:val="auto"/>
        </w:rPr>
      </w:pPr>
      <w:r>
        <w:rPr>
          <w:rFonts w:ascii="Arial" w:cs="Arial" w:eastAsia="Arial" w:hAnsi="Arial"/>
          <w:sz w:val="15"/>
          <w:szCs w:val="15"/>
          <w:color w:val="auto"/>
        </w:rPr>
        <w:t>We are exposed to market risk related to changes in interest rates. As of December 31, 2019 and 2018, our cash equivalents consisted of interest-bearing checking accounts. Our primary exposure to market risk is interest rate sensitivity, which is affected by changes in the general level of U.S. interest rates. Due to the short-term nature and the low risk profile of our interest-bearing accounts, an immediate 10% change in interest rates would not have a material effect on the fair market value of our cash and cash equivalents or on our financial position or results of operations.</w:t>
      </w:r>
    </w:p>
    <w:p>
      <w:pPr>
        <w:spacing w:after="0" w:line="148" w:lineRule="exact"/>
        <w:rPr>
          <w:sz w:val="20"/>
          <w:szCs w:val="20"/>
          <w:color w:val="auto"/>
        </w:rPr>
      </w:pPr>
    </w:p>
    <w:p>
      <w:pPr>
        <w:jc w:val="both"/>
        <w:ind w:left="500" w:right="60" w:firstLine="819"/>
        <w:spacing w:after="0" w:line="257"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located in Europe, Australia and New Zealand. Our operations may be subject to fluctuations in foreign currency exchange rates in the future.</w:t>
      </w:r>
    </w:p>
    <w:p>
      <w:pPr>
        <w:spacing w:after="0" w:line="175" w:lineRule="exact"/>
        <w:rPr>
          <w:sz w:val="20"/>
          <w:szCs w:val="20"/>
          <w:color w:val="auto"/>
        </w:rPr>
      </w:pPr>
    </w:p>
    <w:p>
      <w:pPr>
        <w:ind w:left="500" w:right="340" w:firstLine="819"/>
        <w:spacing w:after="0" w:line="268" w:lineRule="auto"/>
        <w:rPr>
          <w:sz w:val="20"/>
          <w:szCs w:val="20"/>
          <w:color w:val="auto"/>
        </w:rPr>
      </w:pPr>
      <w:r>
        <w:rPr>
          <w:rFonts w:ascii="Arial" w:cs="Arial" w:eastAsia="Arial" w:hAnsi="Arial"/>
          <w:sz w:val="17"/>
          <w:szCs w:val="17"/>
          <w:color w:val="auto"/>
        </w:rPr>
        <w:t>Inflation generally affects us by increasing our clinical trial costs. We do not believe that inflation had a material effect on our business, financial condition or results of operations during the years ended December 31, 2019 and 2018.</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Emerging Growth Company Status</w:t>
      </w:r>
    </w:p>
    <w:p>
      <w:pPr>
        <w:spacing w:after="0" w:line="210" w:lineRule="exact"/>
        <w:rPr>
          <w:sz w:val="20"/>
          <w:szCs w:val="20"/>
          <w:color w:val="auto"/>
        </w:rPr>
      </w:pPr>
    </w:p>
    <w:p>
      <w:pPr>
        <w:jc w:val="both"/>
        <w:ind w:left="500" w:firstLine="819"/>
        <w:spacing w:after="0" w:line="257" w:lineRule="auto"/>
        <w:rPr>
          <w:sz w:val="20"/>
          <w:szCs w:val="20"/>
          <w:color w:val="auto"/>
        </w:rPr>
      </w:pPr>
      <w:r>
        <w:rPr>
          <w:rFonts w:ascii="Arial" w:cs="Arial" w:eastAsia="Arial" w:hAnsi="Arial"/>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w:t>
      </w:r>
    </w:p>
    <w:p>
      <w:pPr>
        <w:spacing w:after="0" w:line="175" w:lineRule="exact"/>
        <w:rPr>
          <w:sz w:val="20"/>
          <w:szCs w:val="20"/>
          <w:color w:val="auto"/>
        </w:rPr>
      </w:pPr>
    </w:p>
    <w:p>
      <w:pPr>
        <w:ind w:left="500" w:right="20" w:firstLine="819"/>
        <w:spacing w:after="0" w:line="250"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under the JOBS Act. Subject to certain conditions, as an emerging growth company, or EGC, we intend to rely on certain of these exemptions, including exemptions from the requirement to provide an auditor’s attestation report on our system of internal controls over financial reporting pursuant to Section 404(b) of the Sarbanes-Oxley Act and from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12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720"/>
          </w:cols>
          <w:pgMar w:left="320" w:top="437" w:right="8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BUSINESS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Overview</w:t>
      </w:r>
    </w:p>
    <w:p>
      <w:pPr>
        <w:spacing w:after="0" w:line="210" w:lineRule="exact"/>
        <w:rPr>
          <w:sz w:val="20"/>
          <w:szCs w:val="20"/>
          <w:color w:val="auto"/>
        </w:rPr>
      </w:pPr>
    </w:p>
    <w:p>
      <w:pPr>
        <w:ind w:left="500" w:right="20" w:firstLine="819"/>
        <w:spacing w:after="0" w:line="283" w:lineRule="auto"/>
        <w:rPr>
          <w:sz w:val="20"/>
          <w:szCs w:val="20"/>
          <w:color w:val="auto"/>
        </w:rPr>
      </w:pPr>
      <w:r>
        <w:rPr>
          <w:rFonts w:ascii="Arial" w:cs="Arial" w:eastAsia="Arial" w:hAnsi="Arial"/>
          <w:sz w:val="15"/>
          <w:szCs w:val="15"/>
          <w:color w:val="auto"/>
        </w:rPr>
        <w:t>We are a clinical-stage therapeutics company focused on the development and commercialization of novel integrated drug and delivery solutions for the localized treatment of patients with ear, nose and throat, or ENT, diseases. Our proprietary technology platform, XTreo, is designed to precisely and consistently deliver medicines directly to the affected tissue for sustained periods with a single administration. Our initial product candidates, LYR-210 and LYR-220, are bioresorbable polymeric matrices designed to be administered in a brief, non-invasive, in-office procedure and intended to deliver up to six months of continuous drug therapy to the sinonasal passages for the treatment of chronic rhinosinusitis, or CRS. The therapeutic embedded within LYR-210 and LYR-220 is mometasone furoate, or MF, which is the active ingredient in various U.S. Food and Drug Administration, or FDA, approved drugs and has a well-established efficacy and safety profile. CRS is an inflammatory disease of the paranasal sinuses which leads to debilitating symptoms and significant morbidities and affects approximately 14 million people in the United States. We are advancing LYR-210 as a potential preferred alternative to surgery in an ongoing Phase 2 clinical trial, which we refer to as our LANTERN clinical trial, for CRS patients who have failed medical management, and, subject to the impact of COVID-19 on our business, we expect to report topline data by the end of 2020. In our Phase 1 clinical trial, LYR-210 met its primary safety endpoint, and we observed that patients generally experienced significant and rapid, clinically meaningful and durable improvement on a patient symptom severity scale through week 25, which was the end of the trial. We are also developing LYR-220 for use in CRS patients who have an enlarged nasal cavity due to sinus surgery but continue to require treatment to manage CRS symptoms, and, subject to the impact of COVID-19 on our business, we intend to initiate a proof-of-concept clinical trial for LYR-220 by the end of 2021. Beyond CRS, we believe our XTreo platform has potential applications in other disease areas, which we are actively exploring to further broaden its therapeutic potential.</w:t>
      </w:r>
    </w:p>
    <w:p>
      <w:pPr>
        <w:spacing w:after="0" w:line="351" w:lineRule="exact"/>
        <w:rPr>
          <w:sz w:val="20"/>
          <w:szCs w:val="20"/>
          <w:color w:val="auto"/>
        </w:rPr>
      </w:pPr>
    </w:p>
    <w:p>
      <w:pPr>
        <w:ind w:left="500" w:right="60" w:firstLine="819"/>
        <w:spacing w:after="0" w:line="268" w:lineRule="auto"/>
        <w:rPr>
          <w:sz w:val="20"/>
          <w:szCs w:val="20"/>
          <w:color w:val="auto"/>
        </w:rPr>
      </w:pPr>
      <w:r>
        <w:rPr>
          <w:rFonts w:ascii="Arial" w:cs="Arial" w:eastAsia="Arial" w:hAnsi="Arial"/>
          <w:sz w:val="16"/>
          <w:szCs w:val="16"/>
          <w:color w:val="auto"/>
        </w:rPr>
        <w:t>CRS has been described in the literature as an “unrecognized epidemic” due to its high prevalence, its substantial impact on patient quality of life and the significant limitations of currently available treatment options. We estimate that sinusitis, which includes both CRS and acute rhinosinusitis, impacts approximately 12% of the adult population in the United States, or approximately 30 million people, making it the fifth most common condition in people under the age of 65 and more prevalent than diabetes or heart disease. Of this population, we estimate that approximately 14 million people are affected with CRS. Moreover, we estimate that approximately 8 million people are treated for CRS by physicians annually, of which approximately 4 million fail medical management every year. In the United States, over $60 billion is spent annually in direct treatment costs for sinusitis, including approximately $5 billion on sinus surgeries.</w:t>
      </w:r>
    </w:p>
    <w:p>
      <w:pPr>
        <w:spacing w:after="0" w:line="156"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We believe LYR-210 and LYR-220, if successfully developed and approved, will be able to treat the entire spectrum of CRS patients, including pre- and post-surgical patients and those with and without nasal polyps, with up to six months of treatment in a single administration. Our most advanced product candidate, LYR-210, is being evaluated in CRS patients who have failed medical management but have not undergone endoscopic sinus surgery, who we refer to as surgically-naïve CRS patients, in our ongoing randomized, sham procedure-controlled, patient-blinded, Phase 2 LANTERN clinical trial. We initiated this trial in May 2019 and, subject to the impact of COVID-19 on our business, we expect to report topline data by the end of 2020. In an open-label, multi-center Phase 1 clinical trial, we placed 40 LYR-210 matrices bilaterally in 20 patients at sites in New Zealand and Australia. LYR-210 met its primary safety endpoint in the Phase 1 trial, and we observed significant and rapid, clinically meaningful and durable improvement through week 25 in SinoNasal Outcome Test scores, or SNOT-22 scores, an established patient symptom severity scale. At week 24, improvement versus baseline was observed in 90% of patients, with similar activity observed across both polyp and non-polyp patients. Additionally, subject to the impact of COVID-19 on our business, we intend to initiate a proof-of-concept clinical trial for LYR-220 by the end of 2021, and to submit a supplemental new drug application, or sNDA, to the FDA for a potentially faster path to approval of LYR-220 if a new drug application, or NDA, for LYR-210 is approved by the FDA.</w:t>
      </w:r>
    </w:p>
    <w:p>
      <w:pPr>
        <w:spacing w:after="0" w:line="11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700"/>
          </w:cols>
          <w:pgMar w:left="320" w:top="437" w:right="87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Our XTreo Platform</w:t>
      </w:r>
    </w:p>
    <w:p>
      <w:pPr>
        <w:spacing w:after="0" w:line="198" w:lineRule="exact"/>
        <w:rPr>
          <w:sz w:val="20"/>
          <w:szCs w:val="20"/>
          <w:color w:val="auto"/>
        </w:rPr>
      </w:pPr>
    </w:p>
    <w:p>
      <w:pPr>
        <w:ind w:left="500" w:right="220" w:firstLine="819"/>
        <w:spacing w:after="0" w:line="335" w:lineRule="auto"/>
        <w:rPr>
          <w:sz w:val="20"/>
          <w:szCs w:val="20"/>
          <w:color w:val="auto"/>
        </w:rPr>
      </w:pPr>
      <w:r>
        <w:rPr>
          <w:rFonts w:ascii="Arial" w:cs="Arial" w:eastAsia="Arial" w:hAnsi="Arial"/>
          <w:sz w:val="15"/>
          <w:szCs w:val="15"/>
          <w:color w:val="auto"/>
        </w:rPr>
        <w:t>XTreo, our innovative and proprietary drug delivery platform, is designed to locally and continuously deliver small molecule drugs to the affected tissue over a sustained period of time from a single administration. The platform is comprised of three interrelated technology components:</w:t>
      </w:r>
    </w:p>
    <w:p>
      <w:pPr>
        <w:spacing w:after="0" w:line="134" w:lineRule="exact"/>
        <w:rPr>
          <w:sz w:val="20"/>
          <w:szCs w:val="20"/>
          <w:color w:val="auto"/>
        </w:rPr>
      </w:pPr>
    </w:p>
    <w:p>
      <w:pPr>
        <w:ind w:left="1720" w:right="440" w:hanging="301"/>
        <w:spacing w:after="0" w:line="268" w:lineRule="auto"/>
        <w:tabs>
          <w:tab w:leader="none" w:pos="1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biocompatible mesh scaffold, which is designed to maximize surface area for drug release while maintaining underlying tissue function;</w:t>
      </w:r>
    </w:p>
    <w:p>
      <w:pPr>
        <w:spacing w:after="0" w:line="191" w:lineRule="exact"/>
        <w:rPr>
          <w:rFonts w:ascii="Arial" w:cs="Arial" w:eastAsia="Arial" w:hAnsi="Arial"/>
          <w:sz w:val="17"/>
          <w:szCs w:val="17"/>
          <w:color w:val="auto"/>
        </w:rPr>
      </w:pPr>
    </w:p>
    <w:p>
      <w:pPr>
        <w:ind w:left="1720" w:right="240" w:hanging="301"/>
        <w:spacing w:after="0" w:line="335" w:lineRule="auto"/>
        <w:tabs>
          <w:tab w:leader="none" w:pos="17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 engineered elastomeric matrix, which means a polymeric matrix composed of polymers having elastic characteristics, which has advanced physical properties resulting in implants with “shape memory” that dynamically adapt to nasal anatomy; and</w:t>
      </w:r>
    </w:p>
    <w:p>
      <w:pPr>
        <w:spacing w:after="0" w:line="146" w:lineRule="exact"/>
        <w:rPr>
          <w:rFonts w:ascii="Arial" w:cs="Arial" w:eastAsia="Arial" w:hAnsi="Arial"/>
          <w:sz w:val="15"/>
          <w:szCs w:val="15"/>
          <w:color w:val="auto"/>
        </w:rPr>
      </w:pPr>
    </w:p>
    <w:p>
      <w:pPr>
        <w:ind w:left="1720" w:right="80" w:hanging="301"/>
        <w:spacing w:after="0" w:line="268" w:lineRule="auto"/>
        <w:tabs>
          <w:tab w:leader="none" w:pos="1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versatile polymer-drug complex, which can be customized for the treatment of various chronic diseases treatable with ENT delivery to achieve the desired drug dose and drug elution rate.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Chronic Rhinosinusitis: A Prevalent Disease with High Unmet Medical Needs</w:t>
      </w:r>
    </w:p>
    <w:p>
      <w:pPr>
        <w:spacing w:after="0" w:line="210" w:lineRule="exact"/>
        <w:rPr>
          <w:sz w:val="20"/>
          <w:szCs w:val="20"/>
          <w:color w:val="auto"/>
        </w:rPr>
      </w:pPr>
    </w:p>
    <w:p>
      <w:pPr>
        <w:ind w:left="500" w:right="60" w:firstLine="819"/>
        <w:spacing w:after="0" w:line="274" w:lineRule="auto"/>
        <w:rPr>
          <w:sz w:val="20"/>
          <w:szCs w:val="20"/>
          <w:color w:val="auto"/>
        </w:rPr>
      </w:pPr>
      <w:r>
        <w:rPr>
          <w:rFonts w:ascii="Arial" w:cs="Arial" w:eastAsia="Arial" w:hAnsi="Arial"/>
          <w:sz w:val="16"/>
          <w:szCs w:val="16"/>
          <w:color w:val="auto"/>
        </w:rPr>
        <w:t>CRS is an inflammatory disease of the paranasal sinuses causing the soft, moist layer of mucus-producing tissue, or mucosa, that lines the sinuses to become swollen and inflamed, leading to significant patient morbidities. The inflammation may be caused by infections, allergies or environmental factors, as well as structural issues such as blockages of an ostium. Patients with CRS on average experience a lower quality of life index than people suffering from congestive heart failure, angina, chronic obstructive pulmonary disease or back pain.</w:t>
      </w:r>
    </w:p>
    <w:p>
      <w:pPr>
        <w:spacing w:after="0" w:line="164" w:lineRule="exact"/>
        <w:rPr>
          <w:sz w:val="20"/>
          <w:szCs w:val="20"/>
          <w:color w:val="auto"/>
        </w:rPr>
      </w:pPr>
    </w:p>
    <w:p>
      <w:pPr>
        <w:ind w:left="500" w:right="300" w:firstLine="819"/>
        <w:spacing w:after="0" w:line="307" w:lineRule="auto"/>
        <w:rPr>
          <w:sz w:val="20"/>
          <w:szCs w:val="20"/>
          <w:color w:val="auto"/>
        </w:rPr>
      </w:pPr>
      <w:r>
        <w:rPr>
          <w:rFonts w:ascii="Arial" w:cs="Arial" w:eastAsia="Arial" w:hAnsi="Arial"/>
          <w:sz w:val="15"/>
          <w:szCs w:val="15"/>
          <w:color w:val="auto"/>
        </w:rPr>
        <w:t>CRS has two phenotypes: CRS with nasal polyps, which are teardrop-shaped benign masses arising from the mucosa lining, and CRS without nasal polyps. The non-polyp form of CRS represents approximately 70%-to-90% of CRS patients. We estimate that approximately 8 million people are treated for CRS by physicians annually, of which approximately 4 million fail medical management every year.</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Current Treatments and Their Limitations</w:t>
      </w:r>
    </w:p>
    <w:p>
      <w:pPr>
        <w:spacing w:after="0" w:line="210" w:lineRule="exact"/>
        <w:rPr>
          <w:sz w:val="20"/>
          <w:szCs w:val="20"/>
          <w:color w:val="auto"/>
        </w:rPr>
      </w:pPr>
    </w:p>
    <w:p>
      <w:pPr>
        <w:ind w:left="500" w:firstLine="819"/>
        <w:spacing w:after="0" w:line="280" w:lineRule="auto"/>
        <w:rPr>
          <w:sz w:val="20"/>
          <w:szCs w:val="20"/>
          <w:color w:val="auto"/>
        </w:rPr>
      </w:pPr>
      <w:r>
        <w:rPr>
          <w:rFonts w:ascii="Arial" w:cs="Arial" w:eastAsia="Arial" w:hAnsi="Arial"/>
          <w:sz w:val="16"/>
          <w:szCs w:val="16"/>
          <w:color w:val="auto"/>
        </w:rPr>
        <w:t>The goals of therapy for CRS are to reduce mucosal swelling resulting from underlying inflammation, promote sinus drainage, and eradicate infections that may be present. The treatment of CRS is progressive in nature and typically begins with medical management, primarily with topical intranasal steroids and oral steroids. If this treatment is unsuccessful, an ENT physician may perform a sinus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-17780</wp:posOffset>
            </wp:positionV>
            <wp:extent cx="4766310" cy="1873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6310"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1. Current Primary Treatment Paradigm for CRS.</w:t>
      </w:r>
    </w:p>
    <w:p>
      <w:pPr>
        <w:spacing w:after="0" w:line="13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740"/>
          </w:cols>
          <w:pgMar w:left="320" w:top="437" w:right="8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40" w:firstLine="819"/>
        <w:spacing w:after="0" w:line="268" w:lineRule="auto"/>
        <w:rPr>
          <w:sz w:val="20"/>
          <w:szCs w:val="20"/>
          <w:color w:val="auto"/>
        </w:rPr>
      </w:pPr>
      <w:r>
        <w:rPr>
          <w:rFonts w:ascii="Arial" w:cs="Arial" w:eastAsia="Arial" w:hAnsi="Arial"/>
          <w:sz w:val="17"/>
          <w:szCs w:val="17"/>
          <w:color w:val="auto"/>
        </w:rPr>
        <w:t>Currently, there are no FDA-approved drug therapies for CRS for non-polyp patients, although some drugs approved for nasal polyps are used off-label in this population.</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Our Solution for CRS</w:t>
      </w:r>
    </w:p>
    <w:p>
      <w:pPr>
        <w:spacing w:after="0" w:line="210"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LYR-210 is an anti-inflammatory implantable drug matrix based on our XTreo platform that is designed to consistently and locally elute MF to the inflamed mucosal tissue for up to six months in surgically-naïve CRS patients who fail medical management. MF, the active ingredient in various FDA-approved drugs, has a well-established efficacy and safety profile, which we believe will support the development process for LYR-210. LYR-210 is designed to enable sustained drug delivery at difficult-to-access nasal inflammation sites without the need for patient compliance, while avoiding the systemic side effects associated with oral steroids. LYR-210 is designed to be administered in a brief, non-invasive, in-office procedure by an ENT physician under endoscopic visualization via a single-use applicator.</w:t>
      </w:r>
    </w:p>
    <w:p>
      <w:pPr>
        <w:spacing w:after="0" w:line="169"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LYR-210 is currently being studied in our Phase 2 randomized, sham procedure-controlled, patient-blinded clinical trial, which we refer to as LANTERN, evaluating the safety and efficacy in surgically-naïve CRS patients who have failed previous medical management. The trial was designed to enroll 99 evaluable patients with the potential to increase to up to 150 patients and was initiated in May 2019 at sites in Australia, Austria, Czech Republic, New Zealand and Poland. In December 2019, the FDA cleared our investigational new drug application and, prior to the COVID-19 pandemic, we planned to open new sites in the United States. However, in light of recent developments relating to the COVID-19 global pandemic, and as described below, we discontinued enrollment at 67 patients and do not expect to open any sites in the United States. We are leveraging remote electronic data collection to enable us to complete the clinical assessments and generate sufficient information to design our Phase 3 clinical trial. As of April 2020, there were no reported serious adverse events in the Phase 2 LANTERN clinical trial. Subject to the impact of COVID-19 on our business, we expect to report topline data from the Phase 2 LANTERN clinical trial by the end of 2020. Subject to the impact of COVID-19 on our business, we expect to (i) report six-month safety data and to hold a Type C meeting with the FDA in the first half of 2021 and (ii) submit our Phase 3 protocol design for LYR-210 to the FDA in the second half of 2021.</w:t>
      </w:r>
    </w:p>
    <w:p>
      <w:pPr>
        <w:spacing w:after="0" w:line="175" w:lineRule="exact"/>
        <w:rPr>
          <w:sz w:val="20"/>
          <w:szCs w:val="20"/>
          <w:color w:val="auto"/>
        </w:rPr>
      </w:pPr>
    </w:p>
    <w:p>
      <w:pPr>
        <w:ind w:left="500" w:right="60" w:firstLine="819"/>
        <w:spacing w:after="0" w:line="267" w:lineRule="auto"/>
        <w:rPr>
          <w:sz w:val="20"/>
          <w:szCs w:val="20"/>
          <w:color w:val="auto"/>
        </w:rPr>
      </w:pPr>
      <w:r>
        <w:rPr>
          <w:rFonts w:ascii="Arial" w:cs="Arial" w:eastAsia="Arial" w:hAnsi="Arial"/>
          <w:sz w:val="16"/>
          <w:szCs w:val="16"/>
          <w:color w:val="auto"/>
        </w:rPr>
        <w:t>LYR-210 was previously studied in an open-label, Phase 1 clinical trial with 20 patients in New Zealand and Australia, and achieved its primary endpoint of safety at week 4. In the Phase 1 trial, we observed that patients generally experienced significant and rapid, clinically meaningful and durable improvement in SNOT-22 scores. Significant reduction in SNOT-22 scores was observed at week 1, and this reduction persisted through week 25, which was the end of the trial. The changes from baseline, or CFBL, in SNOT-22 score were statistically significant (P &lt; 0.01) at all measured intervals. The average change from baseline in SNOT-22 score at week 1 was -13.0 points (P=0.008 to pre-treatment), achieving the minimal clinically significant difference of -8.9 points. Further, symptom relief as measured by SNOT-22 score was observed through the entire duration of the trial, achieving an average change from baseline of -20.5 points at week 24, the end of the treatment period (P=0.00005 to pre-treatment), and -20.0 points (p &lt; 0.0001) at week 25, one week after the removal of LYR-210.</w:t>
      </w:r>
    </w:p>
    <w:p>
      <w:pPr>
        <w:spacing w:after="0" w:line="170"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We are developing our second pipeline product candidate, LYR-220, for use in CRS patients who continue to require medical management despite having had sinus surgery. LYR-220 is also designed to utilize MF, but will employ an oversized matrix designed for patients whose nasal cavity is enlarged due to sinus surgery. LYR-220 is designed as a potential preferred alternative to revision sinus surgery and post-surgical medical management. Subject to the impact of COVID-19 on our business, we expect to initiate a proof-of-concept clinical trial for LYR-220 by the end of 2021.</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We believe that the key potential benefits of our current investigational product portfolio, LYR-210 and LYR-220, include:</w:t>
      </w:r>
    </w:p>
    <w:p>
      <w:pPr>
        <w:spacing w:after="0" w:line="227" w:lineRule="exact"/>
        <w:rPr>
          <w:sz w:val="20"/>
          <w:szCs w:val="20"/>
          <w:color w:val="auto"/>
        </w:rPr>
      </w:pPr>
    </w:p>
    <w:p>
      <w:pPr>
        <w:ind w:left="1720" w:right="120" w:hanging="301"/>
        <w:spacing w:after="0" w:line="259" w:lineRule="auto"/>
        <w:tabs>
          <w:tab w:leader="none" w:pos="172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Clinical Activity</w:t>
      </w:r>
      <w:r>
        <w:rPr>
          <w:rFonts w:ascii="Arial" w:cs="Arial" w:eastAsia="Arial" w:hAnsi="Arial"/>
          <w:sz w:val="17"/>
          <w:szCs w:val="17"/>
          <w:color w:val="auto"/>
        </w:rPr>
        <w:t>: We believe LYR-210 and LYR-220 have the potential to significantly improve symptoms by maintaining a steady,</w:t>
      </w:r>
      <w:r>
        <w:rPr>
          <w:rFonts w:ascii="Arial" w:cs="Arial" w:eastAsia="Arial" w:hAnsi="Arial"/>
          <w:sz w:val="17"/>
          <w:szCs w:val="17"/>
          <w:b w:val="1"/>
          <w:bCs w:val="1"/>
          <w:color w:val="auto"/>
        </w:rPr>
        <w:t xml:space="preserve"> </w:t>
      </w:r>
      <w:r>
        <w:rPr>
          <w:rFonts w:ascii="Arial" w:cs="Arial" w:eastAsia="Arial" w:hAnsi="Arial"/>
          <w:sz w:val="17"/>
          <w:szCs w:val="17"/>
          <w:color w:val="auto"/>
        </w:rPr>
        <w:t>high dose of MF at the site of inflammation for up to six months with a single administration, without any dependence on patient compliance.</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740"/>
          </w:cols>
          <w:pgMar w:left="320" w:top="437" w:right="8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both"/>
        <w:ind w:left="1720" w:right="20" w:hanging="301"/>
        <w:spacing w:after="0" w:line="310" w:lineRule="auto"/>
        <w:tabs>
          <w:tab w:leader="none" w:pos="1720" w:val="left"/>
        </w:tabs>
        <w:numPr>
          <w:ilvl w:val="0"/>
          <w:numId w:val="86"/>
        </w:numPr>
        <w:rPr>
          <w:rFonts w:ascii="Arial" w:cs="Arial" w:eastAsia="Arial" w:hAnsi="Arial"/>
          <w:sz w:val="15"/>
          <w:szCs w:val="15"/>
          <w:color w:val="auto"/>
        </w:rPr>
      </w:pPr>
      <w:r>
        <w:rPr>
          <w:rFonts w:ascii="Arial" w:cs="Arial" w:eastAsia="Arial" w:hAnsi="Arial"/>
          <w:sz w:val="15"/>
          <w:szCs w:val="15"/>
          <w:b w:val="1"/>
          <w:bCs w:val="1"/>
          <w:color w:val="auto"/>
        </w:rPr>
        <w:t>Patient Compliance</w:t>
      </w:r>
      <w:r>
        <w:rPr>
          <w:rFonts w:ascii="Arial" w:cs="Arial" w:eastAsia="Arial" w:hAnsi="Arial"/>
          <w:sz w:val="15"/>
          <w:szCs w:val="15"/>
          <w:color w:val="auto"/>
        </w:rPr>
        <w:t>: Because drug delivery for LYR-210 and LYR-220 is designed to be sustained for up to six months with a single</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administration, the efficacy of LYR-210 and LYR-220 will not depend on patient compliance within the treatment period, unlike other CRS treatment options that require repeated daily administrations, such as topical intranasal steroids and oral steroids.</w:t>
      </w:r>
    </w:p>
    <w:p>
      <w:pPr>
        <w:spacing w:after="0" w:line="160" w:lineRule="exact"/>
        <w:rPr>
          <w:rFonts w:ascii="Arial" w:cs="Arial" w:eastAsia="Arial" w:hAnsi="Arial"/>
          <w:sz w:val="15"/>
          <w:szCs w:val="15"/>
          <w:color w:val="auto"/>
        </w:rPr>
      </w:pPr>
    </w:p>
    <w:p>
      <w:pPr>
        <w:ind w:left="1720" w:right="300" w:hanging="301"/>
        <w:spacing w:after="0" w:line="300" w:lineRule="auto"/>
        <w:tabs>
          <w:tab w:leader="none" w:pos="1720" w:val="left"/>
        </w:tabs>
        <w:numPr>
          <w:ilvl w:val="0"/>
          <w:numId w:val="86"/>
        </w:numPr>
        <w:rPr>
          <w:rFonts w:ascii="Arial" w:cs="Arial" w:eastAsia="Arial" w:hAnsi="Arial"/>
          <w:sz w:val="15"/>
          <w:szCs w:val="15"/>
          <w:color w:val="auto"/>
        </w:rPr>
      </w:pPr>
      <w:r>
        <w:rPr>
          <w:rFonts w:ascii="Arial" w:cs="Arial" w:eastAsia="Arial" w:hAnsi="Arial"/>
          <w:sz w:val="15"/>
          <w:szCs w:val="15"/>
          <w:b w:val="1"/>
          <w:bCs w:val="1"/>
          <w:color w:val="auto"/>
        </w:rPr>
        <w:t>Patient Experience</w:t>
      </w:r>
      <w:r>
        <w:rPr>
          <w:rFonts w:ascii="Arial" w:cs="Arial" w:eastAsia="Arial" w:hAnsi="Arial"/>
          <w:sz w:val="15"/>
          <w:szCs w:val="15"/>
          <w:color w:val="auto"/>
        </w:rPr>
        <w:t>: LYR-210 and LYR-220 are designed to be administered via a simple, in-office procedure every six months,</w:t>
      </w:r>
      <w:r>
        <w:rPr>
          <w:rFonts w:ascii="Arial" w:cs="Arial" w:eastAsia="Arial" w:hAnsi="Arial"/>
          <w:sz w:val="15"/>
          <w:szCs w:val="15"/>
          <w:b w:val="1"/>
          <w:bCs w:val="1"/>
          <w:color w:val="auto"/>
        </w:rPr>
        <w:t xml:space="preserve"> </w:t>
      </w:r>
      <w:r>
        <w:rPr>
          <w:rFonts w:ascii="Arial" w:cs="Arial" w:eastAsia="Arial" w:hAnsi="Arial"/>
          <w:sz w:val="15"/>
          <w:szCs w:val="15"/>
          <w:color w:val="auto"/>
        </w:rPr>
        <w:t>which is intended to enhance convenience for patients, unlike the repeated daily medical management and/or time-consuming and painful surgery required by certain other CRS treatment options. Moreover, we believe patients may also benefit from the biocompatible, flexible structure of LYR-210 and LYR-220 that is designed to maximize comfort over the therapy period.</w:t>
      </w:r>
    </w:p>
    <w:p>
      <w:pPr>
        <w:spacing w:after="0" w:line="166" w:lineRule="exact"/>
        <w:rPr>
          <w:rFonts w:ascii="Arial" w:cs="Arial" w:eastAsia="Arial" w:hAnsi="Arial"/>
          <w:sz w:val="15"/>
          <w:szCs w:val="15"/>
          <w:color w:val="auto"/>
        </w:rPr>
      </w:pPr>
    </w:p>
    <w:p>
      <w:pPr>
        <w:ind w:left="1720" w:hanging="301"/>
        <w:spacing w:after="0" w:line="255" w:lineRule="auto"/>
        <w:tabs>
          <w:tab w:leader="none" w:pos="172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Physician Experience</w:t>
      </w:r>
      <w:r>
        <w:rPr>
          <w:rFonts w:ascii="Arial" w:cs="Arial" w:eastAsia="Arial" w:hAnsi="Arial"/>
          <w:sz w:val="17"/>
          <w:szCs w:val="17"/>
          <w:color w:val="auto"/>
        </w:rPr>
        <w:t>: LYR-210 and LYR-220 are designed to enable physicians to perform the placement of LYR-210 and LYR-220</w:t>
      </w:r>
      <w:r>
        <w:rPr>
          <w:rFonts w:ascii="Arial" w:cs="Arial" w:eastAsia="Arial" w:hAnsi="Arial"/>
          <w:sz w:val="17"/>
          <w:szCs w:val="17"/>
          <w:b w:val="1"/>
          <w:bCs w:val="1"/>
          <w:color w:val="auto"/>
        </w:rPr>
        <w:t xml:space="preserve"> </w:t>
      </w:r>
      <w:r>
        <w:rPr>
          <w:rFonts w:ascii="Arial" w:cs="Arial" w:eastAsia="Arial" w:hAnsi="Arial"/>
          <w:sz w:val="17"/>
          <w:szCs w:val="17"/>
          <w:color w:val="auto"/>
        </w:rPr>
        <w:t>in-office in conjunction with an endoscopy procedure, thereby making the placement aligned with the existing care continuum for CRS patients and eliminating the need for physicians to schedule separate surgical time. Moreover, the elastomeric matrix encapsulates the underlying mesh fibers to facilitate removal.</w:t>
      </w:r>
    </w:p>
    <w:p>
      <w:pPr>
        <w:spacing w:after="0" w:line="198" w:lineRule="exact"/>
        <w:rPr>
          <w:rFonts w:ascii="Arial" w:cs="Arial" w:eastAsia="Arial" w:hAnsi="Arial"/>
          <w:sz w:val="17"/>
          <w:szCs w:val="17"/>
          <w:color w:val="auto"/>
        </w:rPr>
      </w:pPr>
    </w:p>
    <w:p>
      <w:pPr>
        <w:ind w:left="1720" w:right="80" w:hanging="301"/>
        <w:spacing w:after="0" w:line="341" w:lineRule="auto"/>
        <w:tabs>
          <w:tab w:leader="none" w:pos="1720" w:val="left"/>
        </w:tabs>
        <w:numPr>
          <w:ilvl w:val="0"/>
          <w:numId w:val="86"/>
        </w:numPr>
        <w:rPr>
          <w:rFonts w:ascii="Arial" w:cs="Arial" w:eastAsia="Arial" w:hAnsi="Arial"/>
          <w:sz w:val="15"/>
          <w:szCs w:val="15"/>
          <w:color w:val="auto"/>
        </w:rPr>
      </w:pPr>
      <w:r>
        <w:rPr>
          <w:rFonts w:ascii="Arial" w:cs="Arial" w:eastAsia="Arial" w:hAnsi="Arial"/>
          <w:sz w:val="15"/>
          <w:szCs w:val="15"/>
          <w:b w:val="1"/>
          <w:bCs w:val="1"/>
          <w:color w:val="auto"/>
        </w:rPr>
        <w:t>Localized Delivery</w:t>
      </w:r>
      <w:r>
        <w:rPr>
          <w:rFonts w:ascii="Arial" w:cs="Arial" w:eastAsia="Arial" w:hAnsi="Arial"/>
          <w:sz w:val="15"/>
          <w:szCs w:val="15"/>
          <w:color w:val="auto"/>
        </w:rPr>
        <w:t>: LYR-210 and LYR-220 are designed to benefit from our XTreo platform, which is intended to provide localized</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to avoid systemic side effects that are common with certain other CRS treatment options, such as oral steroids.</w:t>
      </w:r>
    </w:p>
    <w:p>
      <w:pPr>
        <w:spacing w:after="0" w:line="137" w:lineRule="exact"/>
        <w:rPr>
          <w:rFonts w:ascii="Arial" w:cs="Arial" w:eastAsia="Arial" w:hAnsi="Arial"/>
          <w:sz w:val="15"/>
          <w:szCs w:val="15"/>
          <w:color w:val="auto"/>
        </w:rPr>
      </w:pPr>
    </w:p>
    <w:p>
      <w:pPr>
        <w:ind w:left="1720" w:right="360" w:hanging="301"/>
        <w:spacing w:after="0" w:line="273" w:lineRule="auto"/>
        <w:tabs>
          <w:tab w:leader="none" w:pos="172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Patient Applicability</w:t>
      </w:r>
      <w:r>
        <w:rPr>
          <w:rFonts w:ascii="Arial" w:cs="Arial" w:eastAsia="Arial" w:hAnsi="Arial"/>
          <w:sz w:val="17"/>
          <w:szCs w:val="17"/>
          <w:color w:val="auto"/>
        </w:rPr>
        <w:t>: LYR-210 and LYR-220 are designed to treat the entire spectrum of CRS patients who have failed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including pre- and post-surgical patients and those with and without polyps.</w:t>
      </w:r>
    </w:p>
    <w:p>
      <w:pPr>
        <w:spacing w:after="0" w:line="182" w:lineRule="exact"/>
        <w:rPr>
          <w:rFonts w:ascii="Arial" w:cs="Arial" w:eastAsia="Arial" w:hAnsi="Arial"/>
          <w:sz w:val="17"/>
          <w:szCs w:val="17"/>
          <w:color w:val="auto"/>
        </w:rPr>
      </w:pPr>
    </w:p>
    <w:p>
      <w:pPr>
        <w:ind w:left="1720" w:right="140" w:hanging="301"/>
        <w:spacing w:after="0" w:line="259" w:lineRule="auto"/>
        <w:tabs>
          <w:tab w:leader="none" w:pos="172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Pharmacoeconomic Impact</w:t>
      </w:r>
      <w:r>
        <w:rPr>
          <w:rFonts w:ascii="Arial" w:cs="Arial" w:eastAsia="Arial" w:hAnsi="Arial"/>
          <w:sz w:val="17"/>
          <w:szCs w:val="17"/>
          <w:color w:val="auto"/>
        </w:rPr>
        <w:t>: LYR-210 and LYR-220 are designed as an alternative to surgery (initial or revision), and as such have</w:t>
      </w:r>
      <w:r>
        <w:rPr>
          <w:rFonts w:ascii="Arial" w:cs="Arial" w:eastAsia="Arial" w:hAnsi="Arial"/>
          <w:sz w:val="17"/>
          <w:szCs w:val="17"/>
          <w:b w:val="1"/>
          <w:bCs w:val="1"/>
          <w:color w:val="auto"/>
        </w:rPr>
        <w:t xml:space="preserve"> </w:t>
      </w:r>
      <w:r>
        <w:rPr>
          <w:rFonts w:ascii="Arial" w:cs="Arial" w:eastAsia="Arial" w:hAnsi="Arial"/>
          <w:sz w:val="17"/>
          <w:szCs w:val="17"/>
          <w:color w:val="auto"/>
        </w:rPr>
        <w:t>the potential to provide significant savings to the healthcare industry by reducing the number and frequency of expensive surgical treatment options.</w:t>
      </w:r>
    </w:p>
    <w:p>
      <w:pPr>
        <w:spacing w:after="0" w:line="175"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We believe LYR-210 and LYR-220, if approved, would be the only products able to deliver up to six months of continuous topical treatment in a single administration to treat the entire spectrum of CRS patients who fail medical management, including pre- and post-surgery patients and those with and without nasal polyps.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Intellectual Property and Barriers to Entry</w:t>
      </w:r>
    </w:p>
    <w:p>
      <w:pPr>
        <w:spacing w:after="0" w:line="210"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We own all the material intellectual property rights related to our platform and product candidate portfolio. As of March 31, 2020, our product candidate portfolio is protected by 23 issued and 25 pending patents worldwide with claims directed to composition of matter, drug delivery and method of use, which, exclusive of possible patent term adjustments or extensions or other forms of exclusivity, are projected to expire between 2030 and 2037.</w:t>
      </w:r>
    </w:p>
    <w:p>
      <w:pPr>
        <w:spacing w:after="0" w:line="180" w:lineRule="exact"/>
        <w:rPr>
          <w:sz w:val="20"/>
          <w:szCs w:val="20"/>
          <w:color w:val="auto"/>
        </w:rPr>
      </w:pPr>
    </w:p>
    <w:p>
      <w:pPr>
        <w:ind w:left="500" w:right="500" w:firstLine="819"/>
        <w:spacing w:after="0" w:line="268" w:lineRule="auto"/>
        <w:rPr>
          <w:sz w:val="20"/>
          <w:szCs w:val="20"/>
          <w:color w:val="auto"/>
        </w:rPr>
      </w:pPr>
      <w:r>
        <w:rPr>
          <w:rFonts w:ascii="Arial" w:cs="Arial" w:eastAsia="Arial" w:hAnsi="Arial"/>
          <w:sz w:val="17"/>
          <w:szCs w:val="17"/>
          <w:color w:val="auto"/>
        </w:rPr>
        <w:t>We also rely upon know-how, continuing technological innovation, and technical barriers to entry, including manufacturing and drug delivery complexities, to develop and maintain our competitive intellectual property position.</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Management Team and Investors</w:t>
      </w:r>
    </w:p>
    <w:p>
      <w:pPr>
        <w:spacing w:after="0" w:line="210" w:lineRule="exact"/>
        <w:rPr>
          <w:sz w:val="20"/>
          <w:szCs w:val="20"/>
          <w:color w:val="auto"/>
        </w:rPr>
      </w:pPr>
    </w:p>
    <w:p>
      <w:pPr>
        <w:ind w:left="500" w:right="180" w:firstLine="819"/>
        <w:spacing w:after="0" w:line="253" w:lineRule="auto"/>
        <w:rPr>
          <w:sz w:val="20"/>
          <w:szCs w:val="20"/>
          <w:color w:val="auto"/>
        </w:rPr>
      </w:pPr>
      <w:r>
        <w:rPr>
          <w:rFonts w:ascii="Arial" w:cs="Arial" w:eastAsia="Arial" w:hAnsi="Arial"/>
          <w:sz w:val="17"/>
          <w:szCs w:val="17"/>
          <w:color w:val="auto"/>
        </w:rPr>
        <w:t>Our management team has extensive drug development, manufacturing and commercialization experience across a broad spectrum of disease areas, for both drug and drug-device combination products, with a successful track record in large pharmaceutical, medical device and biotech companies. Additionally, our management team has been involved in the development of successfully approved and commercialized products such as Taxus (drug-eluting stent), AvoneX, Arikayce and Panhematin.</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720"/>
          </w:cols>
          <w:pgMar w:left="320" w:top="437" w:right="8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7"/>
          <w:szCs w:val="17"/>
          <w:color w:val="auto"/>
        </w:rPr>
        <w:t>Further, we are supported by a leading group of biotech investors including, among others, ArrowMark Partners, Intersouth Partners, North Bridge Venture Partners, Perceptive Advisors, Polaris Venture Partners, RA Capital and Soleus Capital.</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Our Pipeline</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current status of our product candidates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154940</wp:posOffset>
            </wp:positionV>
            <wp:extent cx="5212715" cy="1617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715"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00" w:hanging="397"/>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Anticipated clinical milestones are subject to the impact of COVID-19 on our business.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Our Strategy</w:t>
      </w:r>
    </w:p>
    <w:p>
      <w:pPr>
        <w:spacing w:after="0" w:line="210" w:lineRule="exact"/>
        <w:rPr>
          <w:sz w:val="20"/>
          <w:szCs w:val="20"/>
          <w:color w:val="auto"/>
        </w:rPr>
      </w:pPr>
    </w:p>
    <w:p>
      <w:pPr>
        <w:ind w:left="500" w:right="280" w:firstLine="819"/>
        <w:spacing w:after="0" w:line="335" w:lineRule="auto"/>
        <w:rPr>
          <w:sz w:val="20"/>
          <w:szCs w:val="20"/>
          <w:color w:val="auto"/>
        </w:rPr>
      </w:pPr>
      <w:r>
        <w:rPr>
          <w:rFonts w:ascii="Arial" w:cs="Arial" w:eastAsia="Arial" w:hAnsi="Arial"/>
          <w:sz w:val="15"/>
          <w:szCs w:val="15"/>
          <w:color w:val="auto"/>
        </w:rPr>
        <w:t>Our mission is to transform the ENT treatment paradigm by utilizing our proprietary drug delivery platform, XTreo, to develop safe and effective therapies for the treatment of debilitating diseases treatable with ENT delivery. We intend to achieve this through the following strategies:</w:t>
      </w:r>
    </w:p>
    <w:p>
      <w:pPr>
        <w:spacing w:after="0" w:line="142" w:lineRule="exact"/>
        <w:rPr>
          <w:sz w:val="20"/>
          <w:szCs w:val="20"/>
          <w:color w:val="auto"/>
        </w:rPr>
      </w:pPr>
    </w:p>
    <w:p>
      <w:pPr>
        <w:ind w:left="1720" w:hanging="301"/>
        <w:spacing w:after="0" w:line="291" w:lineRule="auto"/>
        <w:tabs>
          <w:tab w:leader="none" w:pos="1720" w:val="left"/>
        </w:tabs>
        <w:numPr>
          <w:ilvl w:val="0"/>
          <w:numId w:val="88"/>
        </w:numPr>
        <w:rPr>
          <w:rFonts w:ascii="Arial" w:cs="Arial" w:eastAsia="Arial" w:hAnsi="Arial"/>
          <w:sz w:val="15"/>
          <w:szCs w:val="15"/>
          <w:color w:val="auto"/>
        </w:rPr>
      </w:pPr>
      <w:r>
        <w:rPr>
          <w:rFonts w:ascii="Arial" w:cs="Arial" w:eastAsia="Arial" w:hAnsi="Arial"/>
          <w:sz w:val="15"/>
          <w:szCs w:val="15"/>
          <w:b w:val="1"/>
          <w:bCs w:val="1"/>
          <w:color w:val="auto"/>
        </w:rPr>
        <w:t xml:space="preserve">Complete the development and secure FDA approval of LYR-210 for the treatment of CRS. </w:t>
      </w:r>
      <w:r>
        <w:rPr>
          <w:rFonts w:ascii="Arial" w:cs="Arial" w:eastAsia="Arial" w:hAnsi="Arial"/>
          <w:sz w:val="15"/>
          <w:szCs w:val="15"/>
          <w:color w:val="auto"/>
        </w:rPr>
        <w:t>We believe LYR-210, if approved, is</w:t>
      </w:r>
      <w:r>
        <w:rPr>
          <w:rFonts w:ascii="Arial" w:cs="Arial" w:eastAsia="Arial" w:hAnsi="Arial"/>
          <w:sz w:val="15"/>
          <w:szCs w:val="15"/>
          <w:b w:val="1"/>
          <w:bCs w:val="1"/>
          <w:color w:val="auto"/>
        </w:rPr>
        <w:t xml:space="preserve"> </w:t>
      </w:r>
      <w:r>
        <w:rPr>
          <w:rFonts w:ascii="Arial" w:cs="Arial" w:eastAsia="Arial" w:hAnsi="Arial"/>
          <w:sz w:val="15"/>
          <w:szCs w:val="15"/>
          <w:color w:val="auto"/>
        </w:rPr>
        <w:t>well positioned in the CRS treatment paradigm to provide a preferred alternative to surgery. LYR-210, which is currently in an ongoing randomized, sham procedure-controlled, patient-blinded Phase 2 LANTERN clinical trial, utilizes MF, the active ingredient in various FDA-approved drugs. Subject to the impact of COVID-19 on our business, we expect to report topline data from the Phase 2 LANTERN trial of LYR-210 by the end of 2020. Our goal is to advance LYR-210 through Phase 2 and into one or more pivotal Phase 3 clinical trials, followed by potential marketing approval through a 505(b)(2) NDA submitted to the FDA.</w:t>
      </w:r>
    </w:p>
    <w:p>
      <w:pPr>
        <w:spacing w:after="0" w:line="176" w:lineRule="exact"/>
        <w:rPr>
          <w:rFonts w:ascii="Arial" w:cs="Arial" w:eastAsia="Arial" w:hAnsi="Arial"/>
          <w:sz w:val="15"/>
          <w:szCs w:val="15"/>
          <w:color w:val="auto"/>
        </w:rPr>
      </w:pPr>
    </w:p>
    <w:p>
      <w:pPr>
        <w:ind w:left="1720" w:hanging="301"/>
        <w:spacing w:after="0" w:line="251" w:lineRule="auto"/>
        <w:tabs>
          <w:tab w:leader="none" w:pos="172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Advance our second product candidate, LYR-220, into the clinic to provide a comprehensive solution for CRS patients who have failed medical management and surgery. </w:t>
      </w:r>
      <w:r>
        <w:rPr>
          <w:rFonts w:ascii="Arial" w:cs="Arial" w:eastAsia="Arial" w:hAnsi="Arial"/>
          <w:sz w:val="17"/>
          <w:szCs w:val="17"/>
          <w:color w:val="auto"/>
        </w:rPr>
        <w:t>We are developing a larger version of LYR-210 designed for use in the enlarged</w:t>
      </w:r>
      <w:r>
        <w:rPr>
          <w:rFonts w:ascii="Arial" w:cs="Arial" w:eastAsia="Arial" w:hAnsi="Arial"/>
          <w:sz w:val="17"/>
          <w:szCs w:val="17"/>
          <w:b w:val="1"/>
          <w:bCs w:val="1"/>
          <w:color w:val="auto"/>
        </w:rPr>
        <w:t xml:space="preserve"> </w:t>
      </w:r>
      <w:r>
        <w:rPr>
          <w:rFonts w:ascii="Arial" w:cs="Arial" w:eastAsia="Arial" w:hAnsi="Arial"/>
          <w:sz w:val="17"/>
          <w:szCs w:val="17"/>
          <w:color w:val="auto"/>
        </w:rPr>
        <w:t>nasal cavity of CRS patients who have had sinus surgery. We believe LYR-220, if successfully developed and approved, is well positioned to provide a preferred alternative to revision surgery and post-surgical medical management. LYR-220 is currently in product feasibility studies. We plan to advance LYR-220 into a proof-of-concept clinical trial by the end of 2021, subject to the impact of COVID-19 on our business, and intend to seek approval through the sNDA pathway if an NDA for LYR-210 is approved by the FDA.</w:t>
      </w:r>
    </w:p>
    <w:p>
      <w:pPr>
        <w:spacing w:after="0" w:line="200" w:lineRule="exact"/>
        <w:rPr>
          <w:rFonts w:ascii="Arial" w:cs="Arial" w:eastAsia="Arial" w:hAnsi="Arial"/>
          <w:sz w:val="17"/>
          <w:szCs w:val="17"/>
          <w:color w:val="auto"/>
        </w:rPr>
      </w:pPr>
    </w:p>
    <w:p>
      <w:pPr>
        <w:ind w:left="1720" w:right="180" w:hanging="301"/>
        <w:spacing w:after="0" w:line="251" w:lineRule="auto"/>
        <w:tabs>
          <w:tab w:leader="none" w:pos="172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Build a commercialization infrastructure in the U.S. market for LYR-210 and LYR-220. </w:t>
      </w:r>
      <w:r>
        <w:rPr>
          <w:rFonts w:ascii="Arial" w:cs="Arial" w:eastAsia="Arial" w:hAnsi="Arial"/>
          <w:sz w:val="17"/>
          <w:szCs w:val="17"/>
          <w:color w:val="auto"/>
        </w:rPr>
        <w:t>If any of our product candidates are</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we plan to launch an efficient, go-to-market commercialization model focused on targeted outreach to our key physician, payer and patient audiences. We plan to build an in-house sales force that will target ENT physicians whose sub-specialty is general otolaryngology or rhinology, which together represent roughly 60% of the 12,000 ENT physicians in the United States. Ensuring physician and patient market access to our products will be critical to our success, and we plan to execute a holistic reimbursement strategy</w:t>
      </w:r>
    </w:p>
    <w:p>
      <w:pPr>
        <w:spacing w:after="0" w:line="12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720"/>
          </w:cols>
          <w:pgMar w:left="320" w:top="437" w:right="85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80"/>
        <w:spacing w:after="0" w:line="253" w:lineRule="auto"/>
        <w:rPr>
          <w:sz w:val="20"/>
          <w:szCs w:val="20"/>
          <w:color w:val="auto"/>
        </w:rPr>
      </w:pPr>
      <w:r>
        <w:rPr>
          <w:rFonts w:ascii="Arial" w:cs="Arial" w:eastAsia="Arial" w:hAnsi="Arial"/>
          <w:sz w:val="17"/>
          <w:szCs w:val="17"/>
          <w:color w:val="auto"/>
        </w:rPr>
        <w:t>that will integrate payer coverage and physician practice management initiatives. In addition, we also plan to selectively use cost-effective, patient-directed marketing strategies to further increase awareness among the CRS patient community of our products with the goal of increasing ENT physician visits. Finally, we plan to leverage our commercial infrastructure in the subsequent launch of LYR-220 and any future product candidates.</w:t>
      </w:r>
    </w:p>
    <w:p>
      <w:pPr>
        <w:spacing w:after="0" w:line="201" w:lineRule="exact"/>
        <w:rPr>
          <w:sz w:val="20"/>
          <w:szCs w:val="20"/>
          <w:color w:val="auto"/>
        </w:rPr>
      </w:pPr>
    </w:p>
    <w:p>
      <w:pPr>
        <w:ind w:left="1720" w:hanging="301"/>
        <w:spacing w:after="0" w:line="270" w:lineRule="auto"/>
        <w:tabs>
          <w:tab w:leader="none" w:pos="172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Maximize the value of our XTreo platform and expand our product pipeline. </w:t>
      </w:r>
      <w:r>
        <w:rPr>
          <w:rFonts w:ascii="Arial" w:cs="Arial" w:eastAsia="Arial" w:hAnsi="Arial"/>
          <w:sz w:val="16"/>
          <w:szCs w:val="16"/>
          <w:color w:val="auto"/>
        </w:rPr>
        <w:t>Our XTreo platform provides a versatile drug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engine that enables us to focus on other indications where long-term delivery of existing treatments may provide improved local bioavailability and enhanced efficacy or safety. We plan to utilize our platform to identify additional product candidates, with an initial focus on conditions treatable with nasal delivery, potentially including allergic rhinitis, rare disorders where nasal disease contributes to the disease pathology and central nervous system disorders. In addition, we believe we can adapt our platform to target conditions treatable with delivery to other tissues beyond the nasal cavities, such as the ear.</w:t>
      </w:r>
    </w:p>
    <w:p>
      <w:pPr>
        <w:spacing w:after="0" w:line="189" w:lineRule="exact"/>
        <w:rPr>
          <w:rFonts w:ascii="Arial" w:cs="Arial" w:eastAsia="Arial" w:hAnsi="Arial"/>
          <w:sz w:val="16"/>
          <w:szCs w:val="16"/>
          <w:color w:val="auto"/>
        </w:rPr>
      </w:pPr>
    </w:p>
    <w:p>
      <w:pPr>
        <w:ind w:left="1720" w:right="80" w:hanging="301"/>
        <w:spacing w:after="0" w:line="253" w:lineRule="auto"/>
        <w:tabs>
          <w:tab w:leader="none" w:pos="172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Seek strategic collaborative relationships. </w:t>
      </w:r>
      <w:r>
        <w:rPr>
          <w:rFonts w:ascii="Arial" w:cs="Arial" w:eastAsia="Arial" w:hAnsi="Arial"/>
          <w:sz w:val="17"/>
          <w:szCs w:val="17"/>
          <w:color w:val="auto"/>
        </w:rPr>
        <w:t>We intend to develop our product candidates on our own in the U.S. and retain all U.S.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but seek strategic collaborations ex-U.S. to facilitate the capital-efficient development of our product candidates. We may also enter into collaborative relationships within the U.S. for our future pipeline candidates. We believe these collaborations could potentially provide non-dilutive funding to advance our pipeline candidates while allowing us to benefit from the development expertise of our collaborators.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Our Technology Platform</w:t>
      </w:r>
    </w:p>
    <w:p>
      <w:pPr>
        <w:spacing w:after="0" w:line="210" w:lineRule="exact"/>
        <w:rPr>
          <w:sz w:val="20"/>
          <w:szCs w:val="20"/>
          <w:color w:val="auto"/>
        </w:rPr>
      </w:pPr>
    </w:p>
    <w:p>
      <w:pPr>
        <w:ind w:left="500" w:right="20" w:firstLine="819"/>
        <w:spacing w:after="0" w:line="251" w:lineRule="auto"/>
        <w:rPr>
          <w:sz w:val="20"/>
          <w:szCs w:val="20"/>
          <w:color w:val="auto"/>
        </w:rPr>
      </w:pPr>
      <w:r>
        <w:rPr>
          <w:rFonts w:ascii="Arial" w:cs="Arial" w:eastAsia="Arial" w:hAnsi="Arial"/>
          <w:sz w:val="17"/>
          <w:szCs w:val="17"/>
          <w:color w:val="auto"/>
        </w:rPr>
        <w:t>XTreo, our innovative and proprietary drug delivery platform is designed to locally and continuously deliver small molecule drugs to the affected tissue over a sustained period of time from a single administration. Our technology platform, developed over the past decade, was first patented in 2009 by members of our team who have extensive experience in drug formulation and delivery, material science and biotechnology. This expertise has allowed us to significantly improve upon polymer drug delivery technology and add shape-memory properties to bioresorbable polymeric implants, one of our key innovations.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139700</wp:posOffset>
            </wp:positionV>
            <wp:extent cx="4734560" cy="26625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34560" cy="266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2. XTreo Proprietary Platform.</w:t>
      </w:r>
    </w:p>
    <w:p>
      <w:pPr>
        <w:spacing w:after="0" w:line="13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700"/>
          </w:cols>
          <w:pgMar w:left="320" w:top="437" w:right="87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0" w:firstLine="819"/>
        <w:spacing w:after="0" w:line="274" w:lineRule="auto"/>
        <w:rPr>
          <w:sz w:val="20"/>
          <w:szCs w:val="20"/>
          <w:color w:val="auto"/>
        </w:rPr>
      </w:pPr>
      <w:r>
        <w:rPr>
          <w:rFonts w:ascii="Arial" w:cs="Arial" w:eastAsia="Arial" w:hAnsi="Arial"/>
          <w:sz w:val="16"/>
          <w:szCs w:val="16"/>
          <w:color w:val="auto"/>
        </w:rPr>
        <w:t>XTreo, our drug-eluting bioresorbable technology platform is comprised of three polymeric components, which are designed to work together to enable highly efficient, localized drug delivery (see Figure 2, above). This proprietary technology platform is designed to enable sustained delivery of medications for many months of therapy, targeting tissues deep in the ENT passages and potentially other diseased tissues that are not accessible with conventional therapeutic approaches. The components of our platform include:</w:t>
      </w:r>
    </w:p>
    <w:p>
      <w:pPr>
        <w:spacing w:after="0" w:line="185" w:lineRule="exact"/>
        <w:rPr>
          <w:sz w:val="20"/>
          <w:szCs w:val="20"/>
          <w:color w:val="auto"/>
        </w:rPr>
      </w:pPr>
    </w:p>
    <w:p>
      <w:pPr>
        <w:jc w:val="both"/>
        <w:ind w:left="1720" w:right="40" w:hanging="301"/>
        <w:spacing w:after="0" w:line="276" w:lineRule="auto"/>
        <w:tabs>
          <w:tab w:leader="none" w:pos="172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Biocompatible Mesh Scaffold</w:t>
      </w:r>
      <w:r>
        <w:rPr>
          <w:rFonts w:ascii="Arial" w:cs="Arial" w:eastAsia="Arial" w:hAnsi="Arial"/>
          <w:sz w:val="16"/>
          <w:szCs w:val="16"/>
          <w:color w:val="auto"/>
        </w:rPr>
        <w:t>—variants of poly(L-lactide-co-glycolide), or PLGA, braided to form an implantable mesh with a high</w:t>
      </w:r>
      <w:r>
        <w:rPr>
          <w:rFonts w:ascii="Arial" w:cs="Arial" w:eastAsia="Arial" w:hAnsi="Arial"/>
          <w:sz w:val="16"/>
          <w:szCs w:val="16"/>
          <w:b w:val="1"/>
          <w:bCs w:val="1"/>
          <w:color w:val="auto"/>
        </w:rPr>
        <w:t xml:space="preserve"> </w:t>
      </w:r>
      <w:r>
        <w:rPr>
          <w:rFonts w:ascii="Arial" w:cs="Arial" w:eastAsia="Arial" w:hAnsi="Arial"/>
          <w:sz w:val="16"/>
          <w:szCs w:val="16"/>
          <w:color w:val="auto"/>
        </w:rPr>
        <w:t>surface area. Our biocompatible mesh scaffold is intended to provide the foundation for efficient drug delivery. We have designed the mesh scaffold to optimize surface area for drug release while maintaining underlying tissue function through an open-cell design. The mesh scaffold is comprised of bioresorbable polymers and is pliable to maximize patient comfort.</w:t>
      </w:r>
    </w:p>
    <w:p>
      <w:pPr>
        <w:spacing w:after="0" w:line="182" w:lineRule="exact"/>
        <w:rPr>
          <w:rFonts w:ascii="Arial" w:cs="Arial" w:eastAsia="Arial" w:hAnsi="Arial"/>
          <w:sz w:val="16"/>
          <w:szCs w:val="16"/>
          <w:color w:val="auto"/>
        </w:rPr>
      </w:pPr>
    </w:p>
    <w:p>
      <w:pPr>
        <w:ind w:left="1720" w:right="20" w:hanging="301"/>
        <w:spacing w:after="0" w:line="272" w:lineRule="auto"/>
        <w:tabs>
          <w:tab w:leader="none" w:pos="172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Engineered Elastomeric Matrix</w:t>
      </w:r>
      <w:r>
        <w:rPr>
          <w:rFonts w:ascii="Arial" w:cs="Arial" w:eastAsia="Arial" w:hAnsi="Arial"/>
          <w:sz w:val="16"/>
          <w:szCs w:val="16"/>
          <w:color w:val="auto"/>
        </w:rPr>
        <w:t>—overlying elastomer of poly(L-lactide-co-e-caprolactone), or PLCL, coating that constrains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intersection points of the braid. Over the last decade we have developed a highly sophisticated and proprietary engineered elastomeric matrix which has advanced physical properties to dynamically conform to nasal anatomy. Its adaptive elastic tension, which gives it shape-memory to resist deformation, is key to ensuring persistent positioning in the target location. The matrix works in conjunction with the underlying mesh to exert outward retention force, keeping it in place as tissue remodels.</w:t>
      </w:r>
    </w:p>
    <w:p>
      <w:pPr>
        <w:spacing w:after="0" w:line="187" w:lineRule="exact"/>
        <w:rPr>
          <w:rFonts w:ascii="Arial" w:cs="Arial" w:eastAsia="Arial" w:hAnsi="Arial"/>
          <w:sz w:val="16"/>
          <w:szCs w:val="16"/>
          <w:color w:val="auto"/>
        </w:rPr>
      </w:pPr>
    </w:p>
    <w:p>
      <w:pPr>
        <w:ind w:left="1720" w:right="60" w:hanging="301"/>
        <w:spacing w:after="0" w:line="269" w:lineRule="auto"/>
        <w:tabs>
          <w:tab w:leader="none" w:pos="172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Versatile Polymer-Drug Complex</w:t>
      </w:r>
      <w:r>
        <w:rPr>
          <w:rFonts w:ascii="Arial" w:cs="Arial" w:eastAsia="Arial" w:hAnsi="Arial"/>
          <w:sz w:val="16"/>
          <w:szCs w:val="16"/>
          <w:color w:val="auto"/>
        </w:rPr>
        <w:t>—active therapeutic embedded in a polymer designed to control its release. We have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drug-delivery know-how which has enabled us to design a versatile polymer-drug complex that can accommodate most small molecule drugs and achieve tunable elution profiles. We believe our versatile polymer-drug complex is potentially amenable to continuous, prolonged drug release across a wide range of drugs for different therapeutic applications. With proprietary bioresorbable polymer-drug formulations, we believe our platform can be used to customize controlled-release drugs for various chronic diseases treatable with ENT delivery and improve the efficacy of therapeutic properties of existing active pharmaceutical ingredients, or APIs, through more prolonged delivery.</w:t>
      </w:r>
    </w:p>
    <w:p>
      <w:pPr>
        <w:spacing w:after="0" w:line="167" w:lineRule="exact"/>
        <w:rPr>
          <w:sz w:val="20"/>
          <w:szCs w:val="20"/>
          <w:color w:val="auto"/>
        </w:rPr>
      </w:pPr>
    </w:p>
    <w:p>
      <w:pPr>
        <w:ind w:left="500" w:right="40" w:firstLine="819"/>
        <w:spacing w:after="0" w:line="269" w:lineRule="auto"/>
        <w:rPr>
          <w:sz w:val="20"/>
          <w:szCs w:val="20"/>
          <w:color w:val="auto"/>
        </w:rPr>
      </w:pPr>
      <w:r>
        <w:rPr>
          <w:rFonts w:ascii="Arial" w:cs="Arial" w:eastAsia="Arial" w:hAnsi="Arial"/>
          <w:sz w:val="16"/>
          <w:szCs w:val="16"/>
          <w:color w:val="auto"/>
        </w:rPr>
        <w:t>The three integrated components are fundamental to the successful function and versatility of the XTreo technology. For application to a targeted tissue, the implant is compressed into a narrow applicator, which allows non-invasive placement deep within cavities of the ear, nose, and throat. The shape-memory properties ensure the implant self-expands as it is administered through the applicator to conformably fit within and adapt to the target anatomy. The implant is designed to be oversized for the target anatomy and therefore will push outwards to stay fixed at the target location. Over time, as inflammation recedes due to the local drug therapy, the shape-memory properties are intended to allow the implant to actively adapt to the anatomy and continue to stay in place to elute drug locally for a prolonged period.</w:t>
      </w:r>
    </w:p>
    <w:p>
      <w:pPr>
        <w:spacing w:after="0" w:line="169" w:lineRule="exact"/>
        <w:rPr>
          <w:sz w:val="20"/>
          <w:szCs w:val="20"/>
          <w:color w:val="auto"/>
        </w:rPr>
      </w:pPr>
    </w:p>
    <w:p>
      <w:pPr>
        <w:ind w:left="500" w:firstLine="819"/>
        <w:spacing w:after="0" w:line="288" w:lineRule="auto"/>
        <w:rPr>
          <w:sz w:val="20"/>
          <w:szCs w:val="20"/>
          <w:color w:val="auto"/>
        </w:rPr>
      </w:pPr>
      <w:r>
        <w:rPr>
          <w:rFonts w:ascii="Arial" w:cs="Arial" w:eastAsia="Arial" w:hAnsi="Arial"/>
          <w:sz w:val="15"/>
          <w:szCs w:val="15"/>
          <w:color w:val="auto"/>
        </w:rPr>
        <w:t>In engineering the implant, we use polymers that are biocompatible and bioresorbable which, if left in place, would gradually dissolve over time. The polymers used in our formulations have established safety profiles as they have previously been used in FDA-approved therapeutics. The mesh scaffold and elastomeric matrix are composed of PLGA and PLCL elastomer, both of which are well-established biodegradable polymers commonly used in medical applications. The customizable polymer drug complex consists of the active therapeutic embedded in the inactive ingredients containing PLCL and poly(L-lactide), or PLA, to control the drug elution rate. The polymer composition and drug formulation are tailored to achieve the desired drug dose and dissolution rate. Our expertise allows us to balance polymer resorption with drug elution to achieve a sustained rate of drug release over months in addition to varying the dosing and release rates to provide chronic local treatment.</w:t>
      </w:r>
    </w:p>
    <w:p>
      <w:pPr>
        <w:spacing w:after="0" w:line="9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720"/>
          </w:cols>
          <w:pgMar w:left="320" w:top="437" w:right="8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Chronic Rhinosinusitis and the Treatment Landscape</w:t>
      </w:r>
    </w:p>
    <w:p>
      <w:pPr>
        <w:spacing w:after="0" w:line="210"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7"/>
          <w:szCs w:val="17"/>
          <w:color w:val="auto"/>
        </w:rPr>
        <w:t>Sinuses are air-filled pockets within the bones of the face and skull. The four types of sinuses are frontal, ethmoid, sphenoid and maxillary (see Figure 3, below). One of each type of sinus lies on either side of the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3. Illustration of Nasal Sinuses.</w:t>
      </w:r>
    </w:p>
    <w:p>
      <w:pPr>
        <w:spacing w:after="0" w:line="195" w:lineRule="exact"/>
        <w:rPr>
          <w:sz w:val="20"/>
          <w:szCs w:val="20"/>
          <w:color w:val="auto"/>
        </w:rPr>
      </w:pPr>
    </w:p>
    <w:p>
      <w:pPr>
        <w:ind w:left="500" w:right="40" w:firstLine="819"/>
        <w:spacing w:after="0" w:line="293" w:lineRule="auto"/>
        <w:rPr>
          <w:sz w:val="20"/>
          <w:szCs w:val="20"/>
          <w:color w:val="auto"/>
        </w:rPr>
      </w:pPr>
      <w:r>
        <w:rPr>
          <w:rFonts w:ascii="Arial" w:cs="Arial" w:eastAsia="Arial" w:hAnsi="Arial"/>
          <w:sz w:val="15"/>
          <w:szCs w:val="15"/>
          <w:color w:val="auto"/>
        </w:rPr>
        <w:t>The sinuses are lined with a soft, moist layer of mucus-producing tissue, or mucosa. Mucus moistens the nasal lining and protects the body from inhaled impurities such as dust, pollutants and bacteria. Each of the maxillary, sphenoid and frontal sinuses has a corresponding ostium, or opening, through which mucus drains. The ethmoid sinuses are a series of cells with multiple, often interconnected openings and drainage pathways. The surface tissues of the sinuses are covered with millions of cilia, which are small, hair-like structures that act in coordination to sweep the mucus through the ostium of each sinus cavity to the back of the throat. The drainage of mucus is a normal process that keeps the sinuses healthy.</w:t>
      </w:r>
    </w:p>
    <w:p>
      <w:pPr>
        <w:spacing w:after="0" w:line="152"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CRS is an inflammatory disease of the paranasal sinus causing the mucosa lining to become swollen and inflamed, leading to significant patient morbidities. The inflammation may be caused by infections, allergies or environmental factors, as well as structural issues such as blockages of an ostium. If one or more sinus drainage pathways becomes blocked, normal mucus drainage is prevented and damage to ciliary function may occur. There are two categories of sinusitis: acute and chronic. Acute sinusitis is transient in nature and lasts less than four weeks. Chronic sinusitis is more severe and lasts 12 weeks or longer. The term “chronic sinusitis” is generally used interchangeably with “CRS” in the medical community, and we refer to the condition as CRS in this prospectus. The four cardinal symptoms of CRS are nasal obstruction and congestion, facial pain and pressure, nasal discharge and olfactory loss (loss of sense of smell). Other symptoms include chronic headaches, bodily pain, fatigue, sleep deprivation, depression and recurrent infections. CRS may be diagnosed when two of the four cardinal symptoms persist for 12 weeks or longer and when inflammation is confirmed via endoscopy or CT scan. Patients with CRS experience a lower quality of life index than people suffering from congestive heart failure, angina, chronic obstructive pulmonary disease or back pain. In addition, CRS symptoms are estimated to cause patients to miss over 11 million workdays per year in the United States alone, resulting over $1 billion in indirect economic costs.</w:t>
      </w:r>
    </w:p>
    <w:p>
      <w:pPr>
        <w:spacing w:after="0" w:line="157" w:lineRule="exact"/>
        <w:rPr>
          <w:sz w:val="20"/>
          <w:szCs w:val="20"/>
          <w:color w:val="auto"/>
        </w:rPr>
      </w:pPr>
    </w:p>
    <w:p>
      <w:pPr>
        <w:ind w:left="500" w:right="80" w:firstLine="819"/>
        <w:spacing w:after="0" w:line="290" w:lineRule="auto"/>
        <w:rPr>
          <w:sz w:val="20"/>
          <w:szCs w:val="20"/>
          <w:color w:val="auto"/>
        </w:rPr>
      </w:pPr>
      <w:r>
        <w:rPr>
          <w:rFonts w:ascii="Arial" w:cs="Arial" w:eastAsia="Arial" w:hAnsi="Arial"/>
          <w:sz w:val="15"/>
          <w:szCs w:val="15"/>
          <w:color w:val="auto"/>
        </w:rPr>
        <w:t>We estimate that sinusitis impacts approximately 12% of the adult population in the United States, or approximately 30 million people, making it the fifth most common condition in people under the age of 65, and more prevalent than diabetes or heart disease. Beyond the United States, sinusitis has a similarly high prevalence in Europe, with approximately 27 million cases in the EU5 (France, Germany, Italy, Spain and the United Kingdom), and in Asia, with approximately 104 million cases in China alone. Of the approximately 30 million people impacted by sinusitis in the United States, we estimate approximately 14 million are affected with CRS. Of these, we estimate that approximately 8 million people are treated for CRS by physicians annually, of which approximately 4 million fail medical management every year.</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660"/>
          </w:cols>
          <w:pgMar w:left="320" w:top="437" w:right="91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firstLine="819"/>
        <w:spacing w:after="0" w:line="293" w:lineRule="auto"/>
        <w:rPr>
          <w:sz w:val="20"/>
          <w:szCs w:val="20"/>
          <w:color w:val="auto"/>
        </w:rPr>
      </w:pPr>
      <w:r>
        <w:rPr>
          <w:rFonts w:ascii="Arial" w:cs="Arial" w:eastAsia="Arial" w:hAnsi="Arial"/>
          <w:sz w:val="15"/>
          <w:szCs w:val="15"/>
          <w:color w:val="auto"/>
        </w:rPr>
        <w:t>CRS has two phenotypes: CRS with nasal polyps, which are teardrop-shaped benign masses arising from the mucosa, and CRS without nasal polyps, with the non-polyp form representing approximately 70%-to-90% of CRS patients. Patients with polyps develop non-cancerous polyps on the chronically inflamed surfaces, but both subgroups typically share the same symptoms. Currently, the majority of our competitors target CRS patients with polyps, and there are no approved treatments for CRS without polyps, creating a vast untapped market opportunity for a more effective treatment solution. Given no approved treatments for CRS without polyps exist, there is only off-label drug usage for this segment of the patient population.</w:t>
      </w:r>
    </w:p>
    <w:p>
      <w:pPr>
        <w:spacing w:after="0" w:line="152"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Current treatments are directed towards managing the symptoms of CRS through a combination of medical management and surgical intervention techniques. The first line of therapy is medical management involving nasal saline irrigation, intranasal corticosteroidal sprays, oral steroids and antibiotics for patients with an active sinus infection. CRS is the most common reason for adult outpatient antibiotic use in the United States. It has been estimated that antibiotic use to treat infections relating to CRS may cost more than $150 million per year in the aggregate. Patients whose symptoms persist despite medical management are generally recommended to undergo functional endoscopic sinus surgery (or FESS) or balloon sinus dilation (or BSD), or both. FESS is a highly invasive surgery performed in the operating room, under full anesthesia, to open the blocked sinus pathways by removing inflamed tissue and bone using surgical tools. BSD is a less severe form of endoscopic sinus surgery, often used in combination with FESS, in which small balloon catheters are inserted and inflated to drain the large nasal sinuses. Although FESS and BSD can improve symptoms and quality of life, limitations remain. Neither correct the underlying cause of the inflammation and patients who undergo either or both procedures often experience significant pain and require continued post-operative medical therapy to maintain improvements, with a high incidence of repeat surgeries.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Medical Management</w:t>
      </w:r>
    </w:p>
    <w:p>
      <w:pPr>
        <w:spacing w:after="0" w:line="206" w:lineRule="exact"/>
        <w:rPr>
          <w:sz w:val="20"/>
          <w:szCs w:val="20"/>
          <w:color w:val="auto"/>
        </w:rPr>
      </w:pPr>
    </w:p>
    <w:p>
      <w:pPr>
        <w:ind w:left="500" w:right="260" w:firstLine="819"/>
        <w:spacing w:after="0" w:line="268" w:lineRule="auto"/>
        <w:rPr>
          <w:sz w:val="20"/>
          <w:szCs w:val="20"/>
          <w:color w:val="auto"/>
        </w:rPr>
      </w:pPr>
      <w:r>
        <w:rPr>
          <w:rFonts w:ascii="Arial" w:cs="Arial" w:eastAsia="Arial" w:hAnsi="Arial"/>
          <w:sz w:val="17"/>
          <w:szCs w:val="17"/>
          <w:color w:val="auto"/>
        </w:rPr>
        <w:t>The first-line of treatment for CRS is medical therapy, which typically includes nasal saline irrigation, corticosteroids, and antibiotics for patients with an active infection.</w:t>
      </w:r>
    </w:p>
    <w:p>
      <w:pPr>
        <w:spacing w:after="0" w:line="166" w:lineRule="exact"/>
        <w:rPr>
          <w:sz w:val="20"/>
          <w:szCs w:val="20"/>
          <w:color w:val="auto"/>
        </w:rPr>
      </w:pPr>
    </w:p>
    <w:p>
      <w:pPr>
        <w:ind w:left="500" w:right="40" w:firstLine="819"/>
        <w:spacing w:after="0" w:line="250" w:lineRule="auto"/>
        <w:rPr>
          <w:sz w:val="20"/>
          <w:szCs w:val="20"/>
          <w:color w:val="auto"/>
        </w:rPr>
      </w:pPr>
      <w:r>
        <w:rPr>
          <w:rFonts w:ascii="Arial" w:cs="Arial" w:eastAsia="Arial" w:hAnsi="Arial"/>
          <w:sz w:val="17"/>
          <w:szCs w:val="17"/>
          <w:color w:val="auto"/>
        </w:rPr>
        <w:t>Steroids represent the current first-line standard of care for CRS patients, given they are generally pharmacologically effective at treating inflammation. Intranasal steroid sprays and aerosols, commonly indicated for rhinitis, or inflammation of the nasal passage, are routinely prescribed and used over-the-counter for the treatment of CRS symptoms. Physicians may also prescribe oral steroids on an episodic basis to patients who have not received sufficient symptomatic relief. They are generally prescribed for short-term use by patients with severe symptoms or exacerbations of CRS who are already on maintenance therapy, such as nasal irrigation or intranasal corticosteroid sprays. Finally, physicians may prescribe antibiotics for patients with an active infection.</w:t>
      </w:r>
    </w:p>
    <w:p>
      <w:pPr>
        <w:spacing w:after="0" w:line="18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Intranasal steroid sprays, oral steroids and antibiotics each have significant limitations:</w:t>
      </w:r>
    </w:p>
    <w:p>
      <w:pPr>
        <w:spacing w:after="0" w:line="231" w:lineRule="exact"/>
        <w:rPr>
          <w:sz w:val="20"/>
          <w:szCs w:val="20"/>
          <w:color w:val="auto"/>
        </w:rPr>
      </w:pPr>
    </w:p>
    <w:p>
      <w:pPr>
        <w:ind w:left="1720" w:right="80" w:hanging="301"/>
        <w:spacing w:after="0" w:line="287" w:lineRule="auto"/>
        <w:tabs>
          <w:tab w:leader="none" w:pos="17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While intranasal steroid sprays avoid systemic exposure and thus lack such serious side effects, penetration of the spray beyond the nasal cavities into the paranasal sinuses—the site of inflammation—is limited, particularly in pre-operative patients, despite requiring multiple, inconvenient administrations per day. In a published study, a large fraction of the spray is deposited in the anterior nasal cavity without any significant penetration into the paranasal sinuses. Additionally, intranasal spray efficacy is also limited due to fast clearance rates, as it has been demonstrated that mucocilliary action removes approximately 50% of the spray from the nasal cavity within 10 to 15 minutes of dosing. Poor patient compliance further limits the effectiveness of intranasal steroid sprays. While a recently launched intranasal exhalation delivery product has been developed to enhance the delivery of steroid to areas of inflammation within the sinus, the product is still subject to the limitations resulting from fast clearance and poor patient compliance.</w:t>
      </w:r>
    </w:p>
    <w:p>
      <w:pPr>
        <w:spacing w:after="0" w:line="182" w:lineRule="exact"/>
        <w:rPr>
          <w:rFonts w:ascii="Arial" w:cs="Arial" w:eastAsia="Arial" w:hAnsi="Arial"/>
          <w:sz w:val="15"/>
          <w:szCs w:val="15"/>
          <w:color w:val="auto"/>
        </w:rPr>
      </w:pPr>
    </w:p>
    <w:p>
      <w:pPr>
        <w:ind w:left="1720" w:hanging="301"/>
        <w:spacing w:after="0" w:line="268" w:lineRule="auto"/>
        <w:tabs>
          <w:tab w:leader="none" w:pos="17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Oral steroid therapy is effective at reaching the sinus lining, but it does so by means of systemic exposure and therefore carries the risk of serious side effects associated with prolonged use,</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740"/>
          </w:cols>
          <w:pgMar w:left="320" w:top="437" w:right="8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including glaucoma, bone loss, weight gain, psychosis and difficulty in controlling blood glucose levels in patients with diabetes.</w:t>
      </w:r>
    </w:p>
    <w:p>
      <w:pPr>
        <w:spacing w:after="0" w:line="2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Additionally, studies have shown that long-term benefits from their use are limited.</w:t>
      </w:r>
    </w:p>
    <w:p>
      <w:pPr>
        <w:spacing w:after="0" w:line="219" w:lineRule="exact"/>
        <w:rPr>
          <w:sz w:val="20"/>
          <w:szCs w:val="20"/>
          <w:color w:val="auto"/>
        </w:rPr>
      </w:pPr>
    </w:p>
    <w:p>
      <w:pPr>
        <w:ind w:left="1720" w:right="40" w:hanging="301"/>
        <w:spacing w:after="0" w:line="280" w:lineRule="auto"/>
        <w:tabs>
          <w:tab w:leader="none" w:pos="17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Although antibiotics are generally prescribed for patients with an active infection, their role for treatment of CRS is unclear, and there is limited evidence that supports their use for the treatment of CRS. In addition, their prolonged use can lead to antibiotic resistance, and CRS is identified as a major target in national efforts to reduce unnecessary antibiotic intervention.</w:t>
      </w:r>
    </w:p>
    <w:p>
      <w:pPr>
        <w:spacing w:after="0" w:line="159" w:lineRule="exact"/>
        <w:rPr>
          <w:sz w:val="20"/>
          <w:szCs w:val="20"/>
          <w:color w:val="auto"/>
        </w:rPr>
      </w:pPr>
    </w:p>
    <w:p>
      <w:pPr>
        <w:ind w:left="500" w:right="200" w:firstLine="819"/>
        <w:spacing w:after="0" w:line="253" w:lineRule="auto"/>
        <w:rPr>
          <w:sz w:val="20"/>
          <w:szCs w:val="20"/>
          <w:color w:val="auto"/>
        </w:rPr>
      </w:pPr>
      <w:r>
        <w:rPr>
          <w:rFonts w:ascii="Arial" w:cs="Arial" w:eastAsia="Arial" w:hAnsi="Arial"/>
          <w:sz w:val="17"/>
          <w:szCs w:val="17"/>
          <w:color w:val="auto"/>
        </w:rPr>
        <w:t>Medical management is used as a first-line of medical therapy for pre-operative patients and as maintenance therapy for post-operative patients. Therefore, patients in both stages of the condition are managed medically and hence are subject to the limitations described above. Based on published medical literature, we estimate that at least 50% of CRS patients who are seen by ENT physicians and receive medical management remain symptomatic.</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Sinus Surgery</w:t>
      </w:r>
    </w:p>
    <w:p>
      <w:pPr>
        <w:spacing w:after="0" w:line="206" w:lineRule="exact"/>
        <w:rPr>
          <w:sz w:val="20"/>
          <w:szCs w:val="20"/>
          <w:color w:val="auto"/>
        </w:rPr>
      </w:pPr>
    </w:p>
    <w:p>
      <w:pPr>
        <w:ind w:left="500" w:right="200" w:firstLine="819"/>
        <w:spacing w:after="0" w:line="269" w:lineRule="auto"/>
        <w:rPr>
          <w:sz w:val="20"/>
          <w:szCs w:val="20"/>
          <w:color w:val="auto"/>
        </w:rPr>
      </w:pPr>
      <w:r>
        <w:rPr>
          <w:rFonts w:ascii="Arial" w:cs="Arial" w:eastAsia="Arial" w:hAnsi="Arial"/>
          <w:sz w:val="16"/>
          <w:szCs w:val="16"/>
          <w:color w:val="auto"/>
        </w:rPr>
        <w:t>The primary alternative after medical management is FESS, an invasive surgery during which a physician enlarges the inflamed and obstructed sinus pathways by removing inflamed tissue and bone in order to facilitate normal sinus drainage and aeration as well as provide greater access for delivery of steroids. First introduced in the United States in the 1980s, FESS is considered the standard of care for surgical intervention to treat CRS. However, while approximately 400,000 FESS procedures are performed each year, many surgical candidates opt not to have surgery given that it does not correct the underlying inflammation or obviate the need for medical management. Approximately, 65% of patients have recurrent symptoms post-FESS and up to 20% require a revision surgery.</w:t>
      </w:r>
    </w:p>
    <w:p>
      <w:pPr>
        <w:spacing w:after="0" w:line="169"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FESS is a highly invasive procedure, requiring general anesthesia and involving significant post-operative discomfort. During this procedure, a physician inserts an endoscope into the nasal cavity to provide visualization of the patient’s anatomy, the turbinate is identified with help of the endoscope and the uncinated process is removed exposing the ethmoid bulla. Surgical instruments, powered cutting tools and balloon dilation devices are used to remove or dilate the obstructive tissue and bone. Given the essential role of the ethmoid bulla in sinus function, the ethmoid sinuses are then opened in 75%-to-85% of FESS procedures. The dependent sinuses each drain into the ethmoid sinuses through ostia, which may be enlarged by either surgically removing tissue or via balloon dilation. Following the surgical intervention, physicians often pack the newly opened ethmoid sinuses with gauze or other obstructive sinus packing materials to hold the sinus cavities open. A follow-up office visit is required several days after the procedure to remove the sinus packing materials and depending on the circumstances a patient may have to visit the surgeon two to three times a week for a period of time using nasal irrigation or will be allowed to carry out simple nasal douching several times a day. A typical FESS procedure costs approximately $14,000 on average.</w:t>
      </w:r>
    </w:p>
    <w:p>
      <w:pPr>
        <w:spacing w:after="0" w:line="170" w:lineRule="exact"/>
        <w:rPr>
          <w:sz w:val="20"/>
          <w:szCs w:val="20"/>
          <w:color w:val="auto"/>
        </w:rPr>
      </w:pPr>
    </w:p>
    <w:p>
      <w:pPr>
        <w:jc w:val="both"/>
        <w:ind w:left="500" w:right="80" w:firstLine="819"/>
        <w:spacing w:after="0" w:line="298" w:lineRule="auto"/>
        <w:rPr>
          <w:sz w:val="20"/>
          <w:szCs w:val="20"/>
          <w:color w:val="auto"/>
        </w:rPr>
      </w:pPr>
      <w:r>
        <w:rPr>
          <w:rFonts w:ascii="Arial" w:cs="Arial" w:eastAsia="Arial" w:hAnsi="Arial"/>
          <w:sz w:val="15"/>
          <w:szCs w:val="15"/>
          <w:color w:val="auto"/>
        </w:rPr>
        <w:t>Since the introduction of FESS, several new technologies, such as image-guided surgical navigation systems, powered surgical instruments and BSD devices have expanded the addressable patient population who can benefit from FESS. For instance, BSD devices were developed to be used in combination with traditional surgical instruments during FESS to treat the dependent sinuses and have now allowed for treatment of some patients in the physician office setting as a standalone procedure. The cost of a BSD procedure can range from $3,000 to $7,000 per treatment.</w:t>
      </w:r>
    </w:p>
    <w:p>
      <w:pPr>
        <w:spacing w:after="0" w:line="148"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On an annual basis, approximately 4 million CRS patients fail medical management, but ultimately only approximately 400,000 patients choose to undergo an endoscopic sinus surgery each year. Physicians report that many patients, when presented with sinus surgery as a treatment option, opt to forego the procedure. Some patients regard the often temporary benefits provided by surgery as not worth the expense, recovery time or use of general anesthesia.</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720"/>
          </w:cols>
          <w:pgMar w:left="320" w:top="437" w:right="85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While sinus surgery is the standard of care for treating CRS after the failure of medical management, it has several significant limitations:</w:t>
      </w:r>
    </w:p>
    <w:p>
      <w:pPr>
        <w:spacing w:after="0" w:line="254" w:lineRule="exact"/>
        <w:rPr>
          <w:sz w:val="20"/>
          <w:szCs w:val="20"/>
          <w:color w:val="auto"/>
        </w:rPr>
      </w:pPr>
    </w:p>
    <w:p>
      <w:pPr>
        <w:ind w:left="1720" w:right="60" w:hanging="301"/>
        <w:spacing w:after="0" w:line="257" w:lineRule="auto"/>
        <w:tabs>
          <w:tab w:leader="none" w:pos="172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Invasive surgery with significant post-operative pain and nasal care. </w:t>
      </w:r>
      <w:r>
        <w:rPr>
          <w:rFonts w:ascii="Arial" w:cs="Arial" w:eastAsia="Arial" w:hAnsi="Arial"/>
          <w:sz w:val="17"/>
          <w:szCs w:val="17"/>
          <w:color w:val="auto"/>
        </w:rPr>
        <w:t>FESS is an invasive surgery that results in irreversible changes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anatomy and significant post-operative pain, discomfort and recovery time. As with any invasive surgery, a FESS entails the potential for bleeding, infection and scar tissue.</w:t>
      </w:r>
    </w:p>
    <w:p>
      <w:pPr>
        <w:spacing w:after="0" w:line="200" w:lineRule="exact"/>
        <w:rPr>
          <w:rFonts w:ascii="Arial" w:cs="Arial" w:eastAsia="Arial" w:hAnsi="Arial"/>
          <w:sz w:val="17"/>
          <w:szCs w:val="17"/>
          <w:color w:val="auto"/>
        </w:rPr>
      </w:pPr>
    </w:p>
    <w:p>
      <w:pPr>
        <w:ind w:left="1720" w:right="140" w:hanging="301"/>
        <w:spacing w:after="0" w:line="280" w:lineRule="auto"/>
        <w:tabs>
          <w:tab w:leader="none" w:pos="1720"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Requirement for post-operative maintenance. </w:t>
      </w:r>
      <w:r>
        <w:rPr>
          <w:rFonts w:ascii="Arial" w:cs="Arial" w:eastAsia="Arial" w:hAnsi="Arial"/>
          <w:sz w:val="16"/>
          <w:szCs w:val="16"/>
          <w:color w:val="auto"/>
        </w:rPr>
        <w:t>As the underlying inflammation of CRS is still unaddressed by sinus surgery, patients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required to post-operatively maintain their treatment with medical management. Additionally, reports have shown nasal polyp regrowth following surgery in many cases and post-nasal discharge often times remains a challenge.</w:t>
      </w:r>
    </w:p>
    <w:p>
      <w:pPr>
        <w:spacing w:after="0" w:line="184" w:lineRule="exact"/>
        <w:rPr>
          <w:rFonts w:ascii="Arial" w:cs="Arial" w:eastAsia="Arial" w:hAnsi="Arial"/>
          <w:sz w:val="16"/>
          <w:szCs w:val="16"/>
          <w:color w:val="auto"/>
        </w:rPr>
      </w:pPr>
    </w:p>
    <w:p>
      <w:pPr>
        <w:ind w:left="1720" w:right="60" w:hanging="301"/>
        <w:spacing w:after="0" w:line="251" w:lineRule="auto"/>
        <w:tabs>
          <w:tab w:leader="none" w:pos="172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Additional FESS procedures may be needed. </w:t>
      </w:r>
      <w:r>
        <w:rPr>
          <w:rFonts w:ascii="Arial" w:cs="Arial" w:eastAsia="Arial" w:hAnsi="Arial"/>
          <w:sz w:val="17"/>
          <w:szCs w:val="17"/>
          <w:color w:val="auto"/>
        </w:rPr>
        <w:t>Approximately 65% of patients have recurring symptoms post-FESS,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20% of patients will require a revision of sinus surgery within five years, 43% of whom will be within the first post-operative year. This is because sinus surgery does not cure the underlying cause of the inflammation of the sinus pathways, which can cause repeat flare ups. We believe the risk of potential revision surgery is a significant deterrent to some patients that would otherwise undergo sinus surgery.</w:t>
      </w:r>
    </w:p>
    <w:p>
      <w:pPr>
        <w:spacing w:after="0" w:line="207" w:lineRule="exact"/>
        <w:rPr>
          <w:rFonts w:ascii="Arial" w:cs="Arial" w:eastAsia="Arial" w:hAnsi="Arial"/>
          <w:sz w:val="17"/>
          <w:szCs w:val="17"/>
          <w:color w:val="auto"/>
        </w:rPr>
      </w:pPr>
    </w:p>
    <w:p>
      <w:pPr>
        <w:ind w:left="1720" w:right="20" w:hanging="301"/>
        <w:spacing w:after="0" w:line="298" w:lineRule="auto"/>
        <w:tabs>
          <w:tab w:leader="none" w:pos="172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Potential for severe complications. </w:t>
      </w:r>
      <w:r>
        <w:rPr>
          <w:rFonts w:ascii="Arial" w:cs="Arial" w:eastAsia="Arial" w:hAnsi="Arial"/>
          <w:sz w:val="15"/>
          <w:szCs w:val="15"/>
          <w:color w:val="auto"/>
        </w:rPr>
        <w:t>As a result of the use of surgical tools in close proximity to the brain, eyes and other critical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anatomy, the potential for significant complications is a concern of physicians and patients alike. The risks of FESS, particularly in the frontal sinuses, cause some ENT physicians to avoid performing surgery in the frontal sinus drainage pathway. Major complications, such as cerebral spinal fluid leaks, swelling of the eye or blindness, occur in approximately 0.3% of FESS procedures.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Drug Eluting Stents and Monoclonal Antibodies</w:t>
      </w:r>
    </w:p>
    <w:p>
      <w:pPr>
        <w:spacing w:after="0" w:line="206" w:lineRule="exact"/>
        <w:rPr>
          <w:sz w:val="20"/>
          <w:szCs w:val="20"/>
          <w:color w:val="auto"/>
        </w:rPr>
      </w:pPr>
    </w:p>
    <w:p>
      <w:pPr>
        <w:ind w:left="500" w:right="40" w:firstLine="819"/>
        <w:spacing w:after="0" w:line="253" w:lineRule="auto"/>
        <w:rPr>
          <w:sz w:val="20"/>
          <w:szCs w:val="20"/>
          <w:color w:val="auto"/>
        </w:rPr>
      </w:pPr>
      <w:r>
        <w:rPr>
          <w:rFonts w:ascii="Arial" w:cs="Arial" w:eastAsia="Arial" w:hAnsi="Arial"/>
          <w:sz w:val="17"/>
          <w:szCs w:val="17"/>
          <w:color w:val="auto"/>
        </w:rPr>
        <w:t>For patients with nasal polyps who remain symptomatic following surgery, who we refer to as refractory patients, certain non-surgical options are available. A steroid-eluting implant that continuously delivers three months of MF was approved to treat CRS in adults with nasal polyps. In addition, a subcutaneously-administered biweekly anti-IL-4/IL-13 monoclonal antibody, or mAb, was recently approved also to treat CRS in adults with nasal polyps.</w:t>
      </w:r>
    </w:p>
    <w:p>
      <w:pPr>
        <w:spacing w:after="0" w:line="180"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However, each of these treatments has limitations. The drug-eluting stent has only a three month elution profile, presenting a more burdensome treatment regimen and requiring patient compliance. Meanwhile, the mAb is generally reserved for the most refractory patients, given that its long-term systemic safety is unknown and that it is priced at a significant premium even when compared to surgical options. In addition, both of these treatment options are only approved for the treatment of nasal polyps, leaving non-polyp patients (who represent approximately 70%-to-90% of all CRS patients) who are refractory with no approved treatment options.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LYR-210 for the Treatment of CRS</w:t>
      </w:r>
    </w:p>
    <w:p>
      <w:pPr>
        <w:spacing w:after="0" w:line="210" w:lineRule="exact"/>
        <w:rPr>
          <w:sz w:val="20"/>
          <w:szCs w:val="20"/>
          <w:color w:val="auto"/>
        </w:rPr>
      </w:pPr>
    </w:p>
    <w:p>
      <w:pPr>
        <w:ind w:left="500" w:right="300" w:firstLine="819"/>
        <w:spacing w:after="0" w:line="250" w:lineRule="auto"/>
        <w:rPr>
          <w:sz w:val="20"/>
          <w:szCs w:val="20"/>
          <w:color w:val="auto"/>
        </w:rPr>
      </w:pPr>
      <w:r>
        <w:rPr>
          <w:rFonts w:ascii="Arial" w:cs="Arial" w:eastAsia="Arial" w:hAnsi="Arial"/>
          <w:sz w:val="17"/>
          <w:szCs w:val="17"/>
          <w:color w:val="auto"/>
        </w:rPr>
        <w:t>We believe LYR-210, if successfully developed and approved, has the potential to become a preferred alternative to surgery for the treatment of CRS. It is the only product candidate that we are aware of that is designed to provide up to six months of local delivery of anti-inflammatory medication with a single administration. The brief, non-invasive, in-office procedure allows for its implantation without the need for surgery. Further, we believe our studies have shown that LYR-210 has the potential to be an effective treatment for both patients with and without polyps. We believe LYR-210 has the potential to be a safe, effective and broadly applicable CRS treatment, designed to enhance patient comfort and physician experience and eliminate</w:t>
      </w:r>
    </w:p>
    <w:p>
      <w:pPr>
        <w:spacing w:after="0" w:line="12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740"/>
          </w:cols>
          <w:pgMar w:left="320" w:top="437" w:right="8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spacing w:after="0" w:line="268" w:lineRule="auto"/>
        <w:rPr>
          <w:sz w:val="20"/>
          <w:szCs w:val="20"/>
          <w:color w:val="auto"/>
        </w:rPr>
      </w:pPr>
      <w:r>
        <w:rPr>
          <w:rFonts w:ascii="Arial" w:cs="Arial" w:eastAsia="Arial" w:hAnsi="Arial"/>
          <w:sz w:val="17"/>
          <w:szCs w:val="17"/>
          <w:color w:val="auto"/>
        </w:rPr>
        <w:t>patient compliance issues associated with other CRS treatments, such as intranasal steroid sprays, while achieving reduced costs compared to other CRS treatments, such as sinus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128905</wp:posOffset>
            </wp:positionV>
            <wp:extent cx="3300095" cy="25031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009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4. Illustration of Placement of LYR-210 in Middle Meatus.</w:t>
      </w:r>
    </w:p>
    <w:p>
      <w:pPr>
        <w:spacing w:after="0" w:line="195" w:lineRule="exact"/>
        <w:rPr>
          <w:sz w:val="20"/>
          <w:szCs w:val="20"/>
          <w:color w:val="auto"/>
        </w:rPr>
      </w:pPr>
    </w:p>
    <w:p>
      <w:pPr>
        <w:ind w:left="500" w:firstLine="819"/>
        <w:spacing w:after="0" w:line="286" w:lineRule="auto"/>
        <w:rPr>
          <w:sz w:val="20"/>
          <w:szCs w:val="20"/>
          <w:color w:val="auto"/>
        </w:rPr>
      </w:pPr>
      <w:r>
        <w:rPr>
          <w:rFonts w:ascii="Arial" w:cs="Arial" w:eastAsia="Arial" w:hAnsi="Arial"/>
          <w:sz w:val="15"/>
          <w:szCs w:val="15"/>
          <w:color w:val="auto"/>
        </w:rPr>
        <w:t>LYR-210 is an investigational miniaturized local drug delivery system designed to fit within, and conform to, the confined space of a surgically-naïve patient’s middle meatus, an air-containing space that plays a fundamental role in drainage of the paranasal sinuses (see Figure 4, above). LYR-210 consists of MF, the active ingredient in various FDA-approved drugs, embedded in biocompatible polymers to aid in the controlled and sustained delivery of MF to the sinonasal mucosal tissue from a single drug administration. LYR-210 has a tubular braid configuration with a uniform diamond pattern throughout and is 13 mm in diameter and 10 mm in length in the unconstrained state. It has elastic properties to promote patient comfort and is designed to be self-retaining against the mucosal tissue to allow effective drug transfer. The matrix is comprised of a base structure and a drug formulation. The base structure is composed of PLGA and PLCL elastomer to provide a 3-dimensional structure and elasticity. The drug formulation matrix consists of the active ingredient, MF, embedded in the inactive ingredients containing PLCL and PLA to control the release rate of MF. The composition and mass of the drug formulation matrix is specified to achieve the drug dose over time.</w:t>
      </w:r>
    </w:p>
    <w:p>
      <w:pPr>
        <w:spacing w:after="0" w:line="159" w:lineRule="exact"/>
        <w:rPr>
          <w:sz w:val="20"/>
          <w:szCs w:val="20"/>
          <w:color w:val="auto"/>
        </w:rPr>
      </w:pPr>
    </w:p>
    <w:p>
      <w:pPr>
        <w:ind w:left="500" w:right="160" w:firstLine="819"/>
        <w:spacing w:after="0" w:line="250" w:lineRule="auto"/>
        <w:rPr>
          <w:sz w:val="20"/>
          <w:szCs w:val="20"/>
          <w:color w:val="auto"/>
        </w:rPr>
      </w:pPr>
      <w:r>
        <w:rPr>
          <w:rFonts w:ascii="Arial" w:cs="Arial" w:eastAsia="Arial" w:hAnsi="Arial"/>
          <w:sz w:val="17"/>
          <w:szCs w:val="17"/>
          <w:color w:val="auto"/>
        </w:rPr>
        <w:t>LYR-210 is intended to be administered bilaterally into the non-operated middle meatus by an ENT physician under endoscopic visualization via a provided, single use applicator. It is designed for office-based administration performed with topical anesthesia. Once administered, LYR-210 is designed to gradually release MF to the inflamed mucosal tissue for up to six months from a single administration. LYR-210 can be removed at six months or earlier at the physician’s discretion using standard instruments and, if needed, replaced with a new LYR-210. LYR-210 is made with bioresorbable polymers that, if left in place, would gradually dissolve over time. Moreover, the elastomeric matrix encapsulates the underlying mesh fibers to facilitate removal.</w:t>
      </w:r>
    </w:p>
    <w:p>
      <w:pPr>
        <w:spacing w:after="0" w:line="12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740"/>
          </w:cols>
          <w:pgMar w:left="320" w:top="437" w:right="8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Overview of Our Clinical Development</w:t>
      </w:r>
    </w:p>
    <w:p>
      <w:pPr>
        <w:spacing w:after="0" w:line="106" w:lineRule="exact"/>
        <w:rPr>
          <w:sz w:val="20"/>
          <w:szCs w:val="20"/>
          <w:color w:val="auto"/>
        </w:rPr>
      </w:pPr>
    </w:p>
    <w:p>
      <w:pPr>
        <w:ind w:left="500" w:right="800" w:firstLine="819"/>
        <w:spacing w:after="0" w:line="268" w:lineRule="auto"/>
        <w:rPr>
          <w:sz w:val="20"/>
          <w:szCs w:val="20"/>
          <w:color w:val="auto"/>
        </w:rPr>
      </w:pPr>
      <w:r>
        <w:rPr>
          <w:rFonts w:ascii="Arial" w:cs="Arial" w:eastAsia="Arial" w:hAnsi="Arial"/>
          <w:sz w:val="17"/>
          <w:szCs w:val="17"/>
          <w:color w:val="auto"/>
        </w:rPr>
        <w:t>The table below summarizes our completed and ongoing clinical trials for LYR-210 for CRS in patients who have failed medical management and have not undergone endoscopic sinus surgery.</w:t>
      </w:r>
    </w:p>
    <w:p>
      <w:pPr>
        <w:sectPr>
          <w:pgSz w:w="11900" w:h="16838" w:orient="portrait"/>
          <w:cols w:equalWidth="0" w:num="1">
            <w:col w:w="10740"/>
          </w:cols>
          <w:pgMar w:left="320" w:top="437" w:right="839" w:bottom="1440" w:gutter="0" w:footer="0" w:header="0"/>
        </w:sectPr>
      </w:pP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Trial</w:t>
            </w:r>
          </w:p>
        </w:tc>
        <w:tc>
          <w:tcPr>
            <w:tcW w:w="120" w:type="dxa"/>
            <w:vAlign w:val="bottom"/>
          </w:tcPr>
          <w:p>
            <w:pPr>
              <w:spacing w:after="0"/>
              <w:rPr>
                <w:sz w:val="14"/>
                <w:szCs w:val="14"/>
                <w:color w:val="auto"/>
              </w:rPr>
            </w:pPr>
          </w:p>
        </w:tc>
        <w:tc>
          <w:tcPr>
            <w:tcW w:w="1440" w:type="dxa"/>
            <w:vAlign w:val="bottom"/>
            <w:gridSpan w:val="2"/>
          </w:tcPr>
          <w:p>
            <w:pPr>
              <w:ind w:left="500"/>
              <w:spacing w:after="0"/>
              <w:rPr>
                <w:sz w:val="20"/>
                <w:szCs w:val="20"/>
                <w:color w:val="auto"/>
              </w:rPr>
            </w:pPr>
            <w:r>
              <w:rPr>
                <w:rFonts w:ascii="Arial" w:cs="Arial" w:eastAsia="Arial" w:hAnsi="Arial"/>
                <w:sz w:val="13"/>
                <w:szCs w:val="13"/>
                <w:b w:val="1"/>
                <w:bCs w:val="1"/>
                <w:color w:val="auto"/>
              </w:rPr>
              <w:t>Status</w:t>
            </w:r>
          </w:p>
        </w:tc>
        <w:tc>
          <w:tcPr>
            <w:tcW w:w="120" w:type="dxa"/>
            <w:vAlign w:val="bottom"/>
          </w:tcPr>
          <w:p>
            <w:pPr>
              <w:spacing w:after="0"/>
              <w:rPr>
                <w:sz w:val="14"/>
                <w:szCs w:val="14"/>
                <w:color w:val="auto"/>
              </w:rPr>
            </w:pPr>
          </w:p>
        </w:tc>
        <w:tc>
          <w:tcPr>
            <w:tcW w:w="2320" w:type="dxa"/>
            <w:vAlign w:val="bottom"/>
          </w:tcPr>
          <w:p>
            <w:pPr>
              <w:ind w:left="760"/>
              <w:spacing w:after="0"/>
              <w:rPr>
                <w:sz w:val="20"/>
                <w:szCs w:val="20"/>
                <w:color w:val="auto"/>
              </w:rPr>
            </w:pPr>
            <w:r>
              <w:rPr>
                <w:rFonts w:ascii="Arial" w:cs="Arial" w:eastAsia="Arial" w:hAnsi="Arial"/>
                <w:sz w:val="13"/>
                <w:szCs w:val="13"/>
                <w:b w:val="1"/>
                <w:bCs w:val="1"/>
                <w:color w:val="auto"/>
              </w:rPr>
              <w:t>Trial Design</w:t>
            </w:r>
          </w:p>
        </w:tc>
      </w:tr>
      <w:tr>
        <w:trPr>
          <w:trHeight w:val="112"/>
        </w:trPr>
        <w:tc>
          <w:tcPr>
            <w:tcW w:w="134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89"/>
              </w:rPr>
              <w:t>Phase 1</w:t>
            </w:r>
          </w:p>
        </w:tc>
        <w:tc>
          <w:tcPr>
            <w:tcW w:w="120" w:type="dxa"/>
            <w:vAlign w:val="bottom"/>
          </w:tcPr>
          <w:p>
            <w:pPr>
              <w:spacing w:after="0"/>
              <w:rPr>
                <w:sz w:val="9"/>
                <w:szCs w:val="9"/>
                <w:color w:val="auto"/>
              </w:rPr>
            </w:pPr>
          </w:p>
        </w:tc>
        <w:tc>
          <w:tcPr>
            <w:tcW w:w="1340" w:type="dxa"/>
            <w:vAlign w:val="bottom"/>
            <w:tcBorders>
              <w:top w:val="single" w:sz="8" w:color="auto"/>
            </w:tcBorders>
          </w:tcPr>
          <w:p>
            <w:pPr>
              <w:spacing w:after="0" w:line="113" w:lineRule="exact"/>
              <w:rPr>
                <w:sz w:val="20"/>
                <w:szCs w:val="20"/>
                <w:color w:val="auto"/>
              </w:rPr>
            </w:pPr>
            <w:r>
              <w:rPr>
                <w:rFonts w:ascii="Arial" w:cs="Arial" w:eastAsia="Arial" w:hAnsi="Arial"/>
                <w:sz w:val="13"/>
                <w:szCs w:val="13"/>
                <w:color w:val="auto"/>
              </w:rPr>
              <w:t>Completed; Results</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line="113" w:lineRule="exact"/>
              <w:rPr>
                <w:sz w:val="20"/>
                <w:szCs w:val="20"/>
                <w:color w:val="auto"/>
              </w:rPr>
            </w:pPr>
            <w:r>
              <w:rPr>
                <w:rFonts w:ascii="Arial" w:cs="Arial" w:eastAsia="Arial" w:hAnsi="Arial"/>
                <w:sz w:val="13"/>
                <w:szCs w:val="13"/>
                <w:color w:val="auto"/>
              </w:rPr>
              <w:t>•</w:t>
            </w:r>
          </w:p>
        </w:tc>
        <w:tc>
          <w:tcPr>
            <w:tcW w:w="2320" w:type="dxa"/>
            <w:vAlign w:val="bottom"/>
            <w:tcBorders>
              <w:top w:val="single" w:sz="8" w:color="auto"/>
            </w:tcBorders>
          </w:tcPr>
          <w:p>
            <w:pPr>
              <w:ind w:left="80"/>
              <w:spacing w:after="0" w:line="113" w:lineRule="exact"/>
              <w:rPr>
                <w:sz w:val="20"/>
                <w:szCs w:val="20"/>
                <w:color w:val="auto"/>
              </w:rPr>
            </w:pPr>
            <w:r>
              <w:rPr>
                <w:rFonts w:ascii="Arial" w:cs="Arial" w:eastAsia="Arial" w:hAnsi="Arial"/>
                <w:sz w:val="13"/>
                <w:szCs w:val="13"/>
                <w:color w:val="auto"/>
              </w:rPr>
              <w:t>Prospective, multi-center, non-</w:t>
            </w:r>
          </w:p>
        </w:tc>
      </w:tr>
      <w:tr>
        <w:trPr>
          <w:trHeight w:val="138"/>
        </w:trPr>
        <w:tc>
          <w:tcPr>
            <w:tcW w:w="1340" w:type="dxa"/>
            <w:vAlign w:val="bottom"/>
          </w:tcPr>
          <w:p>
            <w:pPr>
              <w:spacing w:after="0"/>
              <w:rPr>
                <w:sz w:val="12"/>
                <w:szCs w:val="12"/>
                <w:color w:val="auto"/>
              </w:rPr>
            </w:pPr>
          </w:p>
        </w:tc>
        <w:tc>
          <w:tcPr>
            <w:tcW w:w="1560" w:type="dxa"/>
            <w:vAlign w:val="bottom"/>
            <w:gridSpan w:val="3"/>
          </w:tcPr>
          <w:p>
            <w:pPr>
              <w:ind w:left="120"/>
              <w:spacing w:after="0" w:line="138" w:lineRule="exact"/>
              <w:rPr>
                <w:sz w:val="20"/>
                <w:szCs w:val="20"/>
                <w:color w:val="auto"/>
              </w:rPr>
            </w:pPr>
            <w:r>
              <w:rPr>
                <w:rFonts w:ascii="Arial" w:cs="Arial" w:eastAsia="Arial" w:hAnsi="Arial"/>
                <w:sz w:val="13"/>
                <w:szCs w:val="13"/>
                <w:color w:val="auto"/>
              </w:rPr>
              <w:t>presented in October</w:t>
            </w:r>
          </w:p>
        </w:tc>
        <w:tc>
          <w:tcPr>
            <w:tcW w:w="120" w:type="dxa"/>
            <w:vAlign w:val="bottom"/>
          </w:tcPr>
          <w:p>
            <w:pPr>
              <w:spacing w:after="0"/>
              <w:rPr>
                <w:sz w:val="12"/>
                <w:szCs w:val="12"/>
                <w:color w:val="auto"/>
              </w:rPr>
            </w:pPr>
          </w:p>
        </w:tc>
        <w:tc>
          <w:tcPr>
            <w:tcW w:w="2320" w:type="dxa"/>
            <w:vAlign w:val="bottom"/>
          </w:tcPr>
          <w:p>
            <w:pPr>
              <w:ind w:left="80"/>
              <w:spacing w:after="0" w:line="138" w:lineRule="exact"/>
              <w:rPr>
                <w:sz w:val="20"/>
                <w:szCs w:val="20"/>
                <w:color w:val="auto"/>
              </w:rPr>
            </w:pPr>
            <w:r>
              <w:rPr>
                <w:rFonts w:ascii="Arial" w:cs="Arial" w:eastAsia="Arial" w:hAnsi="Arial"/>
                <w:sz w:val="13"/>
                <w:szCs w:val="13"/>
                <w:color w:val="auto"/>
              </w:rPr>
              <w:t>randomized, single-arm, open-label</w:t>
            </w:r>
          </w:p>
        </w:tc>
      </w:tr>
      <w:tr>
        <w:trPr>
          <w:trHeight w:val="171"/>
        </w:trPr>
        <w:tc>
          <w:tcPr>
            <w:tcW w:w="13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Arial" w:cs="Arial" w:eastAsia="Arial" w:hAnsi="Arial"/>
                <w:sz w:val="13"/>
                <w:szCs w:val="13"/>
                <w:color w:val="auto"/>
              </w:rPr>
              <w:t>clinical trial</w:t>
            </w:r>
          </w:p>
        </w:tc>
      </w:tr>
      <w:tr>
        <w:trPr>
          <w:trHeight w:val="218"/>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  25 week trial, including 24 week</w:t>
            </w:r>
          </w:p>
        </w:tc>
      </w:tr>
      <w:tr>
        <w:trPr>
          <w:trHeight w:val="13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ind w:left="80"/>
              <w:spacing w:after="0" w:line="138" w:lineRule="exact"/>
              <w:rPr>
                <w:sz w:val="20"/>
                <w:szCs w:val="20"/>
                <w:color w:val="auto"/>
              </w:rPr>
            </w:pPr>
            <w:r>
              <w:rPr>
                <w:rFonts w:ascii="Arial" w:cs="Arial" w:eastAsia="Arial" w:hAnsi="Arial"/>
                <w:sz w:val="13"/>
                <w:szCs w:val="13"/>
                <w:color w:val="auto"/>
              </w:rPr>
              <w:t>treatment period, plus one week post-</w:t>
            </w:r>
          </w:p>
        </w:tc>
      </w:tr>
      <w:tr>
        <w:trPr>
          <w:trHeight w:val="171"/>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Arial" w:cs="Arial" w:eastAsia="Arial" w:hAnsi="Arial"/>
                <w:sz w:val="13"/>
                <w:szCs w:val="13"/>
                <w:color w:val="auto"/>
              </w:rPr>
              <w:t>removal</w:t>
            </w:r>
          </w:p>
        </w:tc>
      </w:tr>
      <w:tr>
        <w:trPr>
          <w:trHeight w:val="251"/>
        </w:trPr>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  Bilateral 2,500 mg dose</w:t>
            </w:r>
          </w:p>
        </w:tc>
      </w:tr>
      <w:tr>
        <w:trPr>
          <w:trHeight w:val="251"/>
        </w:trPr>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2320" w:type="dxa"/>
            <w:vAlign w:val="bottom"/>
          </w:tcPr>
          <w:p>
            <w:pPr>
              <w:ind w:left="80"/>
              <w:spacing w:after="0"/>
              <w:rPr>
                <w:sz w:val="20"/>
                <w:szCs w:val="20"/>
                <w:color w:val="auto"/>
              </w:rPr>
            </w:pPr>
            <w:r>
              <w:rPr>
                <w:rFonts w:ascii="Arial" w:cs="Arial" w:eastAsia="Arial" w:hAnsi="Arial"/>
                <w:sz w:val="13"/>
                <w:szCs w:val="13"/>
                <w:color w:val="auto"/>
              </w:rPr>
              <w:t>20 patients</w:t>
            </w:r>
          </w:p>
        </w:tc>
      </w:tr>
      <w:tr>
        <w:trPr>
          <w:trHeight w:val="251"/>
        </w:trPr>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2320" w:type="dxa"/>
            <w:vAlign w:val="bottom"/>
          </w:tcPr>
          <w:p>
            <w:pPr>
              <w:ind w:left="80"/>
              <w:spacing w:after="0"/>
              <w:rPr>
                <w:sz w:val="20"/>
                <w:szCs w:val="20"/>
                <w:color w:val="auto"/>
              </w:rPr>
            </w:pPr>
            <w:r>
              <w:rPr>
                <w:rFonts w:ascii="Arial" w:cs="Arial" w:eastAsia="Arial" w:hAnsi="Arial"/>
                <w:sz w:val="13"/>
                <w:szCs w:val="13"/>
                <w:color w:val="auto"/>
              </w:rPr>
              <w:t>5 study sites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0"/>
        <w:spacing w:after="0"/>
        <w:tabs>
          <w:tab w:leader="none" w:pos="1940" w:val="left"/>
          <w:tab w:leader="none" w:pos="3380" w:val="left"/>
          <w:tab w:leader="none" w:pos="3580" w:val="left"/>
        </w:tabs>
        <w:rPr>
          <w:sz w:val="20"/>
          <w:szCs w:val="20"/>
          <w:color w:val="auto"/>
        </w:rPr>
      </w:pPr>
      <w:r>
        <w:rPr>
          <w:rFonts w:ascii="Arial" w:cs="Arial" w:eastAsia="Arial" w:hAnsi="Arial"/>
          <w:sz w:val="13"/>
          <w:szCs w:val="13"/>
          <w:b w:val="1"/>
          <w:bCs w:val="1"/>
          <w:color w:val="auto"/>
        </w:rPr>
        <w:t>Phase 2 (LANTERN)</w:t>
      </w:r>
      <w:r>
        <w:rPr>
          <w:sz w:val="20"/>
          <w:szCs w:val="20"/>
          <w:color w:val="auto"/>
        </w:rPr>
        <w:tab/>
      </w:r>
      <w:r>
        <w:rPr>
          <w:rFonts w:ascii="Arial" w:cs="Arial" w:eastAsia="Arial" w:hAnsi="Arial"/>
          <w:sz w:val="13"/>
          <w:szCs w:val="13"/>
          <w:color w:val="auto"/>
        </w:rPr>
        <w:t>Initiated May 2019</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Randomized, blinded, sham-controlled,</w:t>
      </w:r>
    </w:p>
    <w:p>
      <w:pPr>
        <w:spacing w:after="0" w:line="3" w:lineRule="exact"/>
        <w:rPr>
          <w:sz w:val="20"/>
          <w:szCs w:val="20"/>
          <w:color w:val="auto"/>
        </w:rPr>
      </w:pPr>
    </w:p>
    <w:p>
      <w:pPr>
        <w:ind w:left="3600"/>
        <w:spacing w:after="0"/>
        <w:rPr>
          <w:sz w:val="20"/>
          <w:szCs w:val="20"/>
          <w:color w:val="auto"/>
        </w:rPr>
      </w:pPr>
      <w:r>
        <w:rPr>
          <w:rFonts w:ascii="Arial" w:cs="Arial" w:eastAsia="Arial" w:hAnsi="Arial"/>
          <w:sz w:val="12"/>
          <w:szCs w:val="12"/>
          <w:color w:val="auto"/>
        </w:rPr>
        <w:t>dose-ranging, parallel-group clinical trial</w:t>
      </w:r>
    </w:p>
    <w:p>
      <w:pPr>
        <w:spacing w:after="0" w:line="101" w:lineRule="exact"/>
        <w:rPr>
          <w:sz w:val="20"/>
          <w:szCs w:val="20"/>
          <w:color w:val="auto"/>
        </w:rPr>
      </w:pPr>
    </w:p>
    <w:p>
      <w:pPr>
        <w:ind w:left="3400"/>
        <w:spacing w:after="0"/>
        <w:tabs>
          <w:tab w:leader="none" w:pos="3580" w:val="left"/>
        </w:tabs>
        <w:rPr>
          <w:sz w:val="20"/>
          <w:szCs w:val="20"/>
          <w:color w:val="auto"/>
        </w:rPr>
      </w:pPr>
      <w:r>
        <w:rPr>
          <w:rFonts w:ascii="Arial" w:cs="Arial" w:eastAsia="Arial" w:hAnsi="Arial"/>
          <w:sz w:val="12"/>
          <w:szCs w:val="12"/>
          <w:color w:val="auto"/>
        </w:rPr>
        <w:t>•</w:t>
        <w:tab/>
        <w:t>24 week treatment period, plus 24 week</w:t>
      </w:r>
    </w:p>
    <w:p>
      <w:pPr>
        <w:spacing w:after="0" w:line="12" w:lineRule="exact"/>
        <w:rPr>
          <w:sz w:val="20"/>
          <w:szCs w:val="20"/>
          <w:color w:val="auto"/>
        </w:rPr>
      </w:pPr>
    </w:p>
    <w:p>
      <w:pPr>
        <w:ind w:left="3600"/>
        <w:spacing w:after="0"/>
        <w:rPr>
          <w:sz w:val="20"/>
          <w:szCs w:val="20"/>
          <w:color w:val="auto"/>
        </w:rPr>
      </w:pPr>
      <w:r>
        <w:rPr>
          <w:rFonts w:ascii="Arial" w:cs="Arial" w:eastAsia="Arial" w:hAnsi="Arial"/>
          <w:sz w:val="13"/>
          <w:szCs w:val="13"/>
          <w:color w:val="auto"/>
        </w:rPr>
        <w:t>safety follow up post-removal</w:t>
      </w:r>
    </w:p>
    <w:p>
      <w:pPr>
        <w:spacing w:after="0" w:line="90" w:lineRule="exact"/>
        <w:rPr>
          <w:sz w:val="20"/>
          <w:szCs w:val="20"/>
          <w:color w:val="auto"/>
        </w:rPr>
      </w:pPr>
    </w:p>
    <w:p>
      <w:pPr>
        <w:ind w:left="3400"/>
        <w:spacing w:after="0"/>
        <w:tabs>
          <w:tab w:leader="none" w:pos="3580" w:val="left"/>
        </w:tabs>
        <w:rPr>
          <w:sz w:val="20"/>
          <w:szCs w:val="20"/>
          <w:color w:val="auto"/>
        </w:rPr>
      </w:pPr>
      <w:r>
        <w:rPr>
          <w:rFonts w:ascii="Arial" w:cs="Arial" w:eastAsia="Arial" w:hAnsi="Arial"/>
          <w:sz w:val="13"/>
          <w:szCs w:val="13"/>
          <w:color w:val="auto"/>
        </w:rPr>
        <w:t>•</w:t>
        <w:tab/>
        <w:t>Bilateral 2,500 mg or 7,500 mg dose</w:t>
      </w:r>
    </w:p>
    <w:p>
      <w:pPr>
        <w:spacing w:after="0" w:line="102" w:lineRule="exact"/>
        <w:rPr>
          <w:sz w:val="20"/>
          <w:szCs w:val="20"/>
          <w:color w:val="auto"/>
        </w:rPr>
      </w:pPr>
    </w:p>
    <w:p>
      <w:pPr>
        <w:ind w:left="3400"/>
        <w:spacing w:after="0"/>
        <w:tabs>
          <w:tab w:leader="none" w:pos="3580" w:val="left"/>
        </w:tabs>
        <w:rPr>
          <w:sz w:val="20"/>
          <w:szCs w:val="20"/>
          <w:color w:val="auto"/>
        </w:rPr>
      </w:pPr>
      <w:r>
        <w:rPr>
          <w:rFonts w:ascii="Arial" w:cs="Arial" w:eastAsia="Arial" w:hAnsi="Arial"/>
          <w:sz w:val="12"/>
          <w:szCs w:val="12"/>
          <w:color w:val="auto"/>
        </w:rPr>
        <w:t>•</w:t>
        <w:tab/>
        <w:t>99 evaluable patients with the option to</w:t>
      </w:r>
    </w:p>
    <w:p>
      <w:pPr>
        <w:spacing w:after="0" w:line="12" w:lineRule="exact"/>
        <w:rPr>
          <w:sz w:val="20"/>
          <w:szCs w:val="20"/>
          <w:color w:val="auto"/>
        </w:rPr>
      </w:pPr>
    </w:p>
    <w:p>
      <w:pPr>
        <w:ind w:left="3600"/>
        <w:spacing w:after="0"/>
        <w:rPr>
          <w:sz w:val="20"/>
          <w:szCs w:val="20"/>
          <w:color w:val="auto"/>
        </w:rPr>
      </w:pPr>
      <w:r>
        <w:rPr>
          <w:rFonts w:ascii="Arial" w:cs="Arial" w:eastAsia="Arial" w:hAnsi="Arial"/>
          <w:sz w:val="12"/>
          <w:szCs w:val="12"/>
          <w:color w:val="auto"/>
        </w:rPr>
        <w:t>increase to up to 150 patients. Enrollment</w:t>
      </w:r>
    </w:p>
    <w:p>
      <w:pPr>
        <w:ind w:left="3600"/>
        <w:spacing w:after="0" w:line="221" w:lineRule="auto"/>
        <w:rPr>
          <w:sz w:val="20"/>
          <w:szCs w:val="20"/>
          <w:color w:val="auto"/>
        </w:rPr>
      </w:pPr>
      <w:r>
        <w:rPr>
          <w:rFonts w:ascii="Arial" w:cs="Arial" w:eastAsia="Arial" w:hAnsi="Arial"/>
          <w:sz w:val="13"/>
          <w:szCs w:val="13"/>
          <w:color w:val="auto"/>
        </w:rPr>
        <w:t>discontinued at 67 patients due to</w:t>
      </w:r>
    </w:p>
    <w:p>
      <w:pPr>
        <w:spacing w:after="0" w:line="1" w:lineRule="exact"/>
        <w:rPr>
          <w:sz w:val="20"/>
          <w:szCs w:val="20"/>
          <w:color w:val="auto"/>
        </w:rPr>
      </w:pPr>
    </w:p>
    <w:p>
      <w:pPr>
        <w:ind w:left="3600"/>
        <w:spacing w:after="0"/>
        <w:rPr>
          <w:sz w:val="20"/>
          <w:szCs w:val="20"/>
          <w:color w:val="auto"/>
        </w:rPr>
      </w:pPr>
      <w:r>
        <w:rPr>
          <w:rFonts w:ascii="Arial" w:cs="Arial" w:eastAsia="Arial" w:hAnsi="Arial"/>
          <w:sz w:val="13"/>
          <w:szCs w:val="13"/>
          <w:color w:val="auto"/>
        </w:rPr>
        <w:t>COVID-19 pandemic</w:t>
      </w:r>
    </w:p>
    <w:p>
      <w:pPr>
        <w:spacing w:after="0" w:line="90" w:lineRule="exact"/>
        <w:rPr>
          <w:sz w:val="20"/>
          <w:szCs w:val="20"/>
          <w:color w:val="auto"/>
        </w:rPr>
      </w:pPr>
    </w:p>
    <w:p>
      <w:pPr>
        <w:ind w:left="3400"/>
        <w:spacing w:after="0"/>
        <w:tabs>
          <w:tab w:leader="none" w:pos="3580" w:val="left"/>
        </w:tabs>
        <w:rPr>
          <w:sz w:val="20"/>
          <w:szCs w:val="20"/>
          <w:color w:val="auto"/>
        </w:rPr>
      </w:pPr>
      <w:r>
        <w:rPr>
          <w:rFonts w:ascii="Arial" w:cs="Arial" w:eastAsia="Arial" w:hAnsi="Arial"/>
          <w:sz w:val="13"/>
          <w:szCs w:val="13"/>
          <w:color w:val="auto"/>
        </w:rPr>
        <w:t>•</w:t>
        <w:tab/>
        <w:t>Up to 50 study sites globally</w:t>
      </w:r>
    </w:p>
    <w:p>
      <w:pPr>
        <w:spacing w:after="0" w:line="107"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Phase 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2340" w:type="dxa"/>
            <w:vAlign w:val="bottom"/>
            <w:gridSpan w:val="2"/>
          </w:tcPr>
          <w:p>
            <w:pPr>
              <w:ind w:left="600"/>
              <w:spacing w:after="0"/>
              <w:rPr>
                <w:sz w:val="20"/>
                <w:szCs w:val="20"/>
                <w:color w:val="auto"/>
              </w:rPr>
            </w:pPr>
            <w:r>
              <w:rPr>
                <w:rFonts w:ascii="Arial" w:cs="Arial" w:eastAsia="Arial" w:hAnsi="Arial"/>
                <w:sz w:val="13"/>
                <w:szCs w:val="13"/>
                <w:b w:val="1"/>
                <w:bCs w:val="1"/>
                <w:color w:val="auto"/>
              </w:rPr>
              <w:t>Trial Objectives</w:t>
            </w:r>
          </w:p>
        </w:tc>
        <w:tc>
          <w:tcPr>
            <w:tcW w:w="2340" w:type="dxa"/>
            <w:vAlign w:val="bottom"/>
          </w:tcPr>
          <w:p>
            <w:pPr>
              <w:ind w:left="800"/>
              <w:spacing w:after="0"/>
              <w:rPr>
                <w:sz w:val="20"/>
                <w:szCs w:val="20"/>
                <w:color w:val="auto"/>
              </w:rPr>
            </w:pPr>
            <w:r>
              <w:rPr>
                <w:rFonts w:ascii="Arial" w:cs="Arial" w:eastAsia="Arial" w:hAnsi="Arial"/>
                <w:sz w:val="13"/>
                <w:szCs w:val="13"/>
                <w:b w:val="1"/>
                <w:bCs w:val="1"/>
                <w:color w:val="auto"/>
              </w:rPr>
              <w:t>Trial Results</w:t>
            </w:r>
          </w:p>
        </w:tc>
        <w:tc>
          <w:tcPr>
            <w:tcW w:w="0" w:type="dxa"/>
            <w:vAlign w:val="bottom"/>
          </w:tcPr>
          <w:p>
            <w:pPr>
              <w:spacing w:after="0"/>
              <w:rPr>
                <w:sz w:val="1"/>
                <w:szCs w:val="1"/>
                <w:color w:val="auto"/>
              </w:rPr>
            </w:pPr>
          </w:p>
        </w:tc>
      </w:tr>
      <w:tr>
        <w:trPr>
          <w:trHeight w:val="112"/>
        </w:trPr>
        <w:tc>
          <w:tcPr>
            <w:tcW w:w="2340" w:type="dxa"/>
            <w:vAlign w:val="bottom"/>
            <w:tcBorders>
              <w:top w:val="single" w:sz="8" w:color="auto"/>
            </w:tcBorders>
            <w:gridSpan w:val="2"/>
          </w:tcPr>
          <w:p>
            <w:pPr>
              <w:spacing w:after="0" w:line="113" w:lineRule="exact"/>
              <w:rPr>
                <w:sz w:val="20"/>
                <w:szCs w:val="20"/>
                <w:color w:val="auto"/>
              </w:rPr>
            </w:pPr>
            <w:r>
              <w:rPr>
                <w:rFonts w:ascii="Arial" w:cs="Arial" w:eastAsia="Arial" w:hAnsi="Arial"/>
                <w:sz w:val="13"/>
                <w:szCs w:val="13"/>
                <w:color w:val="auto"/>
                <w:w w:val="95"/>
              </w:rPr>
              <w:t>•  Study objective: Evaluate the safety and</w:t>
            </w:r>
          </w:p>
        </w:tc>
        <w:tc>
          <w:tcPr>
            <w:tcW w:w="100" w:type="dxa"/>
            <w:vAlign w:val="bottom"/>
          </w:tcPr>
          <w:p>
            <w:pPr>
              <w:spacing w:after="0"/>
              <w:rPr>
                <w:sz w:val="9"/>
                <w:szCs w:val="9"/>
                <w:color w:val="auto"/>
              </w:rPr>
            </w:pPr>
          </w:p>
        </w:tc>
        <w:tc>
          <w:tcPr>
            <w:tcW w:w="2340" w:type="dxa"/>
            <w:vAlign w:val="bottom"/>
            <w:tcBorders>
              <w:top w:val="single" w:sz="8" w:color="auto"/>
            </w:tcBorders>
          </w:tcPr>
          <w:p>
            <w:pPr>
              <w:spacing w:after="0" w:line="113" w:lineRule="exact"/>
              <w:rPr>
                <w:sz w:val="20"/>
                <w:szCs w:val="20"/>
                <w:color w:val="auto"/>
              </w:rPr>
            </w:pPr>
            <w:r>
              <w:rPr>
                <w:rFonts w:ascii="Arial" w:cs="Arial" w:eastAsia="Arial" w:hAnsi="Arial"/>
                <w:sz w:val="13"/>
                <w:szCs w:val="13"/>
                <w:color w:val="auto"/>
              </w:rPr>
              <w:t>•  Primary safety endpoint achieved /</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34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feasibility over 24 weeks of continuous</w:t>
            </w:r>
          </w:p>
        </w:tc>
        <w:tc>
          <w:tcPr>
            <w:tcW w:w="2340" w:type="dxa"/>
            <w:vAlign w:val="bottom"/>
          </w:tcPr>
          <w:p>
            <w:pPr>
              <w:ind w:left="200"/>
              <w:spacing w:after="0" w:line="138" w:lineRule="exact"/>
              <w:rPr>
                <w:sz w:val="20"/>
                <w:szCs w:val="20"/>
                <w:color w:val="auto"/>
              </w:rPr>
            </w:pPr>
            <w:r>
              <w:rPr>
                <w:rFonts w:ascii="Arial" w:cs="Arial" w:eastAsia="Arial" w:hAnsi="Arial"/>
                <w:sz w:val="13"/>
                <w:szCs w:val="13"/>
                <w:color w:val="auto"/>
              </w:rPr>
              <w:t>2,500 mg was well tolerated during</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34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anti-inflammatory treatment with a</w:t>
            </w:r>
          </w:p>
        </w:tc>
        <w:tc>
          <w:tcPr>
            <w:tcW w:w="2340" w:type="dxa"/>
            <w:vAlign w:val="bottom"/>
          </w:tcPr>
          <w:p>
            <w:pPr>
              <w:ind w:left="200"/>
              <w:spacing w:after="0" w:line="138" w:lineRule="exact"/>
              <w:rPr>
                <w:sz w:val="20"/>
                <w:szCs w:val="20"/>
                <w:color w:val="auto"/>
              </w:rPr>
            </w:pPr>
            <w:r>
              <w:rPr>
                <w:rFonts w:ascii="Arial" w:cs="Arial" w:eastAsia="Arial" w:hAnsi="Arial"/>
                <w:sz w:val="13"/>
                <w:szCs w:val="13"/>
                <w:color w:val="auto"/>
              </w:rPr>
              <w:t>entire duration of treatment</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340" w:type="dxa"/>
            <w:vAlign w:val="bottom"/>
            <w:gridSpan w:val="2"/>
          </w:tcPr>
          <w:p>
            <w:pPr>
              <w:ind w:left="100"/>
              <w:spacing w:after="0"/>
              <w:rPr>
                <w:sz w:val="20"/>
                <w:szCs w:val="20"/>
                <w:color w:val="auto"/>
              </w:rPr>
            </w:pPr>
            <w:r>
              <w:rPr>
                <w:rFonts w:ascii="Arial" w:cs="Arial" w:eastAsia="Arial" w:hAnsi="Arial"/>
                <w:sz w:val="13"/>
                <w:szCs w:val="13"/>
                <w:color w:val="auto"/>
              </w:rPr>
              <w:t>single administration of LYR-210</w:t>
            </w:r>
          </w:p>
        </w:tc>
        <w:tc>
          <w:tcPr>
            <w:tcW w:w="2340" w:type="dxa"/>
            <w:vAlign w:val="bottom"/>
            <w:vMerge w:val="restart"/>
          </w:tcPr>
          <w:p>
            <w:pPr>
              <w:spacing w:after="0"/>
              <w:rPr>
                <w:sz w:val="20"/>
                <w:szCs w:val="20"/>
                <w:color w:val="auto"/>
              </w:rPr>
            </w:pPr>
            <w:r>
              <w:rPr>
                <w:rFonts w:ascii="Arial" w:cs="Arial" w:eastAsia="Arial" w:hAnsi="Arial"/>
                <w:sz w:val="13"/>
                <w:szCs w:val="13"/>
                <w:color w:val="auto"/>
              </w:rPr>
              <w:t>•  Significant and rapid, clinically</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line="138" w:lineRule="exact"/>
              <w:rPr>
                <w:sz w:val="20"/>
                <w:szCs w:val="20"/>
                <w:color w:val="auto"/>
              </w:rPr>
            </w:pPr>
            <w:r>
              <w:rPr>
                <w:rFonts w:ascii="Arial" w:cs="Arial" w:eastAsia="Arial" w:hAnsi="Arial"/>
                <w:sz w:val="13"/>
                <w:szCs w:val="13"/>
                <w:color w:val="auto"/>
              </w:rPr>
              <w:t>•</w:t>
            </w:r>
          </w:p>
        </w:tc>
        <w:tc>
          <w:tcPr>
            <w:tcW w:w="2340" w:type="dxa"/>
            <w:vAlign w:val="bottom"/>
            <w:gridSpan w:val="2"/>
          </w:tcPr>
          <w:p>
            <w:pPr>
              <w:ind w:left="80"/>
              <w:spacing w:after="0" w:line="138" w:lineRule="exact"/>
              <w:rPr>
                <w:sz w:val="20"/>
                <w:szCs w:val="20"/>
                <w:color w:val="auto"/>
              </w:rPr>
            </w:pPr>
            <w:r>
              <w:rPr>
                <w:rFonts w:ascii="Arial" w:cs="Arial" w:eastAsia="Arial" w:hAnsi="Arial"/>
                <w:sz w:val="13"/>
                <w:szCs w:val="13"/>
                <w:color w:val="auto"/>
              </w:rPr>
              <w:t>Primary endpoint: Product-related</w:t>
            </w:r>
          </w:p>
        </w:tc>
        <w:tc>
          <w:tcPr>
            <w:tcW w:w="2340" w:type="dxa"/>
            <w:vAlign w:val="bottom"/>
          </w:tcPr>
          <w:p>
            <w:pPr>
              <w:ind w:left="200"/>
              <w:spacing w:after="0" w:line="138" w:lineRule="exact"/>
              <w:rPr>
                <w:sz w:val="20"/>
                <w:szCs w:val="20"/>
                <w:color w:val="auto"/>
              </w:rPr>
            </w:pPr>
            <w:r>
              <w:rPr>
                <w:rFonts w:ascii="Arial" w:cs="Arial" w:eastAsia="Arial" w:hAnsi="Arial"/>
                <w:sz w:val="13"/>
                <w:szCs w:val="13"/>
                <w:color w:val="auto"/>
                <w:w w:val="98"/>
              </w:rPr>
              <w:t>meaningful and durable improvement</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340" w:type="dxa"/>
            <w:vAlign w:val="bottom"/>
            <w:gridSpan w:val="2"/>
          </w:tcPr>
          <w:p>
            <w:pPr>
              <w:ind w:left="100"/>
              <w:spacing w:after="0" w:line="138" w:lineRule="exact"/>
              <w:rPr>
                <w:sz w:val="20"/>
                <w:szCs w:val="20"/>
                <w:color w:val="auto"/>
              </w:rPr>
            </w:pPr>
            <w:r>
              <w:rPr>
                <w:rFonts w:ascii="Arial" w:cs="Arial" w:eastAsia="Arial" w:hAnsi="Arial"/>
                <w:sz w:val="13"/>
                <w:szCs w:val="13"/>
                <w:color w:val="auto"/>
                <w:w w:val="96"/>
              </w:rPr>
              <w:t>serious adverse events from baseline to</w:t>
            </w:r>
          </w:p>
        </w:tc>
        <w:tc>
          <w:tcPr>
            <w:tcW w:w="2340" w:type="dxa"/>
            <w:vAlign w:val="bottom"/>
          </w:tcPr>
          <w:p>
            <w:pPr>
              <w:ind w:left="200"/>
              <w:spacing w:after="0" w:line="138" w:lineRule="exact"/>
              <w:rPr>
                <w:sz w:val="20"/>
                <w:szCs w:val="20"/>
                <w:color w:val="auto"/>
              </w:rPr>
            </w:pPr>
            <w:r>
              <w:rPr>
                <w:rFonts w:ascii="Arial" w:cs="Arial" w:eastAsia="Arial" w:hAnsi="Arial"/>
                <w:sz w:val="13"/>
                <w:szCs w:val="13"/>
                <w:color w:val="auto"/>
                <w:w w:val="94"/>
              </w:rPr>
              <w:t>in SNOT-22 scores was observed from</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340" w:type="dxa"/>
            <w:vAlign w:val="bottom"/>
            <w:gridSpan w:val="2"/>
          </w:tcPr>
          <w:p>
            <w:pPr>
              <w:ind w:left="100"/>
              <w:spacing w:after="0"/>
              <w:rPr>
                <w:sz w:val="20"/>
                <w:szCs w:val="20"/>
                <w:color w:val="auto"/>
              </w:rPr>
            </w:pPr>
            <w:r>
              <w:rPr>
                <w:rFonts w:ascii="Arial" w:cs="Arial" w:eastAsia="Arial" w:hAnsi="Arial"/>
                <w:sz w:val="13"/>
                <w:szCs w:val="13"/>
                <w:color w:val="auto"/>
              </w:rPr>
              <w:t>4 weeks post-procedure</w:t>
            </w:r>
          </w:p>
        </w:tc>
        <w:tc>
          <w:tcPr>
            <w:tcW w:w="2340" w:type="dxa"/>
            <w:vAlign w:val="bottom"/>
          </w:tcPr>
          <w:p>
            <w:pPr>
              <w:ind w:left="200"/>
              <w:spacing w:after="0"/>
              <w:rPr>
                <w:sz w:val="20"/>
                <w:szCs w:val="20"/>
                <w:color w:val="auto"/>
              </w:rPr>
            </w:pPr>
            <w:r>
              <w:rPr>
                <w:rFonts w:ascii="Arial" w:cs="Arial" w:eastAsia="Arial" w:hAnsi="Arial"/>
                <w:sz w:val="13"/>
                <w:szCs w:val="13"/>
                <w:color w:val="auto"/>
              </w:rPr>
              <w:t>week 1 through week 25</w:t>
            </w:r>
          </w:p>
        </w:tc>
        <w:tc>
          <w:tcPr>
            <w:tcW w:w="0" w:type="dxa"/>
            <w:vAlign w:val="bottom"/>
          </w:tcPr>
          <w:p>
            <w:pPr>
              <w:spacing w:after="0"/>
              <w:rPr>
                <w:sz w:val="1"/>
                <w:szCs w:val="1"/>
                <w:color w:val="auto"/>
              </w:rPr>
            </w:pPr>
          </w:p>
        </w:tc>
      </w:tr>
      <w:tr>
        <w:trPr>
          <w:trHeight w:val="218"/>
        </w:trPr>
        <w:tc>
          <w:tcPr>
            <w:tcW w:w="2440" w:type="dxa"/>
            <w:vAlign w:val="bottom"/>
            <w:gridSpan w:val="3"/>
          </w:tcPr>
          <w:p>
            <w:pPr>
              <w:spacing w:after="0"/>
              <w:rPr>
                <w:sz w:val="20"/>
                <w:szCs w:val="20"/>
                <w:color w:val="auto"/>
              </w:rPr>
            </w:pPr>
            <w:r>
              <w:rPr>
                <w:rFonts w:ascii="Arial" w:cs="Arial" w:eastAsia="Arial" w:hAnsi="Arial"/>
                <w:sz w:val="13"/>
                <w:szCs w:val="13"/>
                <w:color w:val="auto"/>
              </w:rPr>
              <w:t>•  Additional data collected: Morning</w:t>
            </w:r>
          </w:p>
        </w:tc>
        <w:tc>
          <w:tcPr>
            <w:tcW w:w="2340" w:type="dxa"/>
            <w:vAlign w:val="bottom"/>
          </w:tcPr>
          <w:p>
            <w:pPr>
              <w:ind w:left="400"/>
              <w:spacing w:after="0"/>
              <w:rPr>
                <w:sz w:val="20"/>
                <w:szCs w:val="20"/>
                <w:color w:val="auto"/>
              </w:rPr>
            </w:pPr>
            <w:r>
              <w:rPr>
                <w:rFonts w:ascii="Arial" w:cs="Arial" w:eastAsia="Arial" w:hAnsi="Arial"/>
                <w:sz w:val="13"/>
                <w:szCs w:val="13"/>
                <w:color w:val="auto"/>
              </w:rPr>
              <w:t>•  Average change in baseline</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34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serum cortisol, change in intraocular</w:t>
            </w: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w w:val="97"/>
              </w:rPr>
              <w:t>SNOT-22 score at week 1 was</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34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pressure, plasma pharmacokinetics,</w:t>
            </w: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rPr>
              <w:t>-13.0 points (P= 0.008 to pre-</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34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quality of life by SNOT-22 (secondary</w:t>
            </w: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rPr>
              <w:t>treatment)</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340" w:type="dxa"/>
            <w:vAlign w:val="bottom"/>
            <w:gridSpan w:val="2"/>
          </w:tcPr>
          <w:p>
            <w:pPr>
              <w:ind w:left="100"/>
              <w:spacing w:after="0"/>
              <w:rPr>
                <w:sz w:val="20"/>
                <w:szCs w:val="20"/>
                <w:color w:val="auto"/>
              </w:rPr>
            </w:pPr>
            <w:r>
              <w:rPr>
                <w:rFonts w:ascii="Arial" w:cs="Arial" w:eastAsia="Arial" w:hAnsi="Arial"/>
                <w:sz w:val="13"/>
                <w:szCs w:val="13"/>
                <w:color w:val="auto"/>
              </w:rPr>
              <w:t>endpoint), endoscopy and MRI</w:t>
            </w:r>
          </w:p>
        </w:tc>
        <w:tc>
          <w:tcPr>
            <w:tcW w:w="2340" w:type="dxa"/>
            <w:vAlign w:val="bottom"/>
            <w:vMerge w:val="restart"/>
          </w:tcPr>
          <w:p>
            <w:pPr>
              <w:ind w:left="400"/>
              <w:spacing w:after="0"/>
              <w:rPr>
                <w:sz w:val="20"/>
                <w:szCs w:val="20"/>
                <w:color w:val="auto"/>
              </w:rPr>
            </w:pPr>
            <w:r>
              <w:rPr>
                <w:rFonts w:ascii="Arial" w:cs="Arial" w:eastAsia="Arial" w:hAnsi="Arial"/>
                <w:sz w:val="13"/>
                <w:szCs w:val="13"/>
                <w:color w:val="auto"/>
                <w:w w:val="96"/>
              </w:rPr>
              <w:t>•  Symptom relief, as measured by</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w w:val="96"/>
              </w:rPr>
              <w:t>SNOT-22 score, was observed</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rPr>
              <w:t>through the entire duration of</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rPr>
              <w:t>study, achieving an average</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w w:val="99"/>
              </w:rPr>
              <w:t>change from baseline of -20.5</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w w:val="92"/>
              </w:rPr>
              <w:t>points at week 24 (P=0.00005 to</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rPr>
              <w:t>pre-treatment), which was the</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w w:val="92"/>
              </w:rPr>
              <w:t>end of the treatment period, and</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600"/>
              <w:spacing w:after="0" w:line="138" w:lineRule="exact"/>
              <w:rPr>
                <w:sz w:val="20"/>
                <w:szCs w:val="20"/>
                <w:color w:val="auto"/>
              </w:rPr>
            </w:pPr>
            <w:r>
              <w:rPr>
                <w:rFonts w:ascii="Arial" w:cs="Arial" w:eastAsia="Arial" w:hAnsi="Arial"/>
                <w:sz w:val="13"/>
                <w:szCs w:val="13"/>
                <w:color w:val="auto"/>
                <w:w w:val="98"/>
              </w:rPr>
              <w:t>-20.0 (p &lt; 0.0001) at week 25,</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ind w:left="600"/>
              <w:spacing w:after="0"/>
              <w:rPr>
                <w:sz w:val="20"/>
                <w:szCs w:val="20"/>
                <w:color w:val="auto"/>
              </w:rPr>
            </w:pPr>
            <w:r>
              <w:rPr>
                <w:rFonts w:ascii="Arial" w:cs="Arial" w:eastAsia="Arial" w:hAnsi="Arial"/>
                <w:sz w:val="13"/>
                <w:szCs w:val="13"/>
                <w:color w:val="auto"/>
                <w:w w:val="96"/>
              </w:rPr>
              <w:t>which was the end of the study</w:t>
            </w:r>
          </w:p>
        </w:tc>
        <w:tc>
          <w:tcPr>
            <w:tcW w:w="0" w:type="dxa"/>
            <w:vAlign w:val="bottom"/>
          </w:tcPr>
          <w:p>
            <w:pPr>
              <w:spacing w:after="0"/>
              <w:rPr>
                <w:sz w:val="1"/>
                <w:szCs w:val="1"/>
                <w:color w:val="auto"/>
              </w:rPr>
            </w:pPr>
          </w:p>
        </w:tc>
      </w:tr>
      <w:tr>
        <w:trPr>
          <w:trHeight w:val="218"/>
        </w:trPr>
        <w:tc>
          <w:tcPr>
            <w:tcW w:w="2440" w:type="dxa"/>
            <w:vAlign w:val="bottom"/>
            <w:gridSpan w:val="3"/>
          </w:tcPr>
          <w:p>
            <w:pPr>
              <w:spacing w:after="0"/>
              <w:rPr>
                <w:sz w:val="20"/>
                <w:szCs w:val="20"/>
                <w:color w:val="auto"/>
              </w:rPr>
            </w:pPr>
            <w:r>
              <w:rPr>
                <w:rFonts w:ascii="Arial" w:cs="Arial" w:eastAsia="Arial" w:hAnsi="Arial"/>
                <w:sz w:val="13"/>
                <w:szCs w:val="13"/>
                <w:color w:val="auto"/>
              </w:rPr>
              <w:t>•  Primary endpoint: Change in composite</w:t>
            </w:r>
          </w:p>
        </w:tc>
        <w:tc>
          <w:tcPr>
            <w:tcW w:w="2340" w:type="dxa"/>
            <w:vAlign w:val="bottom"/>
          </w:tcPr>
          <w:p>
            <w:pPr>
              <w:spacing w:after="0"/>
              <w:rPr>
                <w:sz w:val="20"/>
                <w:szCs w:val="20"/>
                <w:color w:val="auto"/>
              </w:rPr>
            </w:pPr>
            <w:r>
              <w:rPr>
                <w:rFonts w:ascii="Arial" w:cs="Arial" w:eastAsia="Arial" w:hAnsi="Arial"/>
                <w:sz w:val="13"/>
                <w:szCs w:val="13"/>
                <w:color w:val="auto"/>
                <w:w w:val="99"/>
              </w:rPr>
              <w:t>•  Enrollment discontinued at 67 patients</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34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score of 7-day average of 4 cardinal</w:t>
            </w:r>
          </w:p>
        </w:tc>
        <w:tc>
          <w:tcPr>
            <w:tcW w:w="2340" w:type="dxa"/>
            <w:vAlign w:val="bottom"/>
          </w:tcPr>
          <w:p>
            <w:pPr>
              <w:ind w:left="200"/>
              <w:spacing w:after="0" w:line="138" w:lineRule="exact"/>
              <w:rPr>
                <w:sz w:val="20"/>
                <w:szCs w:val="20"/>
                <w:color w:val="auto"/>
              </w:rPr>
            </w:pPr>
            <w:r>
              <w:rPr>
                <w:rFonts w:ascii="Arial" w:cs="Arial" w:eastAsia="Arial" w:hAnsi="Arial"/>
                <w:sz w:val="13"/>
                <w:szCs w:val="13"/>
                <w:color w:val="auto"/>
                <w:w w:val="95"/>
              </w:rPr>
              <w:t>due to COVID-19 pandemic; subject to</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34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symptoms from baseline at week 4</w:t>
            </w:r>
          </w:p>
        </w:tc>
        <w:tc>
          <w:tcPr>
            <w:tcW w:w="2340" w:type="dxa"/>
            <w:vAlign w:val="bottom"/>
          </w:tcPr>
          <w:p>
            <w:pPr>
              <w:ind w:left="200"/>
              <w:spacing w:after="0" w:line="138" w:lineRule="exact"/>
              <w:rPr>
                <w:sz w:val="20"/>
                <w:szCs w:val="20"/>
                <w:color w:val="auto"/>
              </w:rPr>
            </w:pPr>
            <w:r>
              <w:rPr>
                <w:rFonts w:ascii="Arial" w:cs="Arial" w:eastAsia="Arial" w:hAnsi="Arial"/>
                <w:sz w:val="13"/>
                <w:szCs w:val="13"/>
                <w:color w:val="auto"/>
                <w:w w:val="98"/>
              </w:rPr>
              <w:t>impact of COVID-19 on our business,</w:t>
            </w:r>
          </w:p>
        </w:tc>
        <w:tc>
          <w:tcPr>
            <w:tcW w:w="0" w:type="dxa"/>
            <w:vAlign w:val="bottom"/>
          </w:tcPr>
          <w:p>
            <w:pPr>
              <w:spacing w:after="0"/>
              <w:rPr>
                <w:sz w:val="1"/>
                <w:szCs w:val="1"/>
                <w:color w:val="auto"/>
              </w:rPr>
            </w:pPr>
          </w:p>
        </w:tc>
      </w:tr>
      <w:tr>
        <w:trPr>
          <w:trHeight w:val="138"/>
        </w:trPr>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2340" w:type="dxa"/>
            <w:vAlign w:val="bottom"/>
            <w:gridSpan w:val="2"/>
            <w:vMerge w:val="restart"/>
          </w:tcPr>
          <w:p>
            <w:pPr>
              <w:ind w:left="80"/>
              <w:spacing w:after="0"/>
              <w:rPr>
                <w:sz w:val="20"/>
                <w:szCs w:val="20"/>
                <w:color w:val="auto"/>
              </w:rPr>
            </w:pPr>
            <w:r>
              <w:rPr>
                <w:rFonts w:ascii="Arial" w:cs="Arial" w:eastAsia="Arial" w:hAnsi="Arial"/>
                <w:sz w:val="13"/>
                <w:szCs w:val="13"/>
                <w:color w:val="auto"/>
              </w:rPr>
              <w:t>Secondary objectives: Symptom</w:t>
            </w:r>
          </w:p>
        </w:tc>
        <w:tc>
          <w:tcPr>
            <w:tcW w:w="2340" w:type="dxa"/>
            <w:vAlign w:val="bottom"/>
          </w:tcPr>
          <w:p>
            <w:pPr>
              <w:ind w:left="200"/>
              <w:spacing w:after="0" w:line="138" w:lineRule="exact"/>
              <w:rPr>
                <w:sz w:val="20"/>
                <w:szCs w:val="20"/>
                <w:color w:val="auto"/>
              </w:rPr>
            </w:pPr>
            <w:r>
              <w:rPr>
                <w:rFonts w:ascii="Arial" w:cs="Arial" w:eastAsia="Arial" w:hAnsi="Arial"/>
                <w:sz w:val="13"/>
                <w:szCs w:val="13"/>
                <w:color w:val="auto"/>
                <w:w w:val="95"/>
              </w:rPr>
              <w:t>expect to complete data base lock and</w:t>
            </w:r>
          </w:p>
        </w:tc>
        <w:tc>
          <w:tcPr>
            <w:tcW w:w="0" w:type="dxa"/>
            <w:vAlign w:val="bottom"/>
          </w:tcPr>
          <w:p>
            <w:pPr>
              <w:spacing w:after="0"/>
              <w:rPr>
                <w:sz w:val="1"/>
                <w:szCs w:val="1"/>
                <w:color w:val="auto"/>
              </w:rPr>
            </w:pPr>
          </w:p>
        </w:tc>
      </w:tr>
      <w:tr>
        <w:trPr>
          <w:trHeight w:val="125"/>
        </w:trPr>
        <w:tc>
          <w:tcPr>
            <w:tcW w:w="100" w:type="dxa"/>
            <w:vAlign w:val="bottom"/>
            <w:vMerge w:val="continue"/>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340" w:type="dxa"/>
            <w:vAlign w:val="bottom"/>
          </w:tcPr>
          <w:p>
            <w:pPr>
              <w:ind w:left="200"/>
              <w:spacing w:after="0" w:line="125" w:lineRule="exact"/>
              <w:rPr>
                <w:sz w:val="20"/>
                <w:szCs w:val="20"/>
                <w:color w:val="auto"/>
              </w:rPr>
            </w:pPr>
            <w:r>
              <w:rPr>
                <w:rFonts w:ascii="Arial" w:cs="Arial" w:eastAsia="Arial" w:hAnsi="Arial"/>
                <w:sz w:val="13"/>
                <w:szCs w:val="13"/>
                <w:color w:val="auto"/>
                <w:w w:val="98"/>
              </w:rPr>
              <w:t>report topline data by the end of 2020</w:t>
            </w:r>
          </w:p>
        </w:tc>
        <w:tc>
          <w:tcPr>
            <w:tcW w:w="0" w:type="dxa"/>
            <w:vAlign w:val="bottom"/>
          </w:tcPr>
          <w:p>
            <w:pPr>
              <w:spacing w:after="0"/>
              <w:rPr>
                <w:sz w:val="1"/>
                <w:szCs w:val="1"/>
                <w:color w:val="auto"/>
              </w:rPr>
            </w:pPr>
          </w:p>
        </w:tc>
      </w:tr>
    </w:tbl>
    <w:p>
      <w:pPr>
        <w:ind w:left="200"/>
        <w:spacing w:after="0" w:line="221" w:lineRule="auto"/>
        <w:rPr>
          <w:sz w:val="20"/>
          <w:szCs w:val="20"/>
          <w:color w:val="auto"/>
        </w:rPr>
      </w:pPr>
      <w:r>
        <w:rPr>
          <w:rFonts w:ascii="Arial" w:cs="Arial" w:eastAsia="Arial" w:hAnsi="Arial"/>
          <w:sz w:val="13"/>
          <w:szCs w:val="13"/>
          <w:color w:val="auto"/>
        </w:rPr>
        <w:t>improvement at week 24, sinus imaging</w:t>
      </w:r>
    </w:p>
    <w:p>
      <w:pPr>
        <w:ind w:left="200"/>
        <w:spacing w:after="0" w:line="222" w:lineRule="auto"/>
        <w:rPr>
          <w:sz w:val="20"/>
          <w:szCs w:val="20"/>
          <w:color w:val="auto"/>
        </w:rPr>
      </w:pPr>
      <w:r>
        <w:rPr>
          <w:rFonts w:ascii="Arial" w:cs="Arial" w:eastAsia="Arial" w:hAnsi="Arial"/>
          <w:sz w:val="13"/>
          <w:szCs w:val="13"/>
          <w:color w:val="auto"/>
        </w:rPr>
        <w:t>to assess reduction in inflammation,</w:t>
      </w:r>
    </w:p>
    <w:p>
      <w:pPr>
        <w:ind w:left="200"/>
        <w:spacing w:after="0" w:line="222" w:lineRule="auto"/>
        <w:rPr>
          <w:sz w:val="20"/>
          <w:szCs w:val="20"/>
          <w:color w:val="auto"/>
        </w:rPr>
      </w:pPr>
      <w:r>
        <w:rPr>
          <w:rFonts w:ascii="Arial" w:cs="Arial" w:eastAsia="Arial" w:hAnsi="Arial"/>
          <w:sz w:val="13"/>
          <w:szCs w:val="13"/>
          <w:color w:val="auto"/>
        </w:rPr>
        <w:t>SNOT-22, time to treatment failure,</w:t>
      </w:r>
    </w:p>
    <w:p>
      <w:pPr>
        <w:ind w:left="200"/>
        <w:spacing w:after="0" w:line="221" w:lineRule="auto"/>
        <w:rPr>
          <w:sz w:val="20"/>
          <w:szCs w:val="20"/>
          <w:color w:val="auto"/>
        </w:rPr>
      </w:pPr>
      <w:r>
        <w:rPr>
          <w:rFonts w:ascii="Arial" w:cs="Arial" w:eastAsia="Arial" w:hAnsi="Arial"/>
          <w:sz w:val="13"/>
          <w:szCs w:val="13"/>
          <w:color w:val="auto"/>
        </w:rPr>
        <w:t>reduction in inflammation, frequency of</w:t>
      </w:r>
    </w:p>
    <w:p>
      <w:pPr>
        <w:ind w:left="200"/>
        <w:spacing w:after="0" w:line="222" w:lineRule="auto"/>
        <w:rPr>
          <w:sz w:val="20"/>
          <w:szCs w:val="20"/>
          <w:color w:val="auto"/>
        </w:rPr>
      </w:pPr>
      <w:r>
        <w:rPr>
          <w:rFonts w:ascii="Arial" w:cs="Arial" w:eastAsia="Arial" w:hAnsi="Arial"/>
          <w:sz w:val="13"/>
          <w:szCs w:val="13"/>
          <w:color w:val="auto"/>
        </w:rPr>
        <w:t>exacerbations,</w:t>
      </w:r>
    </w:p>
    <w:p>
      <w:pPr>
        <w:ind w:left="200"/>
        <w:spacing w:after="0"/>
        <w:rPr>
          <w:sz w:val="20"/>
          <w:szCs w:val="20"/>
          <w:color w:val="auto"/>
        </w:rPr>
      </w:pPr>
      <w:r>
        <w:rPr>
          <w:rFonts w:ascii="Arial" w:cs="Arial" w:eastAsia="Arial" w:hAnsi="Arial"/>
          <w:sz w:val="13"/>
          <w:szCs w:val="13"/>
          <w:color w:val="auto"/>
        </w:rPr>
        <w:t>pharmacokinetics/pharmacodynamics</w:t>
      </w:r>
    </w:p>
    <w:p>
      <w:pPr>
        <w:spacing w:after="0" w:line="735" w:lineRule="exact"/>
        <w:rPr>
          <w:sz w:val="20"/>
          <w:szCs w:val="20"/>
          <w:color w:val="auto"/>
        </w:rPr>
      </w:pPr>
    </w:p>
    <w:p>
      <w:pPr>
        <w:sectPr>
          <w:pgSz w:w="11900" w:h="16838" w:orient="portrait"/>
          <w:cols w:equalWidth="0" w:num="2">
            <w:col w:w="5840" w:space="120"/>
            <w:col w:w="4780"/>
          </w:cols>
          <w:pgMar w:left="320" w:top="437" w:right="839" w:bottom="1440" w:gutter="0" w:footer="0" w:header="0"/>
          <w:type w:val="continuous"/>
        </w:sectPr>
      </w:pPr>
    </w:p>
    <w:p>
      <w:pPr>
        <w:jc w:val="both"/>
        <w:ind w:left="500" w:right="140" w:firstLine="819"/>
        <w:spacing w:after="0" w:line="257" w:lineRule="auto"/>
        <w:rPr>
          <w:sz w:val="20"/>
          <w:szCs w:val="20"/>
          <w:color w:val="auto"/>
        </w:rPr>
      </w:pPr>
      <w:r>
        <w:rPr>
          <w:rFonts w:ascii="Arial" w:cs="Arial" w:eastAsia="Arial" w:hAnsi="Arial"/>
          <w:sz w:val="17"/>
          <w:szCs w:val="17"/>
          <w:color w:val="auto"/>
        </w:rPr>
        <w:t>Our Phase 2 LANTERN clinical trial for LYR-210 was initiated in May 2019. The clinical trial is designed as a multi-center, randomized, sham procedure-controlled, patient blinded trial. The study was designed to enroll 99 evaluable patients with the option to expand to up to 150 patients at up to 30 sites in the United</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740"/>
          </w:cols>
          <w:pgMar w:left="320" w:top="437" w:right="839" w:bottom="1440" w:gutter="0" w:footer="0" w:header="0"/>
          <w:type w:val="continuous"/>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71" w:lineRule="auto"/>
        <w:rPr>
          <w:sz w:val="20"/>
          <w:szCs w:val="20"/>
          <w:color w:val="auto"/>
        </w:rPr>
      </w:pPr>
      <w:r>
        <w:rPr>
          <w:rFonts w:ascii="Arial" w:cs="Arial" w:eastAsia="Arial" w:hAnsi="Arial"/>
          <w:sz w:val="16"/>
          <w:szCs w:val="16"/>
          <w:color w:val="auto"/>
        </w:rPr>
        <w:t>States, Australia, Austria, Czech Republic, New Zealand and Poland. Due to the COVID-19 pandemic, we discontinued enrollment at 67 patients and do not plan to open any sites in the United States. We plan to leverage remote data collection to enable the completion of clinical assessments and to generate sufficient data to design our Phase 3 clinical trial. As of April 2020, there were no reported serious adverse events. The goal of the trial is to evaluate the efficacy of LYR-210 in treating adult surgically-naïve CRS patients who have failed medical management. Subject to the impact of COVID-19 on our business, we expect to report topline data by the end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129540</wp:posOffset>
            </wp:positionV>
            <wp:extent cx="3172460" cy="17214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72460" cy="172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5. Design of Phase 2 LANTERN Clinical Trial for LYR-210.</w:t>
      </w:r>
    </w:p>
    <w:p>
      <w:pPr>
        <w:spacing w:after="0" w:line="19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trial consists of three arms with a 1:1:1 randomization: (1) an experimental arm with bilateral placement of 2,500 µg of LYR-210;</w:t>
      </w:r>
    </w:p>
    <w:p>
      <w:pPr>
        <w:spacing w:after="0" w:line="29" w:lineRule="exact"/>
        <w:rPr>
          <w:sz w:val="20"/>
          <w:szCs w:val="20"/>
          <w:color w:val="auto"/>
        </w:rPr>
      </w:pPr>
    </w:p>
    <w:p>
      <w:pPr>
        <w:ind w:left="500" w:right="360" w:firstLine="3"/>
        <w:spacing w:after="0" w:line="283" w:lineRule="auto"/>
        <w:tabs>
          <w:tab w:leader="none" w:pos="737"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 experimental arm with bilateral placement of 7,500 µg of LYR-210; and (3) a control arm with a bilateral sham procedure only (see Figure 5, above). In addition, subjects will be supplied with saline for nasal irrigation treatment during the course of the treatment period.</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The primary endpoint of the trial is a change from baseline in the 7-day average scores of the 4-Cardinal Symptoms Score, or 4CSS, at week</w:t>
      </w:r>
    </w:p>
    <w:p>
      <w:pPr>
        <w:spacing w:after="0" w:line="18" w:lineRule="exact"/>
        <w:rPr>
          <w:sz w:val="20"/>
          <w:szCs w:val="20"/>
          <w:color w:val="auto"/>
        </w:rPr>
      </w:pPr>
    </w:p>
    <w:p>
      <w:pPr>
        <w:ind w:left="500" w:right="200" w:firstLine="3"/>
        <w:spacing w:after="0" w:line="249" w:lineRule="auto"/>
        <w:tabs>
          <w:tab w:leader="none" w:pos="667"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FDA prefers a composite score of the cardinal symptoms of CRS for patients with CRS, and we will utilize the 4CSS for the trial. The 4CSS is comprised of four domains that are scored 0-3 with a total score of 12. The four domains are: (1) obstruction and congestion; (2) facial pain and pressure; (3) nasal discharge; and (4) olfactory loss (loss of sense of smell).</w:t>
      </w:r>
    </w:p>
    <w:p>
      <w:pPr>
        <w:spacing w:after="0" w:line="183" w:lineRule="exact"/>
        <w:rPr>
          <w:sz w:val="20"/>
          <w:szCs w:val="20"/>
          <w:color w:val="auto"/>
        </w:rPr>
      </w:pPr>
    </w:p>
    <w:p>
      <w:pPr>
        <w:ind w:left="500" w:right="320" w:firstLine="819"/>
        <w:spacing w:after="0" w:line="335" w:lineRule="auto"/>
        <w:rPr>
          <w:sz w:val="20"/>
          <w:szCs w:val="20"/>
          <w:color w:val="auto"/>
        </w:rPr>
      </w:pPr>
      <w:r>
        <w:rPr>
          <w:rFonts w:ascii="Arial" w:cs="Arial" w:eastAsia="Arial" w:hAnsi="Arial"/>
          <w:sz w:val="15"/>
          <w:szCs w:val="15"/>
          <w:color w:val="auto"/>
        </w:rPr>
        <w:t>The key secondary endpoints for the trial are the change from baseline in 7-day average 4CSS at week 24, time to treatment failure, and change from baseline in Zinreich score (a measure of inflammation) for the posterior ethmoid, frontal or spheoid sinuses at week 24.</w:t>
      </w:r>
    </w:p>
    <w:p>
      <w:pPr>
        <w:spacing w:after="0" w:line="5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740"/>
          </w:cols>
          <w:pgMar w:left="320" w:top="437" w:right="8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Phase 1</w:t>
      </w:r>
    </w:p>
    <w:p>
      <w:pPr>
        <w:spacing w:after="0" w:line="206"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Our Phase 1 clinical trial for LYR-210 was a prospective, multi-center, non-randomized, single-arm, open-label clinical trial with adult surgically-naïve CRS patients who have failed medical management. The objective of the trial was to evaluate safety and feasibility over 24 weeks of continuous anti-inflammatory treatment with a single administration of LYR-210 with an additional measurement taken one week post-removal. The trial was conducted across five sites in New Zealand and Australia. Forty LYR-210 matrices were placed bilaterally in 20 patients with and without nasal polyps. Each matrix contained 2,500 µg of MF. LYR-210 met its primary safety endpoint, and significant and rapid, clinically meaningful and durable improvement on a patient symptom severity scale was observed through 25 weeks.</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2060" w:type="dxa"/>
            <w:vAlign w:val="bottom"/>
          </w:tcPr>
          <w:p>
            <w:pPr>
              <w:spacing w:after="0"/>
              <w:rPr>
                <w:sz w:val="20"/>
                <w:szCs w:val="20"/>
                <w:color w:val="auto"/>
              </w:rPr>
            </w:pPr>
            <w:r>
              <w:rPr>
                <w:rFonts w:ascii="Arial" w:cs="Arial" w:eastAsia="Arial" w:hAnsi="Arial"/>
                <w:sz w:val="17"/>
                <w:szCs w:val="17"/>
                <w:color w:val="auto"/>
              </w:rPr>
              <w:t>Study Design</w:t>
            </w:r>
          </w:p>
        </w:tc>
        <w:tc>
          <w:tcPr>
            <w:tcW w:w="8120" w:type="dxa"/>
            <w:vAlign w:val="bottom"/>
            <w:gridSpan w:val="4"/>
          </w:tcPr>
          <w:p>
            <w:pPr>
              <w:ind w:left="300"/>
              <w:spacing w:after="0"/>
              <w:rPr>
                <w:sz w:val="20"/>
                <w:szCs w:val="20"/>
                <w:color w:val="auto"/>
              </w:rPr>
            </w:pPr>
            <w:r>
              <w:rPr>
                <w:rFonts w:ascii="Arial" w:cs="Arial" w:eastAsia="Arial" w:hAnsi="Arial"/>
                <w:sz w:val="17"/>
                <w:szCs w:val="17"/>
                <w:color w:val="auto"/>
              </w:rPr>
              <w:t>Prospective, multi-center, non-randomized, single-arm, open-label clinical trial</w:t>
            </w:r>
          </w:p>
        </w:tc>
      </w:tr>
      <w:tr>
        <w:trPr>
          <w:trHeight w:val="289"/>
        </w:trPr>
        <w:tc>
          <w:tcPr>
            <w:tcW w:w="2060" w:type="dxa"/>
            <w:vAlign w:val="bottom"/>
          </w:tcPr>
          <w:p>
            <w:pPr>
              <w:spacing w:after="0"/>
              <w:rPr>
                <w:sz w:val="20"/>
                <w:szCs w:val="20"/>
                <w:color w:val="auto"/>
              </w:rPr>
            </w:pPr>
            <w:r>
              <w:rPr>
                <w:rFonts w:ascii="Arial" w:cs="Arial" w:eastAsia="Arial" w:hAnsi="Arial"/>
                <w:sz w:val="17"/>
                <w:szCs w:val="17"/>
                <w:color w:val="auto"/>
              </w:rPr>
              <w:t>Study Objectives</w:t>
            </w:r>
          </w:p>
        </w:tc>
        <w:tc>
          <w:tcPr>
            <w:tcW w:w="8120" w:type="dxa"/>
            <w:vAlign w:val="bottom"/>
            <w:gridSpan w:val="4"/>
          </w:tcPr>
          <w:p>
            <w:pPr>
              <w:ind w:left="300"/>
              <w:spacing w:after="0"/>
              <w:rPr>
                <w:sz w:val="20"/>
                <w:szCs w:val="20"/>
                <w:color w:val="auto"/>
              </w:rPr>
            </w:pPr>
            <w:r>
              <w:rPr>
                <w:rFonts w:ascii="Arial" w:cs="Arial" w:eastAsia="Arial" w:hAnsi="Arial"/>
                <w:sz w:val="17"/>
                <w:szCs w:val="17"/>
                <w:color w:val="auto"/>
                <w:w w:val="90"/>
              </w:rPr>
              <w:t>Safety and feasibility over 24 weeks of continuous anti-inflammatory treatment with a single administration of LYR-</w:t>
            </w:r>
          </w:p>
        </w:tc>
      </w:tr>
      <w:tr>
        <w:trPr>
          <w:trHeight w:val="213"/>
        </w:trPr>
        <w:tc>
          <w:tcPr>
            <w:tcW w:w="2060" w:type="dxa"/>
            <w:vAlign w:val="bottom"/>
          </w:tcPr>
          <w:p>
            <w:pPr>
              <w:spacing w:after="0"/>
              <w:rPr>
                <w:sz w:val="18"/>
                <w:szCs w:val="18"/>
                <w:color w:val="auto"/>
              </w:rPr>
            </w:pPr>
          </w:p>
        </w:tc>
        <w:tc>
          <w:tcPr>
            <w:tcW w:w="8120" w:type="dxa"/>
            <w:vAlign w:val="bottom"/>
            <w:gridSpan w:val="4"/>
          </w:tcPr>
          <w:p>
            <w:pPr>
              <w:ind w:left="300"/>
              <w:spacing w:after="0"/>
              <w:rPr>
                <w:sz w:val="20"/>
                <w:szCs w:val="20"/>
                <w:color w:val="auto"/>
              </w:rPr>
            </w:pPr>
            <w:r>
              <w:rPr>
                <w:rFonts w:ascii="Arial" w:cs="Arial" w:eastAsia="Arial" w:hAnsi="Arial"/>
                <w:sz w:val="17"/>
                <w:szCs w:val="17"/>
                <w:color w:val="auto"/>
              </w:rPr>
              <w:t>210 with an additional measurement taken one week post-removal</w:t>
            </w:r>
          </w:p>
        </w:tc>
      </w:tr>
      <w:tr>
        <w:trPr>
          <w:trHeight w:val="301"/>
        </w:trPr>
        <w:tc>
          <w:tcPr>
            <w:tcW w:w="2060" w:type="dxa"/>
            <w:vAlign w:val="bottom"/>
          </w:tcPr>
          <w:p>
            <w:pPr>
              <w:spacing w:after="0"/>
              <w:rPr>
                <w:sz w:val="20"/>
                <w:szCs w:val="20"/>
                <w:color w:val="auto"/>
              </w:rPr>
            </w:pPr>
            <w:r>
              <w:rPr>
                <w:rFonts w:ascii="Arial" w:cs="Arial" w:eastAsia="Arial" w:hAnsi="Arial"/>
                <w:sz w:val="17"/>
                <w:szCs w:val="17"/>
                <w:color w:val="auto"/>
              </w:rPr>
              <w:t>Patient Population</w:t>
            </w:r>
          </w:p>
        </w:tc>
        <w:tc>
          <w:tcPr>
            <w:tcW w:w="8120" w:type="dxa"/>
            <w:vAlign w:val="bottom"/>
            <w:gridSpan w:val="4"/>
          </w:tcPr>
          <w:p>
            <w:pPr>
              <w:ind w:left="300"/>
              <w:spacing w:after="0"/>
              <w:rPr>
                <w:sz w:val="20"/>
                <w:szCs w:val="20"/>
                <w:color w:val="auto"/>
              </w:rPr>
            </w:pPr>
            <w:r>
              <w:rPr>
                <w:rFonts w:ascii="Arial" w:cs="Arial" w:eastAsia="Arial" w:hAnsi="Arial"/>
                <w:sz w:val="17"/>
                <w:szCs w:val="17"/>
                <w:color w:val="auto"/>
              </w:rPr>
              <w:t>Adult CRS patients who have failed medical management and have not had surgery</w:t>
            </w:r>
          </w:p>
        </w:tc>
      </w:tr>
      <w:tr>
        <w:trPr>
          <w:trHeight w:val="301"/>
        </w:trPr>
        <w:tc>
          <w:tcPr>
            <w:tcW w:w="2060" w:type="dxa"/>
            <w:vAlign w:val="bottom"/>
          </w:tcPr>
          <w:p>
            <w:pPr>
              <w:spacing w:after="0"/>
              <w:rPr>
                <w:sz w:val="20"/>
                <w:szCs w:val="20"/>
                <w:color w:val="auto"/>
              </w:rPr>
            </w:pPr>
            <w:r>
              <w:rPr>
                <w:rFonts w:ascii="Arial" w:cs="Arial" w:eastAsia="Arial" w:hAnsi="Arial"/>
                <w:sz w:val="17"/>
                <w:szCs w:val="17"/>
                <w:color w:val="auto"/>
              </w:rPr>
              <w:t>Number of Subjects</w:t>
            </w:r>
          </w:p>
        </w:tc>
        <w:tc>
          <w:tcPr>
            <w:tcW w:w="4040" w:type="dxa"/>
            <w:vAlign w:val="bottom"/>
            <w:gridSpan w:val="2"/>
          </w:tcPr>
          <w:p>
            <w:pPr>
              <w:ind w:left="300"/>
              <w:spacing w:after="0"/>
              <w:rPr>
                <w:sz w:val="20"/>
                <w:szCs w:val="20"/>
                <w:color w:val="auto"/>
              </w:rPr>
            </w:pPr>
            <w:r>
              <w:rPr>
                <w:rFonts w:ascii="Arial" w:cs="Arial" w:eastAsia="Arial" w:hAnsi="Arial"/>
                <w:sz w:val="17"/>
                <w:szCs w:val="17"/>
                <w:color w:val="auto"/>
                <w:w w:val="95"/>
              </w:rPr>
              <w:t>20 patients with CRS (40 LYR-210 matrices placed)</w:t>
            </w:r>
          </w:p>
        </w:tc>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01"/>
        </w:trPr>
        <w:tc>
          <w:tcPr>
            <w:tcW w:w="2060" w:type="dxa"/>
            <w:vAlign w:val="bottom"/>
          </w:tcPr>
          <w:p>
            <w:pPr>
              <w:spacing w:after="0"/>
              <w:rPr>
                <w:sz w:val="20"/>
                <w:szCs w:val="20"/>
                <w:color w:val="auto"/>
              </w:rPr>
            </w:pPr>
            <w:r>
              <w:rPr>
                <w:rFonts w:ascii="Arial" w:cs="Arial" w:eastAsia="Arial" w:hAnsi="Arial"/>
                <w:sz w:val="17"/>
                <w:szCs w:val="17"/>
                <w:color w:val="auto"/>
              </w:rPr>
              <w:t>Number of Sites</w:t>
            </w:r>
          </w:p>
        </w:tc>
        <w:tc>
          <w:tcPr>
            <w:tcW w:w="4040" w:type="dxa"/>
            <w:vAlign w:val="bottom"/>
            <w:gridSpan w:val="2"/>
          </w:tcPr>
          <w:p>
            <w:pPr>
              <w:ind w:left="300"/>
              <w:spacing w:after="0"/>
              <w:rPr>
                <w:sz w:val="20"/>
                <w:szCs w:val="20"/>
                <w:color w:val="auto"/>
              </w:rPr>
            </w:pPr>
            <w:r>
              <w:rPr>
                <w:rFonts w:ascii="Arial" w:cs="Arial" w:eastAsia="Arial" w:hAnsi="Arial"/>
                <w:sz w:val="17"/>
                <w:szCs w:val="17"/>
                <w:color w:val="auto"/>
              </w:rPr>
              <w:t>5 study sites (New Zealand and Australia)</w:t>
            </w:r>
          </w:p>
        </w:tc>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01"/>
        </w:trPr>
        <w:tc>
          <w:tcPr>
            <w:tcW w:w="2060" w:type="dxa"/>
            <w:vAlign w:val="bottom"/>
          </w:tcPr>
          <w:p>
            <w:pPr>
              <w:spacing w:after="0"/>
              <w:rPr>
                <w:sz w:val="20"/>
                <w:szCs w:val="20"/>
                <w:color w:val="auto"/>
              </w:rPr>
            </w:pPr>
            <w:r>
              <w:rPr>
                <w:rFonts w:ascii="Arial" w:cs="Arial" w:eastAsia="Arial" w:hAnsi="Arial"/>
                <w:sz w:val="17"/>
                <w:szCs w:val="17"/>
                <w:color w:val="auto"/>
              </w:rPr>
              <w:t>Dose</w:t>
            </w:r>
          </w:p>
        </w:tc>
        <w:tc>
          <w:tcPr>
            <w:tcW w:w="4040" w:type="dxa"/>
            <w:vAlign w:val="bottom"/>
            <w:gridSpan w:val="2"/>
          </w:tcPr>
          <w:p>
            <w:pPr>
              <w:ind w:left="300"/>
              <w:spacing w:after="0"/>
              <w:rPr>
                <w:sz w:val="20"/>
                <w:szCs w:val="20"/>
                <w:color w:val="auto"/>
              </w:rPr>
            </w:pPr>
            <w:r>
              <w:rPr>
                <w:rFonts w:ascii="Arial" w:cs="Arial" w:eastAsia="Arial" w:hAnsi="Arial"/>
                <w:sz w:val="17"/>
                <w:szCs w:val="17"/>
                <w:color w:val="auto"/>
              </w:rPr>
              <w:t>2,500 mcg bilaterally</w:t>
            </w:r>
          </w:p>
        </w:tc>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01"/>
        </w:trPr>
        <w:tc>
          <w:tcPr>
            <w:tcW w:w="2060" w:type="dxa"/>
            <w:vAlign w:val="bottom"/>
          </w:tcPr>
          <w:p>
            <w:pPr>
              <w:spacing w:after="0"/>
              <w:rPr>
                <w:sz w:val="20"/>
                <w:szCs w:val="20"/>
                <w:color w:val="auto"/>
              </w:rPr>
            </w:pPr>
            <w:r>
              <w:rPr>
                <w:rFonts w:ascii="Arial" w:cs="Arial" w:eastAsia="Arial" w:hAnsi="Arial"/>
                <w:sz w:val="17"/>
                <w:szCs w:val="17"/>
                <w:color w:val="auto"/>
              </w:rPr>
              <w:t>Primary Endpoint</w:t>
            </w:r>
          </w:p>
        </w:tc>
        <w:tc>
          <w:tcPr>
            <w:tcW w:w="4520" w:type="dxa"/>
            <w:vAlign w:val="bottom"/>
            <w:gridSpan w:val="3"/>
          </w:tcPr>
          <w:p>
            <w:pPr>
              <w:ind w:left="300"/>
              <w:spacing w:after="0"/>
              <w:rPr>
                <w:sz w:val="20"/>
                <w:szCs w:val="20"/>
                <w:color w:val="auto"/>
              </w:rPr>
            </w:pPr>
            <w:r>
              <w:rPr>
                <w:rFonts w:ascii="Arial" w:cs="Arial" w:eastAsia="Arial" w:hAnsi="Arial"/>
                <w:sz w:val="17"/>
                <w:szCs w:val="17"/>
                <w:color w:val="auto"/>
                <w:w w:val="87"/>
              </w:rPr>
              <w:t>Product-related serious adverse events from baseline to week 4</w:t>
            </w:r>
          </w:p>
        </w:tc>
        <w:tc>
          <w:tcPr>
            <w:tcW w:w="3600" w:type="dxa"/>
            <w:vAlign w:val="bottom"/>
          </w:tcPr>
          <w:p>
            <w:pPr>
              <w:spacing w:after="0"/>
              <w:rPr>
                <w:sz w:val="24"/>
                <w:szCs w:val="24"/>
                <w:color w:val="auto"/>
              </w:rPr>
            </w:pPr>
          </w:p>
        </w:tc>
      </w:tr>
      <w:tr>
        <w:trPr>
          <w:trHeight w:val="289"/>
        </w:trPr>
        <w:tc>
          <w:tcPr>
            <w:tcW w:w="2060" w:type="dxa"/>
            <w:vAlign w:val="bottom"/>
          </w:tcPr>
          <w:p>
            <w:pPr>
              <w:spacing w:after="0"/>
              <w:rPr>
                <w:sz w:val="20"/>
                <w:szCs w:val="20"/>
                <w:color w:val="auto"/>
              </w:rPr>
            </w:pPr>
            <w:r>
              <w:rPr>
                <w:rFonts w:ascii="Arial" w:cs="Arial" w:eastAsia="Arial" w:hAnsi="Arial"/>
                <w:sz w:val="17"/>
                <w:szCs w:val="17"/>
                <w:color w:val="auto"/>
              </w:rPr>
              <w:t>Additional Data Collected</w:t>
            </w:r>
          </w:p>
        </w:tc>
        <w:tc>
          <w:tcPr>
            <w:tcW w:w="440" w:type="dxa"/>
            <w:vAlign w:val="bottom"/>
          </w:tcPr>
          <w:p>
            <w:pPr>
              <w:ind w:left="300"/>
              <w:spacing w:after="0"/>
              <w:rPr>
                <w:sz w:val="20"/>
                <w:szCs w:val="20"/>
                <w:color w:val="auto"/>
              </w:rPr>
            </w:pPr>
            <w:r>
              <w:rPr>
                <w:rFonts w:ascii="Arial" w:cs="Arial" w:eastAsia="Arial" w:hAnsi="Arial"/>
                <w:sz w:val="17"/>
                <w:szCs w:val="17"/>
                <w:color w:val="auto"/>
              </w:rPr>
              <w:t>•</w:t>
            </w:r>
          </w:p>
        </w:tc>
        <w:tc>
          <w:tcPr>
            <w:tcW w:w="3600" w:type="dxa"/>
            <w:vAlign w:val="bottom"/>
          </w:tcPr>
          <w:p>
            <w:pPr>
              <w:ind w:left="100"/>
              <w:spacing w:after="0"/>
              <w:rPr>
                <w:sz w:val="20"/>
                <w:szCs w:val="20"/>
                <w:color w:val="auto"/>
              </w:rPr>
            </w:pPr>
            <w:r>
              <w:rPr>
                <w:rFonts w:ascii="Arial" w:cs="Arial" w:eastAsia="Arial" w:hAnsi="Arial"/>
                <w:sz w:val="17"/>
                <w:szCs w:val="17"/>
                <w:color w:val="auto"/>
              </w:rPr>
              <w:t>Morning serum cortisol</w:t>
            </w:r>
          </w:p>
        </w:tc>
        <w:tc>
          <w:tcPr>
            <w:tcW w:w="480" w:type="dxa"/>
            <w:vAlign w:val="bottom"/>
          </w:tcPr>
          <w:p>
            <w:pPr>
              <w:ind w:left="260"/>
              <w:spacing w:after="0"/>
              <w:rPr>
                <w:sz w:val="20"/>
                <w:szCs w:val="20"/>
                <w:color w:val="auto"/>
              </w:rPr>
            </w:pPr>
            <w:r>
              <w:rPr>
                <w:rFonts w:ascii="Arial" w:cs="Arial" w:eastAsia="Arial" w:hAnsi="Arial"/>
                <w:sz w:val="17"/>
                <w:szCs w:val="17"/>
                <w:color w:val="auto"/>
              </w:rPr>
              <w:t>•</w:t>
            </w:r>
          </w:p>
        </w:tc>
        <w:tc>
          <w:tcPr>
            <w:tcW w:w="3600" w:type="dxa"/>
            <w:vAlign w:val="bottom"/>
          </w:tcPr>
          <w:p>
            <w:pPr>
              <w:ind w:left="20"/>
              <w:spacing w:after="0"/>
              <w:rPr>
                <w:sz w:val="20"/>
                <w:szCs w:val="20"/>
                <w:color w:val="auto"/>
              </w:rPr>
            </w:pPr>
            <w:r>
              <w:rPr>
                <w:rFonts w:ascii="Arial" w:cs="Arial" w:eastAsia="Arial" w:hAnsi="Arial"/>
                <w:sz w:val="17"/>
                <w:szCs w:val="17"/>
                <w:color w:val="auto"/>
              </w:rPr>
              <w:t>Quality of life by SNOT-22</w:t>
            </w:r>
          </w:p>
        </w:tc>
      </w:tr>
      <w:tr>
        <w:trPr>
          <w:trHeight w:val="201"/>
        </w:trPr>
        <w:tc>
          <w:tcPr>
            <w:tcW w:w="2060" w:type="dxa"/>
            <w:vAlign w:val="bottom"/>
          </w:tcPr>
          <w:p>
            <w:pPr>
              <w:spacing w:after="0"/>
              <w:rPr>
                <w:sz w:val="17"/>
                <w:szCs w:val="17"/>
                <w:color w:val="auto"/>
              </w:rPr>
            </w:pPr>
          </w:p>
        </w:tc>
        <w:tc>
          <w:tcPr>
            <w:tcW w:w="440" w:type="dxa"/>
            <w:vAlign w:val="bottom"/>
          </w:tcPr>
          <w:p>
            <w:pPr>
              <w:ind w:left="300"/>
              <w:spacing w:after="0"/>
              <w:rPr>
                <w:sz w:val="20"/>
                <w:szCs w:val="20"/>
                <w:color w:val="auto"/>
              </w:rPr>
            </w:pPr>
            <w:r>
              <w:rPr>
                <w:rFonts w:ascii="Arial" w:cs="Arial" w:eastAsia="Arial" w:hAnsi="Arial"/>
                <w:sz w:val="17"/>
                <w:szCs w:val="17"/>
                <w:color w:val="auto"/>
              </w:rPr>
              <w:t>•</w:t>
            </w:r>
          </w:p>
        </w:tc>
        <w:tc>
          <w:tcPr>
            <w:tcW w:w="3600" w:type="dxa"/>
            <w:vAlign w:val="bottom"/>
          </w:tcPr>
          <w:p>
            <w:pPr>
              <w:ind w:left="100"/>
              <w:spacing w:after="0"/>
              <w:rPr>
                <w:sz w:val="20"/>
                <w:szCs w:val="20"/>
                <w:color w:val="auto"/>
              </w:rPr>
            </w:pPr>
            <w:r>
              <w:rPr>
                <w:rFonts w:ascii="Arial" w:cs="Arial" w:eastAsia="Arial" w:hAnsi="Arial"/>
                <w:sz w:val="17"/>
                <w:szCs w:val="17"/>
                <w:color w:val="auto"/>
              </w:rPr>
              <w:t>Intraocular pressure</w:t>
            </w:r>
          </w:p>
        </w:tc>
        <w:tc>
          <w:tcPr>
            <w:tcW w:w="480" w:type="dxa"/>
            <w:vAlign w:val="bottom"/>
          </w:tcPr>
          <w:p>
            <w:pPr>
              <w:ind w:left="260"/>
              <w:spacing w:after="0"/>
              <w:rPr>
                <w:sz w:val="20"/>
                <w:szCs w:val="20"/>
                <w:color w:val="auto"/>
              </w:rPr>
            </w:pPr>
            <w:r>
              <w:rPr>
                <w:rFonts w:ascii="Arial" w:cs="Arial" w:eastAsia="Arial" w:hAnsi="Arial"/>
                <w:sz w:val="17"/>
                <w:szCs w:val="17"/>
                <w:color w:val="auto"/>
              </w:rPr>
              <w:t>•</w:t>
            </w:r>
          </w:p>
        </w:tc>
        <w:tc>
          <w:tcPr>
            <w:tcW w:w="3600" w:type="dxa"/>
            <w:vAlign w:val="bottom"/>
          </w:tcPr>
          <w:p>
            <w:pPr>
              <w:ind w:left="20"/>
              <w:spacing w:after="0"/>
              <w:rPr>
                <w:sz w:val="20"/>
                <w:szCs w:val="20"/>
                <w:color w:val="auto"/>
              </w:rPr>
            </w:pPr>
            <w:r>
              <w:rPr>
                <w:rFonts w:ascii="Arial" w:cs="Arial" w:eastAsia="Arial" w:hAnsi="Arial"/>
                <w:sz w:val="17"/>
                <w:szCs w:val="17"/>
                <w:color w:val="auto"/>
              </w:rPr>
              <w:t>Endoscopy and MRI</w:t>
            </w:r>
          </w:p>
        </w:tc>
      </w:tr>
      <w:tr>
        <w:trPr>
          <w:trHeight w:val="213"/>
        </w:trPr>
        <w:tc>
          <w:tcPr>
            <w:tcW w:w="2060" w:type="dxa"/>
            <w:vAlign w:val="bottom"/>
          </w:tcPr>
          <w:p>
            <w:pPr>
              <w:spacing w:after="0"/>
              <w:rPr>
                <w:sz w:val="18"/>
                <w:szCs w:val="18"/>
                <w:color w:val="auto"/>
              </w:rPr>
            </w:pPr>
          </w:p>
        </w:tc>
        <w:tc>
          <w:tcPr>
            <w:tcW w:w="440" w:type="dxa"/>
            <w:vAlign w:val="bottom"/>
          </w:tcPr>
          <w:p>
            <w:pPr>
              <w:ind w:left="300"/>
              <w:spacing w:after="0"/>
              <w:rPr>
                <w:sz w:val="20"/>
                <w:szCs w:val="20"/>
                <w:color w:val="auto"/>
              </w:rPr>
            </w:pPr>
            <w:r>
              <w:rPr>
                <w:rFonts w:ascii="Arial" w:cs="Arial" w:eastAsia="Arial" w:hAnsi="Arial"/>
                <w:sz w:val="17"/>
                <w:szCs w:val="17"/>
                <w:color w:val="auto"/>
              </w:rPr>
              <w:t>•</w:t>
            </w:r>
          </w:p>
        </w:tc>
        <w:tc>
          <w:tcPr>
            <w:tcW w:w="3600" w:type="dxa"/>
            <w:vAlign w:val="bottom"/>
          </w:tcPr>
          <w:p>
            <w:pPr>
              <w:ind w:left="100"/>
              <w:spacing w:after="0"/>
              <w:rPr>
                <w:sz w:val="20"/>
                <w:szCs w:val="20"/>
                <w:color w:val="auto"/>
              </w:rPr>
            </w:pPr>
            <w:r>
              <w:rPr>
                <w:rFonts w:ascii="Arial" w:cs="Arial" w:eastAsia="Arial" w:hAnsi="Arial"/>
                <w:sz w:val="17"/>
                <w:szCs w:val="17"/>
                <w:color w:val="auto"/>
              </w:rPr>
              <w:t>Plasma pharmacokinetics</w:t>
            </w:r>
          </w:p>
        </w:tc>
        <w:tc>
          <w:tcPr>
            <w:tcW w:w="48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95"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6. Description of Phase 1 Clinical Trial for LYR-210.</w:t>
      </w:r>
    </w:p>
    <w:p>
      <w:pPr>
        <w:spacing w:after="0" w:line="195" w:lineRule="exact"/>
        <w:rPr>
          <w:sz w:val="20"/>
          <w:szCs w:val="20"/>
          <w:color w:val="auto"/>
        </w:rPr>
      </w:pPr>
    </w:p>
    <w:p>
      <w:pPr>
        <w:ind w:left="500" w:right="60" w:firstLine="819"/>
        <w:spacing w:after="0" w:line="274" w:lineRule="auto"/>
        <w:rPr>
          <w:sz w:val="20"/>
          <w:szCs w:val="20"/>
          <w:color w:val="auto"/>
        </w:rPr>
      </w:pPr>
      <w:r>
        <w:rPr>
          <w:rFonts w:ascii="Arial" w:cs="Arial" w:eastAsia="Arial" w:hAnsi="Arial"/>
          <w:sz w:val="16"/>
          <w:szCs w:val="16"/>
          <w:color w:val="auto"/>
        </w:rPr>
        <w:t>Twenty patients were enrolled, 12 of whom exhibited no bilateral nasal polyps and eight of whom exhibited bilateral nasal polyps. All 20 patients received bilateral administration of LYR-210 at 2,500 µg in an office setting. The study population was predominantly male with a mean age of 39.9 (range: 24-67) years old. All patients reported moderate-to-severe CRS symptoms with a mean SNOT-22 score of 50.9, of which nine patients reported severe symptoms (SNOT-22 score &gt; 50). All patients complained of nasal obstruction.</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740"/>
          </w:cols>
          <w:pgMar w:left="320" w:top="437" w:right="8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The Phase 1 trial achieved its primary safety endpoint at week 4. LYR-210 at 2,500 µg was well tolerated by patients during the entire duration of treatment and also gave insight into the successful office-based placement of the matrix and clinical outcomes in non-polyp and polyp patients. There were no reports of unexpected adverse events, or AEs, or local nasal AEs, including epistaxis, nasal burning, nasal dryness, nasal irritation and nasal septal perforation during the 24-week MF local dosing treatment duration. Additionally, no change in morning serum cortisol levels or intraocular pressures were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139700</wp:posOffset>
            </wp:positionV>
            <wp:extent cx="5292725" cy="30372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92725" cy="303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00" w:hanging="397"/>
        <w:spacing w:after="0"/>
        <w:tabs>
          <w:tab w:leader="none" w:pos="9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AEs coded using the MedDRA dictionary, version 21.0.</w:t>
      </w:r>
    </w:p>
    <w:p>
      <w:pPr>
        <w:spacing w:after="0" w:line="214" w:lineRule="exact"/>
        <w:rPr>
          <w:rFonts w:ascii="Arial" w:cs="Arial" w:eastAsia="Arial" w:hAnsi="Arial"/>
          <w:sz w:val="13"/>
          <w:szCs w:val="13"/>
          <w:color w:val="auto"/>
        </w:rPr>
      </w:pPr>
    </w:p>
    <w:p>
      <w:pPr>
        <w:ind w:left="900" w:right="60" w:hanging="397"/>
        <w:spacing w:after="0" w:line="256" w:lineRule="auto"/>
        <w:tabs>
          <w:tab w:leader="none" w:pos="9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N=20 total patients. Patients experiencing the same AEs are counted only once. An additional 5 AEs occurred during the screening period, prior to treatment and are not included in this table. 25-week period includes one week post-removal.</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7. Adverse Event Profile for Phase 1 Clinical Trial for LYR-210.</w:t>
      </w:r>
    </w:p>
    <w:p>
      <w:pPr>
        <w:spacing w:after="0" w:line="13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620"/>
          </w:cols>
          <w:pgMar w:left="320" w:top="437" w:right="95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The most common reported AEs were nasopharyngitis, upper respiratory tract infection, sinusitis, nasal odor, procedural headache, nasal discomfort, and facial pain. There was one serious adverse event, an acute myocardial infarction, which was deemed to be unrelated to LYR-210. LYR-210 was removed due to AEs before the end of the 24-week treatment period from two patients who dropped out of the trial prior to completion. One patient requested removal after 20 weeks of treatment due to complaints of memory loss, which was deemed to be unrelated to LYR-210. The other patient requested removal after 17 weeks of treatment due to a recurrence of a sinus infection that was non-serious and moderate in severity and the patient reported relief of AE symptoms within four days following removal and medical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130810</wp:posOffset>
            </wp:positionV>
            <wp:extent cx="3004820" cy="1729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04820" cy="172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right="60"/>
        <w:spacing w:after="0" w:line="256" w:lineRule="auto"/>
        <w:rPr>
          <w:sz w:val="20"/>
          <w:szCs w:val="20"/>
          <w:color w:val="auto"/>
        </w:rPr>
      </w:pPr>
      <w:r>
        <w:rPr>
          <w:rFonts w:ascii="Arial" w:cs="Arial" w:eastAsia="Arial" w:hAnsi="Arial"/>
          <w:sz w:val="13"/>
          <w:szCs w:val="13"/>
          <w:i w:val="1"/>
          <w:iCs w:val="1"/>
          <w:color w:val="auto"/>
        </w:rPr>
        <w:t>Figure 8. Plasma Drug Concentration for the 50% of Patients with Levels Above LLQ. Note: at day 1, week 1, week 4 and week 12, there were 11, 10, 16 and 10 patients, respectively, whose plasma drug concentration was below the lower limit of quantification, or LLQ.</w:t>
      </w:r>
    </w:p>
    <w:p>
      <w:pPr>
        <w:spacing w:after="0" w:line="164" w:lineRule="exact"/>
        <w:rPr>
          <w:sz w:val="20"/>
          <w:szCs w:val="20"/>
          <w:color w:val="auto"/>
        </w:rPr>
      </w:pPr>
    </w:p>
    <w:p>
      <w:pPr>
        <w:jc w:val="both"/>
        <w:ind w:left="500" w:right="260" w:firstLine="819"/>
        <w:spacing w:after="0" w:line="257" w:lineRule="auto"/>
        <w:rPr>
          <w:sz w:val="20"/>
          <w:szCs w:val="20"/>
          <w:color w:val="auto"/>
        </w:rPr>
      </w:pPr>
      <w:r>
        <w:rPr>
          <w:rFonts w:ascii="Arial" w:cs="Arial" w:eastAsia="Arial" w:hAnsi="Arial"/>
          <w:sz w:val="17"/>
          <w:szCs w:val="17"/>
          <w:color w:val="auto"/>
        </w:rPr>
        <w:t>The trial results indicated low levels of systemically circulated steroid from LYR-210. MF plasma concentrations were unquantifiable in about 50% of patients and near the lower limit of quantification of 20 pg/ML in the other 50% of patients (see Figure 8, above). There were no AEs associated with systemic levels of MF.</w:t>
      </w:r>
    </w:p>
    <w:p>
      <w:pPr>
        <w:spacing w:after="0" w:line="175" w:lineRule="exact"/>
        <w:rPr>
          <w:sz w:val="20"/>
          <w:szCs w:val="20"/>
          <w:color w:val="auto"/>
        </w:rPr>
      </w:pPr>
    </w:p>
    <w:p>
      <w:pPr>
        <w:ind w:left="500" w:right="200" w:firstLine="819"/>
        <w:spacing w:after="0" w:line="274" w:lineRule="auto"/>
        <w:rPr>
          <w:sz w:val="20"/>
          <w:szCs w:val="20"/>
          <w:color w:val="auto"/>
        </w:rPr>
      </w:pPr>
      <w:r>
        <w:rPr>
          <w:rFonts w:ascii="Arial" w:cs="Arial" w:eastAsia="Arial" w:hAnsi="Arial"/>
          <w:sz w:val="16"/>
          <w:szCs w:val="16"/>
          <w:color w:val="auto"/>
        </w:rPr>
        <w:t>All of the matrices were successfully bilaterally placed in the sinonasal passages, in both non-polyp and polyp patients. In 7 out of the 40 matrices placed, the investigator felt that the initial placement was not ideal, and therefore the matrix was removed and a new matrix was placed. Patients did not report feeling the matrices post-administration. Further, LYR-210 had high levels of intranasal retention out to 24 weeks, with a retention rate of more than 80%. There were no AEs associated with the matrices that were dislodged.</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700"/>
          </w:cols>
          <w:pgMar w:left="320" w:top="437" w:right="87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88" w:lineRule="auto"/>
        <w:rPr>
          <w:sz w:val="20"/>
          <w:szCs w:val="20"/>
          <w:color w:val="auto"/>
        </w:rPr>
      </w:pPr>
      <w:r>
        <w:rPr>
          <w:rFonts w:ascii="Arial" w:cs="Arial" w:eastAsia="Arial" w:hAnsi="Arial"/>
          <w:sz w:val="15"/>
          <w:szCs w:val="15"/>
          <w:color w:val="auto"/>
        </w:rPr>
        <w:t>The Sino-Nasal Outcome Test, or SNOT-22, is a disease-specific questionnaire for sinus disease. A validated patient-reported outcome measure, the SNOT-22 is used widely by ENTs to assess disease status and treatment outcomes in CRS patients with and without polyps. It is comprised of 20 questions which address CRS-related symptoms and quality of life that can be grouped into 5 domains including rhinologic, extranasal rhinologic, ear/facial, psychological and sleep. Each question is scored on a scale from 0 to 5 for a total score ranging from 0 to 110 points. Mild disease is defined on the SNOT-22 as a score of 8 to 20, moderate as a score of 21 to 50 and severe as greater than 50. If a patient has a SNOT-22 score of 7 or lower they are considered “normal” or absent of sino-nasal disease. The SNOT-22 minimal clinically important difference, or MCID, which is the smallest change in SNOT-22 score that can be detected by a patient, has been established as a change of 8.9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-18415</wp:posOffset>
            </wp:positionV>
            <wp:extent cx="2909570" cy="21120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09570" cy="211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 w:right="5040" w:firstLine="3"/>
        <w:spacing w:after="0" w:line="669" w:lineRule="auto"/>
        <w:tabs>
          <w:tab w:leader="none" w:pos="600" w:val="left"/>
        </w:tabs>
        <w:numPr>
          <w:ilvl w:val="0"/>
          <w:numId w:val="97"/>
        </w:numPr>
        <w:rPr>
          <w:rFonts w:ascii="Arial" w:cs="Arial" w:eastAsia="Arial" w:hAnsi="Arial"/>
          <w:sz w:val="12"/>
          <w:szCs w:val="12"/>
          <w:i w:val="1"/>
          <w:iCs w:val="1"/>
          <w:color w:val="687F7F"/>
        </w:rPr>
      </w:pPr>
      <w:r>
        <w:rPr>
          <w:rFonts w:ascii="Arial" w:cs="Arial" w:eastAsia="Arial" w:hAnsi="Arial"/>
          <w:sz w:val="12"/>
          <w:szCs w:val="12"/>
          <w:i w:val="1"/>
          <w:iCs w:val="1"/>
          <w:color w:val="687F7F"/>
        </w:rPr>
        <w:t xml:space="preserve">P&lt;0.05, **P&lt;0.01, *** P&lt;0.001, **** P&lt;0.0001 to baseline by paired two tailed t-test </w:t>
      </w:r>
      <w:r>
        <w:rPr>
          <w:rFonts w:ascii="Arial" w:cs="Arial" w:eastAsia="Arial" w:hAnsi="Arial"/>
          <w:sz w:val="12"/>
          <w:szCs w:val="12"/>
          <w:i w:val="1"/>
          <w:iCs w:val="1"/>
          <w:color w:val="000000"/>
        </w:rPr>
        <w:t>Figure 9. Total Symptom Improvement by SNOT-22 Score in Phase 1 Clinical Trial for LYR-210.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-22225</wp:posOffset>
            </wp:positionV>
            <wp:extent cx="3188335" cy="1793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88335" cy="179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687F7F"/>
        </w:rPr>
        <w:t>** P&lt;0.01, ***P&lt;0.001, **** P&lt;0.0001 to baseline by paired two tailed t-test</w:t>
      </w:r>
    </w:p>
    <w:p>
      <w:pPr>
        <w:spacing w:after="0" w:line="202" w:lineRule="exact"/>
        <w:rPr>
          <w:sz w:val="20"/>
          <w:szCs w:val="20"/>
          <w:color w:val="auto"/>
        </w:rPr>
      </w:pPr>
    </w:p>
    <w:p>
      <w:pPr>
        <w:ind w:left="500" w:right="100"/>
        <w:spacing w:after="0" w:line="239" w:lineRule="auto"/>
        <w:rPr>
          <w:sz w:val="20"/>
          <w:szCs w:val="20"/>
          <w:color w:val="auto"/>
        </w:rPr>
      </w:pPr>
      <w:r>
        <w:rPr>
          <w:rFonts w:ascii="Arial" w:cs="Arial" w:eastAsia="Arial" w:hAnsi="Arial"/>
          <w:sz w:val="13"/>
          <w:szCs w:val="13"/>
          <w:i w:val="1"/>
          <w:iCs w:val="1"/>
          <w:color w:val="auto"/>
        </w:rPr>
        <w:t>Figure 10. Symptom Improvement by Retrospective Analysis of the Scores Corresponding to the Composite 4CSS Extracted from the Corresponding Individual SNOT-22 Scores. This composite score produced as a result of the retrospective analysis was not an endpoint of our Phase 1 clinical trial or addressed in our statistical analysis plan and was done for illustrative purposes only.</w:t>
      </w:r>
    </w:p>
    <w:p>
      <w:pPr>
        <w:spacing w:after="0" w:line="174"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Patients generally experienced significant and rapid, clinically meaningful and durable improvements in CRS symptoms in the Phase 1 trial, as measured by SNOT-22 score (see Figure 9, above). Significant reduction in SNOT-22 scores was observed at week 1 and this reduction persisted through week 25, at the end of the trial</w:t>
      </w:r>
    </w:p>
    <w:p>
      <w:pPr>
        <w:spacing w:after="0" w:line="11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700"/>
          </w:cols>
          <w:pgMar w:left="320" w:top="437" w:right="8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83" w:lineRule="auto"/>
        <w:rPr>
          <w:sz w:val="20"/>
          <w:szCs w:val="20"/>
          <w:color w:val="auto"/>
        </w:rPr>
      </w:pPr>
      <w:r>
        <w:rPr>
          <w:rFonts w:ascii="Arial" w:cs="Arial" w:eastAsia="Arial" w:hAnsi="Arial"/>
          <w:sz w:val="15"/>
          <w:szCs w:val="15"/>
          <w:color w:val="auto"/>
        </w:rPr>
        <w:t>(see Figure 9, above). Changes from baseline, or CFBL, in SNOT-22 score were statistically significant (P &lt; 0.01) at all measured intervals. The average change from baseline in SNOT-22 score at week 1 was -13.0 points (P= 0.008 to pre-treatment), achieving the MCID of -8.9 points. Further, symptom relief was observed through the entire duration of study, and achieved -20.5 points at week 24 (P=0.00005 to pre-treatment), at the time LYR-210 was removed. Significant symptom improvement was achieved in all of the SNOT-22 subdomains at week 24. We also conducted a retrospective analysis of symptom improvement, as measured by CFBL, in the individual domain scores extracted from individual SNOT-22 scores that correspond to the cardinal symptoms comprising the 4CSS in order to retrospectively assess the improvement of these cardinal symptoms in these patients (see Figure 10, above). This retrospective analysis showed that the CFBL in the individual domain scores were generally consistent with the CFBL in the SNOT-22 scores. This composite score produced as a result of the retrospective analysis was not an endpoint of our Phase 1 clinical trial or addressed in our statistical analysis plan and was done for illustrative purposes only. Our Phase 2 LANTERN clinical trial uses a composite score of 4CSS as its primary endpoint at week 4. However, there are differences related to how the endpoint will be calculated compared to the retrospective analysis of the Phase 1 clinical trial data. For example, the wording of the questions in the SNOT-22 questionnaire relating to the four cardinal symptom domains is similar, but not identical, to the wording in the 4CSS questionnaire used in our Phase 2 LANTERN clinical trial. In addition, the SNOT-22 questions use a scale of 0 to 5 while the 4CSS questions in our Phase 2 LANTERN clinical trial use a scale of 0 to 3. Finally, the individual SNOT-22 domain scores used in the retrospective analysis were measured every two weeks and were not averaged, while the primary endpoint in our Phase 2 LANTERN clinical trial is the CFBL of the 7-day average scores of 4CSS at week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127000</wp:posOffset>
            </wp:positionV>
            <wp:extent cx="3610610" cy="18491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10610" cy="184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11. Percent of Patients with Symptom Improvement by SNOT-22 Score, Showing Improvement with MCID and without MCID, in Phase 1 Clinical Trial for LYR-210.</w:t>
      </w:r>
    </w:p>
    <w:p>
      <w:pPr>
        <w:spacing w:after="0" w:line="13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720"/>
          </w:cols>
          <w:pgMar w:left="320" w:top="437" w:right="8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68" w:lineRule="auto"/>
        <w:rPr>
          <w:sz w:val="20"/>
          <w:szCs w:val="20"/>
          <w:color w:val="auto"/>
        </w:rPr>
      </w:pPr>
      <w:r>
        <w:rPr>
          <w:rFonts w:ascii="Arial" w:cs="Arial" w:eastAsia="Arial" w:hAnsi="Arial"/>
          <w:sz w:val="17"/>
          <w:szCs w:val="17"/>
          <w:color w:val="auto"/>
        </w:rPr>
        <w:t>At week 24, 90% of patients improved versus the baseline score, with clinically meaningful improvement observed in 70% of patients (see Figure 11,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128905</wp:posOffset>
            </wp:positionV>
            <wp:extent cx="2901315" cy="2056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01315" cy="205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Arial" w:cs="Arial" w:eastAsia="Arial" w:hAnsi="Arial"/>
          <w:sz w:val="13"/>
          <w:szCs w:val="13"/>
          <w:i w:val="1"/>
          <w:iCs w:val="1"/>
          <w:color w:val="687F7F"/>
        </w:rPr>
        <w:t>* P&lt;0.05, **P&lt;0.01, ***P&lt;0.001, **** P&lt;0.0001 to baseline by paired two tailed t-test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12. Symptom Improvement in Polyp and Non-Polyp Patients by Change from Baseline in SNOT-22 Score in Phase 1 Clinical Trial for LYR-210.</w:t>
      </w:r>
    </w:p>
    <w:p>
      <w:pPr>
        <w:spacing w:after="0" w:line="195" w:lineRule="exact"/>
        <w:rPr>
          <w:sz w:val="20"/>
          <w:szCs w:val="20"/>
          <w:color w:val="auto"/>
        </w:rPr>
      </w:pPr>
    </w:p>
    <w:p>
      <w:pPr>
        <w:jc w:val="both"/>
        <w:ind w:left="500" w:right="140" w:firstLine="819"/>
        <w:spacing w:after="0" w:line="257" w:lineRule="auto"/>
        <w:rPr>
          <w:sz w:val="20"/>
          <w:szCs w:val="20"/>
          <w:color w:val="auto"/>
        </w:rPr>
      </w:pPr>
      <w:r>
        <w:rPr>
          <w:rFonts w:ascii="Arial" w:cs="Arial" w:eastAsia="Arial" w:hAnsi="Arial"/>
          <w:sz w:val="17"/>
          <w:szCs w:val="17"/>
          <w:color w:val="auto"/>
        </w:rPr>
        <w:t>Similar efficacy was observed in both polyp and non-polyp patients (see Figure 12, above). Further, even though each of the clinical trial patients were surgery candidates at the trial entry and no topical intranasal spray was utilized in conjunction with LYR-210 during the 25-week trial, none of the patients underwent sinus surgery during the treatment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135255</wp:posOffset>
            </wp:positionV>
            <wp:extent cx="3435350" cy="20961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35350" cy="209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Figure 13. Endoscopy Images Before and After Treatment with LYR-210 in Phase 1 Clinical Trial. For illustrative purposes only.</w:t>
      </w:r>
    </w:p>
    <w:p>
      <w:pPr>
        <w:spacing w:after="0" w:line="195" w:lineRule="exact"/>
        <w:rPr>
          <w:sz w:val="20"/>
          <w:szCs w:val="20"/>
          <w:color w:val="auto"/>
        </w:rPr>
      </w:pPr>
    </w:p>
    <w:p>
      <w:pPr>
        <w:ind w:left="500" w:right="40" w:firstLine="819"/>
        <w:spacing w:after="0" w:line="257" w:lineRule="auto"/>
        <w:rPr>
          <w:sz w:val="20"/>
          <w:szCs w:val="20"/>
          <w:color w:val="auto"/>
        </w:rPr>
      </w:pPr>
      <w:r>
        <w:rPr>
          <w:rFonts w:ascii="Arial" w:cs="Arial" w:eastAsia="Arial" w:hAnsi="Arial"/>
          <w:sz w:val="17"/>
          <w:szCs w:val="17"/>
          <w:color w:val="auto"/>
        </w:rPr>
        <w:t>Figure 13, above, shows via nasal endoscopy images from our Phase 1 clinical trial the impact of LYR-210 observed in a patient without nasal polyps and a patient with nasal polyps at three time points: before LYR-210 placement, after LYR-210 placement and at week 25, one week after LYR-210 was removed. The</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620"/>
          </w:cols>
          <w:pgMar w:left="320" w:top="437" w:right="95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40"/>
        <w:spacing w:after="0" w:line="280" w:lineRule="auto"/>
        <w:rPr>
          <w:sz w:val="20"/>
          <w:szCs w:val="20"/>
          <w:color w:val="auto"/>
        </w:rPr>
      </w:pPr>
      <w:r>
        <w:rPr>
          <w:rFonts w:ascii="Arial" w:cs="Arial" w:eastAsia="Arial" w:hAnsi="Arial"/>
          <w:sz w:val="16"/>
          <w:szCs w:val="16"/>
          <w:color w:val="auto"/>
        </w:rPr>
        <w:t>middle image for each patient shows the deployment of LYR-210 in the middle meatus of a non-polyp and a polyp patient, and how LYR-210 conformed to the walls of the obstructed nasal anatomy to maximize tissue contact. In the third image for each patient, the erythema and inflammation present before treatment was observed to be resolved and less evident after 24 weeks of treatment and one week post-removal.</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LYR-220 for the Treatment of CRS</w:t>
      </w:r>
    </w:p>
    <w:p>
      <w:pPr>
        <w:spacing w:after="0" w:line="210" w:lineRule="exact"/>
        <w:rPr>
          <w:sz w:val="20"/>
          <w:szCs w:val="20"/>
          <w:color w:val="auto"/>
        </w:rPr>
      </w:pPr>
    </w:p>
    <w:p>
      <w:pPr>
        <w:ind w:left="500" w:right="40" w:firstLine="819"/>
        <w:spacing w:after="0" w:line="293" w:lineRule="auto"/>
        <w:rPr>
          <w:sz w:val="20"/>
          <w:szCs w:val="20"/>
          <w:color w:val="auto"/>
        </w:rPr>
      </w:pPr>
      <w:r>
        <w:rPr>
          <w:rFonts w:ascii="Arial" w:cs="Arial" w:eastAsia="Arial" w:hAnsi="Arial"/>
          <w:sz w:val="15"/>
          <w:szCs w:val="15"/>
          <w:color w:val="auto"/>
        </w:rPr>
        <w:t>LYR-220 is a new investigative therapy for CRS patients with and without nasal polyps that have failed medical management and have had a prior endoscopic sinus surgery. In the treatment paradigm, LYR-220, if approved, is positioned for use for patients post-surgical intervention who continue to have recurrent CRS symptoms or relapse, as a potential preferred alternative to revision surgery. LYR-220 utilizes the same API as LYR-210, but with a larger matrix to treat larger nasal cavities consistent with those in post-surgical CRS patients. We estimate that 40% of patients that present to an ENT physician with CRS have had a prior surgery. These patients represent the addressable market for LYR-220.</w:t>
      </w:r>
    </w:p>
    <w:p>
      <w:pPr>
        <w:spacing w:after="0" w:line="152" w:lineRule="exact"/>
        <w:rPr>
          <w:sz w:val="20"/>
          <w:szCs w:val="20"/>
          <w:color w:val="auto"/>
        </w:rPr>
      </w:pPr>
    </w:p>
    <w:p>
      <w:pPr>
        <w:ind w:left="500" w:right="40" w:firstLine="819"/>
        <w:spacing w:after="0" w:line="290" w:lineRule="auto"/>
        <w:rPr>
          <w:sz w:val="20"/>
          <w:szCs w:val="20"/>
          <w:color w:val="auto"/>
        </w:rPr>
      </w:pPr>
      <w:r>
        <w:rPr>
          <w:rFonts w:ascii="Arial" w:cs="Arial" w:eastAsia="Arial" w:hAnsi="Arial"/>
          <w:sz w:val="15"/>
          <w:szCs w:val="15"/>
          <w:color w:val="auto"/>
        </w:rPr>
        <w:t>No product is currently approved by the FDA to treat post-surgery CRS patients that do not have polyps, representing the vast majority of such CRS patients, and only a three-month steroid-eluting sinus implant and a mAb have been approved by the FDA for the treatment of post-surgery CRS patients that have polyps. We believe LYR-220 is meaningfully differentiated from currently approved products because, if successfully developed and approved, it would be the only product able to deliver up to six months of topical treatment in a single administration to treat both polyp and non-polyp post-surgery CRS patients who fail medical management. Further, with respect to the mAb, LYR-220 is differentiated because it would provide localized delivery so as to avoid systemic side effects with the added benefit of being a significantly more economical treatment alternative.</w:t>
      </w:r>
    </w:p>
    <w:p>
      <w:pPr>
        <w:spacing w:after="0" w:line="155"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Subject to the impact of COVID-19 on our business, we expect to initiate a proof-of-concept clinical trial for LYR-220 by the end of 2021 and, if LYR-210 is approved by the FDA, to submit an sNDA for a potentially faster path to approval for LYR-220. We believe the clinical development of LYR-220 may require only a single Phase 3 study for registration.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Future Product Candidates</w:t>
      </w:r>
    </w:p>
    <w:p>
      <w:pPr>
        <w:spacing w:after="0" w:line="210" w:lineRule="exact"/>
        <w:rPr>
          <w:sz w:val="20"/>
          <w:szCs w:val="20"/>
          <w:color w:val="auto"/>
        </w:rPr>
      </w:pPr>
    </w:p>
    <w:p>
      <w:pPr>
        <w:ind w:left="500" w:right="60" w:firstLine="819"/>
        <w:spacing w:after="0" w:line="253" w:lineRule="auto"/>
        <w:rPr>
          <w:sz w:val="20"/>
          <w:szCs w:val="20"/>
          <w:color w:val="auto"/>
        </w:rPr>
      </w:pPr>
      <w:r>
        <w:rPr>
          <w:rFonts w:ascii="Arial" w:cs="Arial" w:eastAsia="Arial" w:hAnsi="Arial"/>
          <w:sz w:val="17"/>
          <w:szCs w:val="17"/>
          <w:color w:val="auto"/>
        </w:rPr>
        <w:t>Our XTreo platform provides a versatile drug development engine that enables us to focus on other indications where long-term delivery of existing treatments may provide improved local bioavailability and enhanced efficacy or safety. Other conditions we may pursue with nasal delivery include allergic rhinitis, rare disorders where nasal disease contributes to the disease pathology and central nervous system disorders. Additionally, we believe our platform can be adapted to locally address conditions of the ear.</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Post-Approval Commercialization Strategy</w:t>
      </w:r>
    </w:p>
    <w:p>
      <w:pPr>
        <w:spacing w:after="0" w:line="210" w:lineRule="exact"/>
        <w:rPr>
          <w:sz w:val="20"/>
          <w:szCs w:val="20"/>
          <w:color w:val="auto"/>
        </w:rPr>
      </w:pPr>
    </w:p>
    <w:p>
      <w:pPr>
        <w:ind w:left="500" w:right="60" w:firstLine="819"/>
        <w:spacing w:after="0" w:line="287" w:lineRule="auto"/>
        <w:rPr>
          <w:sz w:val="20"/>
          <w:szCs w:val="20"/>
          <w:color w:val="auto"/>
        </w:rPr>
      </w:pPr>
      <w:r>
        <w:rPr>
          <w:rFonts w:ascii="Arial" w:cs="Arial" w:eastAsia="Arial" w:hAnsi="Arial"/>
          <w:sz w:val="15"/>
          <w:szCs w:val="15"/>
          <w:color w:val="auto"/>
        </w:rPr>
        <w:t>If LYR-210 and LYR-220 are successfully developed and approved, we intend to engage in targeted outreach to our key physician, payer and patient audiences. ENT physicians are the primary treaters of CRS patients who have failed medical management and thus represent our target physician base. Given the requirement for endoscopic placement of our products, we plan to build an in-house sales force, consisting of approximately 75-100 employees, that will target ENT physicians whose sub-specialty is general otolaryngology or rhinology, which together represent approximately 60% of the approximately 12,000 ENT physicians in the United States. Given that LYR-210 and LYR-220 can be administered in a brief, simple procedure requiring no additional equipment, we anticipate that our sales representatives’ time will primarily be directed at educating the ENT physicians around product attributes and patient selection. We plan to supplement our direct physician outreach with appropriate medical education and marketing efforts to further penetrate our physician base and drive adoption of our products.</w:t>
      </w:r>
    </w:p>
    <w:p>
      <w:pPr>
        <w:spacing w:after="0" w:line="157" w:lineRule="exact"/>
        <w:rPr>
          <w:sz w:val="20"/>
          <w:szCs w:val="20"/>
          <w:color w:val="auto"/>
        </w:rPr>
      </w:pPr>
    </w:p>
    <w:p>
      <w:pPr>
        <w:ind w:left="500" w:firstLine="819"/>
        <w:spacing w:after="0" w:line="268" w:lineRule="auto"/>
        <w:rPr>
          <w:sz w:val="20"/>
          <w:szCs w:val="20"/>
          <w:color w:val="auto"/>
        </w:rPr>
      </w:pPr>
      <w:r>
        <w:rPr>
          <w:rFonts w:ascii="Arial" w:cs="Arial" w:eastAsia="Arial" w:hAnsi="Arial"/>
          <w:sz w:val="17"/>
          <w:szCs w:val="17"/>
          <w:color w:val="auto"/>
        </w:rPr>
        <w:t>Ensuring physician and patient market access to our products will be critical to our success, and we plan to execute a holistic reimbursement strategy, consisting of a reimbursement support hub and approximately</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720"/>
          </w:cols>
          <w:pgMar w:left="320" w:top="437" w:right="8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67" w:lineRule="auto"/>
        <w:rPr>
          <w:sz w:val="20"/>
          <w:szCs w:val="20"/>
          <w:color w:val="auto"/>
        </w:rPr>
      </w:pPr>
      <w:r>
        <w:rPr>
          <w:rFonts w:ascii="Arial" w:cs="Arial" w:eastAsia="Arial" w:hAnsi="Arial"/>
          <w:sz w:val="16"/>
          <w:szCs w:val="16"/>
          <w:color w:val="auto"/>
        </w:rPr>
        <w:t>15-20 field-based reimbursement experts, that will integrate payer coverage and physician practice management initiatives. We believe that the primary decision makers from a payer perspective are private payers, which represent approximately 80% of the payer mix for our products. We intend to deploy a market access team to educate payers on the clinical and pharmacoeconomic attributes of our products and to seek to secure favorable coverage policies and to maximize the covered lives that have reimbursement for our products. The team will also secure the necessary codes to facilitate physician and patient payment including a J-code, which is required for physician-administered products. In addition, we expect to be able to use existing current procedural terminology codes for procedures involving the placement and removal of our product candidates, if approved. To maximize access to LYR-210 and LYR-220, we plan to develop a reimbursement support model which aims to reduce physician financial risk associated with physician-administered products.</w:t>
      </w:r>
    </w:p>
    <w:p>
      <w:pPr>
        <w:spacing w:after="0" w:line="170" w:lineRule="exact"/>
        <w:rPr>
          <w:sz w:val="20"/>
          <w:szCs w:val="20"/>
          <w:color w:val="auto"/>
        </w:rPr>
      </w:pPr>
    </w:p>
    <w:p>
      <w:pPr>
        <w:ind w:left="500" w:right="640" w:firstLine="819"/>
        <w:spacing w:after="0" w:line="335" w:lineRule="auto"/>
        <w:rPr>
          <w:sz w:val="20"/>
          <w:szCs w:val="20"/>
          <w:color w:val="auto"/>
        </w:rPr>
      </w:pPr>
      <w:r>
        <w:rPr>
          <w:rFonts w:ascii="Arial" w:cs="Arial" w:eastAsia="Arial" w:hAnsi="Arial"/>
          <w:sz w:val="15"/>
          <w:szCs w:val="15"/>
          <w:color w:val="auto"/>
        </w:rPr>
        <w:t>Subsequent to our initial ENT physician and payer efforts, we also plan to selectively use cost-effective, patient-directed marketing strategies to further increase awareness among the CRS patient community of our products with the goal of increasing ENT physician visits.</w:t>
      </w:r>
    </w:p>
    <w:p>
      <w:pPr>
        <w:spacing w:after="0" w:line="121" w:lineRule="exact"/>
        <w:rPr>
          <w:sz w:val="20"/>
          <w:szCs w:val="20"/>
          <w:color w:val="auto"/>
        </w:rPr>
      </w:pPr>
    </w:p>
    <w:p>
      <w:pPr>
        <w:ind w:left="500" w:right="180" w:firstLine="819"/>
        <w:spacing w:after="0" w:line="335" w:lineRule="auto"/>
        <w:rPr>
          <w:sz w:val="20"/>
          <w:szCs w:val="20"/>
          <w:color w:val="auto"/>
        </w:rPr>
      </w:pPr>
      <w:r>
        <w:rPr>
          <w:rFonts w:ascii="Arial" w:cs="Arial" w:eastAsia="Arial" w:hAnsi="Arial"/>
          <w:sz w:val="15"/>
          <w:szCs w:val="15"/>
          <w:color w:val="auto"/>
        </w:rPr>
        <w:t>In addition, we may also consider entering into collaborative relationships with established entities outside the U.S. for a potentially faster path to bringing our products to market. We may also enter into collaborative relationships within the U.S. for future pipeline product candidates.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Competition</w:t>
      </w:r>
    </w:p>
    <w:p>
      <w:pPr>
        <w:spacing w:after="0" w:line="210" w:lineRule="exact"/>
        <w:rPr>
          <w:sz w:val="20"/>
          <w:szCs w:val="20"/>
          <w:color w:val="auto"/>
        </w:rPr>
      </w:pPr>
    </w:p>
    <w:p>
      <w:pPr>
        <w:ind w:left="500" w:right="100" w:firstLine="819"/>
        <w:spacing w:after="0" w:line="274" w:lineRule="auto"/>
        <w:rPr>
          <w:sz w:val="20"/>
          <w:szCs w:val="20"/>
          <w:color w:val="auto"/>
        </w:rPr>
      </w:pPr>
      <w:r>
        <w:rPr>
          <w:rFonts w:ascii="Arial" w:cs="Arial" w:eastAsia="Arial" w:hAnsi="Arial"/>
          <w:sz w:val="16"/>
          <w:szCs w:val="16"/>
          <w:color w:val="auto"/>
        </w:rPr>
        <w:t>Our industry is highly competitive and subject to rapid and significant technological change as research provides a deeper understanding of the pathology of diseases and new technologies and treatments are developed. We believe our scientific knowledge, technology, and development capabilities provide us with substantial competitive advantages, but we face potential competition from multiple sources, including large pharmaceutical, biotechnology, specialty pharmaceutical and, to a lesser degree, medical device companies.</w:t>
      </w:r>
    </w:p>
    <w:p>
      <w:pPr>
        <w:spacing w:after="0" w:line="164" w:lineRule="exact"/>
        <w:rPr>
          <w:sz w:val="20"/>
          <w:szCs w:val="20"/>
          <w:color w:val="auto"/>
        </w:rPr>
      </w:pPr>
    </w:p>
    <w:p>
      <w:pPr>
        <w:ind w:left="500" w:right="140" w:firstLine="819"/>
        <w:spacing w:after="0" w:line="269" w:lineRule="auto"/>
        <w:rPr>
          <w:sz w:val="20"/>
          <w:szCs w:val="20"/>
          <w:color w:val="auto"/>
        </w:rPr>
      </w:pPr>
      <w:r>
        <w:rPr>
          <w:rFonts w:ascii="Arial" w:cs="Arial" w:eastAsia="Arial" w:hAnsi="Arial"/>
          <w:sz w:val="16"/>
          <w:szCs w:val="16"/>
          <w:color w:val="auto"/>
        </w:rPr>
        <w:t>Our competitors may have significantly greater financial resources, robust drug pipelines,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clinical, regulatory, scientific, sales, marketing and management personnel,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69"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LYR-210 and LYR-220 are positioned following the failure of medical management and therefore are not anticipated to compete directly with branded, generic or over-the-counter, inhaled corticosteroids. LYR-210 is positioned for use in surgically-naïve CRS patients where the primary competitive treatment is surgical procedures, including FESS with and without BSD and BSD as a standalone procedure. In this space, LYR-210 would be the only product we are aware of that may deliver six months of local treatment with a single administration for both patients with and without polyps as a preferred alternative to surgical interventions. LYR-220 is positioned for use in patients that have had a prior FESS. Currently there are no competitive treatments for post-surgical patients without polyps. For patients with polyps, LYR-220 would compete against steroid-releasing sinus implants and mAbs. We believe LYR-220 has competitive advantages over these interventions, including a longer elution profile than the existing sinus implant and no systemic exposure relative to the mAb. Key competitive factors affecting the commercial success of both LYR-210 and LYR-220 and any other product candidates we may develop are likely to be efficacy, safety and tolerability profile, reliability, convenience of administration, price and reimbursement.</w:t>
      </w:r>
    </w:p>
    <w:p>
      <w:pPr>
        <w:spacing w:after="0" w:line="170" w:lineRule="exact"/>
        <w:rPr>
          <w:sz w:val="20"/>
          <w:szCs w:val="20"/>
          <w:color w:val="auto"/>
        </w:rPr>
      </w:pPr>
    </w:p>
    <w:p>
      <w:pPr>
        <w:ind w:left="500" w:right="880" w:firstLine="819"/>
        <w:spacing w:after="0" w:line="268" w:lineRule="auto"/>
        <w:rPr>
          <w:sz w:val="20"/>
          <w:szCs w:val="20"/>
          <w:color w:val="auto"/>
        </w:rPr>
      </w:pPr>
      <w:r>
        <w:rPr>
          <w:rFonts w:ascii="Arial" w:cs="Arial" w:eastAsia="Arial" w:hAnsi="Arial"/>
          <w:sz w:val="17"/>
          <w:szCs w:val="17"/>
          <w:color w:val="auto"/>
        </w:rPr>
        <w:t>Several companies are also currently developing treatments for CRS patients with nasal polyps, including Hoffmann-La Roche, GlaxoSmithKline, Gossamer Bio, AnaptysBio, Regeneron, OptiNose and</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740"/>
          </w:cols>
          <w:pgMar w:left="320" w:top="437" w:right="8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Intersect ENT. If these treatments are approved by the FDA, they could represent competition across the spectrum of CRS patients.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Manufacturing and Supply</w:t>
      </w:r>
    </w:p>
    <w:p>
      <w:pPr>
        <w:spacing w:after="0" w:line="210"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We currently manufacture our drug delivery products at our facility in Watertown, Massachusetts with components supplied by external suppliers. We perform inspections of these components before use in our manufacturing operations. Using these components, we manufacture, assemble, inspect, and package our implants, and send them to a third-party sterilization vendor. After sterilization, we inspect the product and test via third-party laboratories to determine compliance with our specifications. Upon release of the lot to inventory, the product is labeled and distributed via a third-party vendor to clinical sites.</w:t>
      </w:r>
    </w:p>
    <w:p>
      <w:pPr>
        <w:spacing w:after="0" w:line="183" w:lineRule="exact"/>
        <w:rPr>
          <w:sz w:val="20"/>
          <w:szCs w:val="20"/>
          <w:color w:val="auto"/>
        </w:rPr>
      </w:pPr>
    </w:p>
    <w:p>
      <w:pPr>
        <w:ind w:left="500" w:right="20" w:firstLine="819"/>
        <w:spacing w:after="0" w:line="286" w:lineRule="auto"/>
        <w:rPr>
          <w:sz w:val="20"/>
          <w:szCs w:val="20"/>
          <w:color w:val="auto"/>
        </w:rPr>
      </w:pPr>
      <w:r>
        <w:rPr>
          <w:rFonts w:ascii="Arial" w:cs="Arial" w:eastAsia="Arial" w:hAnsi="Arial"/>
          <w:sz w:val="15"/>
          <w:szCs w:val="15"/>
          <w:color w:val="auto"/>
        </w:rPr>
        <w:t>The API and a number of the components used in our implants are currently supplied to us from single source suppliers. We source our supplies from manufacturers with a track record of Good Manufacturing Procedures (GMP). We rely on single source suppliers for some of our polymer materials, some extrusions and molded components, and for finished goods testing, labeling and distribution. Our ability to supply our products and to develop our product candidates depends, in part, on our ability to obtain successfully the API and polymer materials used in these products in accordance with regulatory requirements and in sufficient quantities. We plan to enter into manufacturing, supply and quality agreements with our single source suppliers. We generally acquire our single source components pursuant to purchase orders placed in the ordinary course of business. We currently maintain sufficient supplies of the API and components from our single source suppliers to support our ongoing Phase 2 LANTERN clinical trial and ongoing development activities. In the future, we intend to maintain sufficient supplies such that our ability to supply the clinic or commercial market will not be compromised and so as to allow for sufficient time necessary to obtain another source of API or components.</w:t>
      </w:r>
    </w:p>
    <w:p>
      <w:pPr>
        <w:spacing w:after="0" w:line="159" w:lineRule="exact"/>
        <w:rPr>
          <w:sz w:val="20"/>
          <w:szCs w:val="20"/>
          <w:color w:val="auto"/>
        </w:rPr>
      </w:pPr>
    </w:p>
    <w:p>
      <w:pPr>
        <w:ind w:left="500" w:right="180" w:firstLine="819"/>
        <w:spacing w:after="0" w:line="253" w:lineRule="auto"/>
        <w:rPr>
          <w:sz w:val="20"/>
          <w:szCs w:val="20"/>
          <w:color w:val="auto"/>
        </w:rPr>
      </w:pPr>
      <w:r>
        <w:rPr>
          <w:rFonts w:ascii="Arial" w:cs="Arial" w:eastAsia="Arial" w:hAnsi="Arial"/>
          <w:sz w:val="17"/>
          <w:szCs w:val="17"/>
          <w:color w:val="auto"/>
        </w:rPr>
        <w:t>We are currently improving our manufacturing capabilities and increasing capacity to better support further clinical studies and commercialization. We plan to use an outsourcing model and choose a contract manufacturer with the appropriate infrastructure, technical experience, quality systems and a track record of FDA compliance. We plan to continue to use an outsourcing model for our operations until we reach a sufficient scale to justify investment in internal manufacturing capacity.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Intellectual Property</w:t>
      </w:r>
    </w:p>
    <w:p>
      <w:pPr>
        <w:spacing w:after="0" w:line="210" w:lineRule="exact"/>
        <w:rPr>
          <w:sz w:val="20"/>
          <w:szCs w:val="20"/>
          <w:color w:val="auto"/>
        </w:rPr>
      </w:pPr>
    </w:p>
    <w:p>
      <w:pPr>
        <w:ind w:left="500" w:right="20" w:firstLine="819"/>
        <w:spacing w:after="0" w:line="251" w:lineRule="auto"/>
        <w:rPr>
          <w:sz w:val="20"/>
          <w:szCs w:val="20"/>
          <w:color w:val="auto"/>
        </w:rPr>
      </w:pPr>
      <w:r>
        <w:rPr>
          <w:rFonts w:ascii="Arial" w:cs="Arial" w:eastAsia="Arial" w:hAnsi="Arial"/>
          <w:sz w:val="17"/>
          <w:szCs w:val="17"/>
          <w:color w:val="auto"/>
        </w:rPr>
        <w:t>We actively seek to protect the intellectual property and proprietary technology platform that we believe is important to our business, which includes seeking and maintaining patents covering our technology platform and products, and any other inventions that are commercially or strategically important to the development of our business. We also rely upon trademarks to build and maintain the integrity of our brand, and we seek to protect the confidentiality of trade secrets that may be important to the development of our business. For more information, please see “Risk Factors—Risks Related to Our Intellectual Property”.</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Patents and Patent Applications</w:t>
      </w:r>
    </w:p>
    <w:p>
      <w:pPr>
        <w:spacing w:after="0" w:line="206" w:lineRule="exact"/>
        <w:rPr>
          <w:sz w:val="20"/>
          <w:szCs w:val="20"/>
          <w:color w:val="auto"/>
        </w:rPr>
      </w:pPr>
    </w:p>
    <w:p>
      <w:pPr>
        <w:jc w:val="both"/>
        <w:ind w:left="500" w:right="180" w:firstLine="819"/>
        <w:spacing w:after="0" w:line="257" w:lineRule="auto"/>
        <w:rPr>
          <w:sz w:val="20"/>
          <w:szCs w:val="20"/>
          <w:color w:val="auto"/>
        </w:rPr>
      </w:pPr>
      <w:r>
        <w:rPr>
          <w:rFonts w:ascii="Arial" w:cs="Arial" w:eastAsia="Arial" w:hAnsi="Arial"/>
          <w:sz w:val="17"/>
          <w:szCs w:val="17"/>
          <w:color w:val="auto"/>
        </w:rPr>
        <w:t>As of March 31, 2020, we own 20 issued U.S. patents, nine foreign issued patents, five U.S. pending applications, and 21 foreign pending applications, out of which 13 issued U.S. patents, nine foreign issued patents, five U.S. pending applications, and 21 foreign pending applications are directed to our XTreo platform, LYR-210, and LYR-220.</w:t>
      </w:r>
    </w:p>
    <w:p>
      <w:pPr>
        <w:spacing w:after="0" w:line="175" w:lineRule="exact"/>
        <w:rPr>
          <w:sz w:val="20"/>
          <w:szCs w:val="20"/>
          <w:color w:val="auto"/>
        </w:rPr>
      </w:pPr>
    </w:p>
    <w:p>
      <w:pPr>
        <w:ind w:left="500" w:firstLine="819"/>
        <w:spacing w:after="0" w:line="274" w:lineRule="auto"/>
        <w:rPr>
          <w:sz w:val="20"/>
          <w:szCs w:val="20"/>
          <w:color w:val="auto"/>
        </w:rPr>
      </w:pPr>
      <w:r>
        <w:rPr>
          <w:rFonts w:ascii="Arial" w:cs="Arial" w:eastAsia="Arial" w:hAnsi="Arial"/>
          <w:sz w:val="16"/>
          <w:szCs w:val="16"/>
          <w:color w:val="auto"/>
        </w:rPr>
        <w:t>All technology material to our business has been developed in-house and is protected with patents and patent applications in two major lineages, along with the beginning of a third, more recent lineage of patent applications. The first lineage dates from 2009 and provides protection potentially until 2030, exclusive of possible patent term adjustments or extensions or other forms of exclusivity. This first lineage includes issued patents in the U.S., Europe, Japan, Canada and Great Britain, that are not limited to any particular drug, site of</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740"/>
          </w:cols>
          <w:pgMar w:left="320" w:top="437" w:right="8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87" w:lineRule="auto"/>
        <w:rPr>
          <w:sz w:val="20"/>
          <w:szCs w:val="20"/>
          <w:color w:val="auto"/>
        </w:rPr>
      </w:pPr>
      <w:r>
        <w:rPr>
          <w:rFonts w:ascii="Arial" w:cs="Arial" w:eastAsia="Arial" w:hAnsi="Arial"/>
          <w:sz w:val="15"/>
          <w:szCs w:val="15"/>
          <w:color w:val="auto"/>
        </w:rPr>
        <w:t>delivery or patient condition, but specify features of the implant, system, method and polymers. The second lineage dates from 2015 and provides protection potentially until 2036, exclusive of possible patent term adjustments or extensions or other forms of exclusivity. This second lineage includes issued U.S. patents with ENT-specific method claims directed to the specific drug, site of delivery (i.e. middle meatus) and patient condition, along with numerous pending applications in the U.S., Europe, Japan, Canada, China and the Great Britain. The third, more recent lineage dates from 2017 with the prospect of patent protection potentially until 2037, exclusive of possible patent term adjustments or extensions or other forms of exclusivity. This third lineage attempts to capture the drug release features and patient results from the recent clinical trial. It includes pending applications in the U.S. and Great Britain, along with a patent application filed under the Patent Cooperation Treaty that entered the National Phase in October of 2019 in the following countries: the U.S., Canada, Australia, Europe, Korea, Singapore, China and Japan.</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Trademarks and Trade Secrets</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As of March 31, 2020, our trademark portfolio contained one U.S. trademark registration and eight foreign trademark registrations.</w:t>
      </w:r>
    </w:p>
    <w:p>
      <w:pPr>
        <w:spacing w:after="0" w:line="218"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We also rely upon trade secrets, know-how and continuing technologies innovation, and may pursue licensing opportunities in the future, to develop and maintain our competitive position. We seek to protect our proprietary rights through a variety of methods, including confidentiality agreements, invention assignment agreements, non-solicitation and non-compete agreements with suppliers, employees, consultants and others who may have access to proprietary information.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210" w:lineRule="exact"/>
        <w:rPr>
          <w:sz w:val="20"/>
          <w:szCs w:val="20"/>
          <w:color w:val="auto"/>
        </w:rPr>
      </w:pPr>
    </w:p>
    <w:p>
      <w:pPr>
        <w:ind w:left="500" w:right="140" w:firstLine="819"/>
        <w:spacing w:after="0" w:line="290" w:lineRule="auto"/>
        <w:rPr>
          <w:sz w:val="20"/>
          <w:szCs w:val="20"/>
          <w:color w:val="auto"/>
        </w:rPr>
      </w:pPr>
      <w:r>
        <w:rPr>
          <w:rFonts w:ascii="Arial" w:cs="Arial" w:eastAsia="Arial" w:hAnsi="Arial"/>
          <w:sz w:val="15"/>
          <w:szCs w:val="15"/>
          <w:color w:val="auto"/>
        </w:rPr>
        <w:t>Government authorities in the United States, at the federal, state and local level, and in other countries extensively regulate, among other things, the research, development, testing, manufacturing, packaging, storage, recordkeeping, labeling, advertising, promotion, distribution, marketing, import, and export of pharmaceutical products such as those we are developing. We will be required to navigate the various preclinical, clinical and commercial approval requirements of the governing regulatory agencies of the countries in which we wish to conduct studies or seek approval of our product candidates. The processes for obtaining regulatory approvals in the United States and other countries, as appropriate, along with subsequent compliance with appropriate federal, state, local and foreign statutes and regulations, require the expenditure of substantial time and resources.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U.S. Government Regulation</w:t>
      </w:r>
    </w:p>
    <w:p>
      <w:pPr>
        <w:spacing w:after="0" w:line="206" w:lineRule="exact"/>
        <w:rPr>
          <w:sz w:val="20"/>
          <w:szCs w:val="20"/>
          <w:color w:val="auto"/>
        </w:rPr>
      </w:pPr>
    </w:p>
    <w:p>
      <w:pPr>
        <w:ind w:left="500" w:firstLine="819"/>
        <w:spacing w:after="0" w:line="249" w:lineRule="auto"/>
        <w:rPr>
          <w:sz w:val="20"/>
          <w:szCs w:val="20"/>
          <w:color w:val="auto"/>
        </w:rPr>
      </w:pPr>
      <w:r>
        <w:rPr>
          <w:rFonts w:ascii="Arial" w:cs="Arial" w:eastAsia="Arial" w:hAnsi="Arial"/>
          <w:sz w:val="17"/>
          <w:szCs w:val="17"/>
          <w:color w:val="auto"/>
        </w:rPr>
        <w:t>In the United States, we are subject to extensive regulation by the FDA, which regulates drugs under the Federal Food, Drug, and Cosmetic Act, or the FDCA, and its implementing regulations, and other federal, state, and local regulatory authorities.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w:t>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process required by the FDA before a drug may be marketed in the United States generally involves the following:</w:t>
      </w:r>
    </w:p>
    <w:p>
      <w:pPr>
        <w:spacing w:after="0" w:line="231" w:lineRule="exact"/>
        <w:rPr>
          <w:sz w:val="20"/>
          <w:szCs w:val="20"/>
          <w:color w:val="auto"/>
        </w:rPr>
      </w:pPr>
    </w:p>
    <w:p>
      <w:pPr>
        <w:ind w:left="1720" w:right="360" w:hanging="301"/>
        <w:spacing w:after="0" w:line="268" w:lineRule="auto"/>
        <w:tabs>
          <w:tab w:leader="none" w:pos="17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regulations;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740"/>
          </w:cols>
          <w:pgMar w:left="320" w:top="437" w:right="8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at each clinical site before each trial may be initiated;</w:t>
      </w:r>
    </w:p>
    <w:p>
      <w:pPr>
        <w:spacing w:after="0" w:line="231" w:lineRule="exact"/>
        <w:rPr>
          <w:rFonts w:ascii="Arial" w:cs="Arial" w:eastAsia="Arial" w:hAnsi="Arial"/>
          <w:sz w:val="17"/>
          <w:szCs w:val="17"/>
          <w:color w:val="auto"/>
        </w:rPr>
      </w:pPr>
    </w:p>
    <w:p>
      <w:pPr>
        <w:ind w:left="1720" w:right="220" w:hanging="301"/>
        <w:spacing w:after="0" w:line="268" w:lineRule="auto"/>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(GCP) requirements to establish the safety and efficacy of the proposed drug product for each indication;</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submission to the FDA of an NDA;</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231" w:lineRule="exact"/>
        <w:rPr>
          <w:rFonts w:ascii="Arial" w:cs="Arial" w:eastAsia="Arial" w:hAnsi="Arial"/>
          <w:sz w:val="17"/>
          <w:szCs w:val="17"/>
          <w:color w:val="auto"/>
        </w:rPr>
      </w:pPr>
    </w:p>
    <w:p>
      <w:pPr>
        <w:ind w:left="1720" w:right="180" w:hanging="301"/>
        <w:spacing w:after="0" w:line="257" w:lineRule="auto"/>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w:t>
      </w:r>
    </w:p>
    <w:p>
      <w:pPr>
        <w:spacing w:after="0" w:line="200" w:lineRule="exact"/>
        <w:rPr>
          <w:rFonts w:ascii="Arial" w:cs="Arial" w:eastAsia="Arial" w:hAnsi="Arial"/>
          <w:sz w:val="17"/>
          <w:szCs w:val="17"/>
          <w:color w:val="auto"/>
        </w:rPr>
      </w:pPr>
    </w:p>
    <w:p>
      <w:pPr>
        <w:ind w:left="1720" w:hanging="301"/>
        <w:spacing w:after="0" w:line="268" w:lineRule="auto"/>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satisfactory completion of an FDA inspection of selected clinical sites to assure compliance with GCPs and the integrity of the clinical data;</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payment of user fees;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FDA review and approval of the NDA.</w:t>
      </w:r>
    </w:p>
    <w:p>
      <w:pPr>
        <w:spacing w:after="0" w:line="206" w:lineRule="exact"/>
        <w:rPr>
          <w:sz w:val="20"/>
          <w:szCs w:val="20"/>
          <w:color w:val="auto"/>
        </w:rPr>
      </w:pPr>
    </w:p>
    <w:p>
      <w:pPr>
        <w:ind w:left="500" w:right="120" w:firstLine="819"/>
        <w:spacing w:after="0" w:line="284" w:lineRule="auto"/>
        <w:rPr>
          <w:sz w:val="20"/>
          <w:szCs w:val="20"/>
          <w:color w:val="auto"/>
        </w:rPr>
      </w:pPr>
      <w:r>
        <w:rPr>
          <w:rFonts w:ascii="Arial" w:cs="Arial" w:eastAsia="Arial" w:hAnsi="Arial"/>
          <w:sz w:val="15"/>
          <w:szCs w:val="15"/>
          <w:color w:val="auto"/>
        </w:rPr>
        <w:t>We are developing our product candidates using an innovative drug delivery platform comprised of a mesh scaffold, an elastomeric matrix and a polymer-drug complex delivered through a narrow applicator. In the United States, products composed of components that would normally be regulated by different centers at the FDA are known as combination products. Typically, the FDA’s Office of Combination Products assigns a combination product to a specific Agency Center as the lead reviewer. The FDA determines which Center will lead a product’s review based upon the product’s primary mode of action. Depending on the type of combination product, its approval, clearance or licensure may usually be obtained through the submission of a single marketing application. We anticipate that LYR-210 and LYR-220 will be regulated as drugs, and for each product candidate, the FDA will permit a single regulatory submission seeking approval. However, the FDA sometimes will require separate marketing applications for individual constituent parts of the combination product which may require additional time, effort, and information. Even when a single marketing application is required for a combination product, such as an NDA for a combination pharmaceutical and device product, both the FDA’s Center for Drug Evaluation and Research and the FDA’s Center for Devices and Radiological Health may participate in the review. An applicant will also need to discuss with the Agency how to apply certain premarket requirements and post-marketing regulatory requirements, including conduct of clinical trials, adverse event reporting and good manufacturing practices, to their combination product.</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206" w:lineRule="exact"/>
        <w:rPr>
          <w:sz w:val="20"/>
          <w:szCs w:val="20"/>
          <w:color w:val="auto"/>
        </w:rPr>
      </w:pPr>
    </w:p>
    <w:p>
      <w:pPr>
        <w:ind w:left="500" w:right="60" w:firstLine="819"/>
        <w:spacing w:after="0" w:line="268" w:lineRule="auto"/>
        <w:rPr>
          <w:sz w:val="20"/>
          <w:szCs w:val="20"/>
          <w:color w:val="auto"/>
        </w:rPr>
      </w:pPr>
      <w:r>
        <w:rPr>
          <w:rFonts w:ascii="Arial" w:cs="Arial" w:eastAsia="Arial" w:hAnsi="Arial"/>
          <w:sz w:val="16"/>
          <w:szCs w:val="16"/>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and a clinical trial proposed in the IND may begin 30 days after the FDA receives the IND,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0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720"/>
          </w:cols>
          <w:pgMar w:left="320" w:top="437" w:right="8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Clinical Trials</w:t>
      </w:r>
    </w:p>
    <w:p>
      <w:pPr>
        <w:spacing w:after="0" w:line="206" w:lineRule="exact"/>
        <w:rPr>
          <w:sz w:val="20"/>
          <w:szCs w:val="20"/>
          <w:color w:val="auto"/>
        </w:rPr>
      </w:pPr>
    </w:p>
    <w:p>
      <w:pPr>
        <w:ind w:left="500" w:firstLine="819"/>
        <w:spacing w:after="0" w:line="267"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An IRB at each institution participating in the clinical trial must review and approve the plan for any clinical trial before it commences at that institution, and the IRB must continue to oversee the clinical trial while it is being conducted. Information about certain clinical trials must be submitted within specific timeframes to the National Institutes of Health, or NIH, for public dissemination on their www.clinicaltrials.gov website.</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Human clinical trials are typically conducted in three or four sequential phases, which may overlap or be combined:</w:t>
      </w:r>
    </w:p>
    <w:p>
      <w:pPr>
        <w:spacing w:after="0" w:line="231" w:lineRule="exact"/>
        <w:rPr>
          <w:sz w:val="20"/>
          <w:szCs w:val="20"/>
          <w:color w:val="auto"/>
        </w:rPr>
      </w:pPr>
    </w:p>
    <w:p>
      <w:pPr>
        <w:ind w:left="1720" w:right="280" w:hanging="301"/>
        <w:spacing w:after="0" w:line="257" w:lineRule="auto"/>
        <w:tabs>
          <w:tab w:leader="none" w:pos="17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00" w:lineRule="exact"/>
        <w:rPr>
          <w:rFonts w:ascii="Arial" w:cs="Arial" w:eastAsia="Arial" w:hAnsi="Arial"/>
          <w:sz w:val="17"/>
          <w:szCs w:val="17"/>
          <w:color w:val="auto"/>
        </w:rPr>
      </w:pPr>
    </w:p>
    <w:p>
      <w:pPr>
        <w:ind w:left="1720" w:right="60" w:hanging="301"/>
        <w:spacing w:after="0" w:line="335" w:lineRule="auto"/>
        <w:tabs>
          <w:tab w:leader="none" w:pos="17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46" w:lineRule="exact"/>
        <w:rPr>
          <w:rFonts w:ascii="Arial" w:cs="Arial" w:eastAsia="Arial" w:hAnsi="Arial"/>
          <w:sz w:val="15"/>
          <w:szCs w:val="15"/>
          <w:color w:val="auto"/>
        </w:rPr>
      </w:pPr>
    </w:p>
    <w:p>
      <w:pPr>
        <w:ind w:left="1720" w:right="20" w:hanging="301"/>
        <w:spacing w:after="0" w:line="307" w:lineRule="auto"/>
        <w:tabs>
          <w:tab w:leader="none" w:pos="17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66" w:lineRule="exact"/>
        <w:rPr>
          <w:rFonts w:ascii="Arial" w:cs="Arial" w:eastAsia="Arial" w:hAnsi="Arial"/>
          <w:sz w:val="15"/>
          <w:szCs w:val="15"/>
          <w:color w:val="auto"/>
        </w:rPr>
      </w:pPr>
    </w:p>
    <w:p>
      <w:pPr>
        <w:ind w:left="1720" w:right="40" w:hanging="301"/>
        <w:spacing w:after="0" w:line="307" w:lineRule="auto"/>
        <w:tabs>
          <w:tab w:leader="none" w:pos="17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Phase 4: In some cases, the FDA may conditionally approve an NDA for a product candidate on the sponsor’s agreement to conduct additional clinical trials after NDA approval. In other cases, a sponsor may voluntarily conduct additional clinical trials post approval to gain more information about the drug. Such post approval trials are typically referred to as Phase 4 clinical trials.</w:t>
      </w:r>
    </w:p>
    <w:p>
      <w:pPr>
        <w:spacing w:after="0" w:line="141" w:lineRule="exact"/>
        <w:rPr>
          <w:sz w:val="20"/>
          <w:szCs w:val="20"/>
          <w:color w:val="auto"/>
        </w:rPr>
      </w:pPr>
    </w:p>
    <w:p>
      <w:pPr>
        <w:ind w:left="500" w:right="40" w:firstLine="819"/>
        <w:spacing w:after="0" w:line="293" w:lineRule="auto"/>
        <w:rPr>
          <w:sz w:val="20"/>
          <w:szCs w:val="20"/>
          <w:color w:val="auto"/>
        </w:rPr>
      </w:pPr>
      <w:r>
        <w:rPr>
          <w:rFonts w:ascii="Arial" w:cs="Arial" w:eastAsia="Arial" w:hAnsi="Arial"/>
          <w:sz w:val="15"/>
          <w:szCs w:val="15"/>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52" w:lineRule="exact"/>
        <w:rPr>
          <w:sz w:val="20"/>
          <w:szCs w:val="20"/>
          <w:color w:val="auto"/>
        </w:rPr>
      </w:pPr>
    </w:p>
    <w:p>
      <w:pPr>
        <w:jc w:val="both"/>
        <w:ind w:left="500" w:right="40" w:firstLine="819"/>
        <w:spacing w:after="0" w:line="250"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2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680"/>
          </w:cols>
          <w:pgMar w:left="320" w:top="437" w:right="89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Marketing Approval</w:t>
      </w:r>
    </w:p>
    <w:p>
      <w:pPr>
        <w:spacing w:after="0" w:line="206" w:lineRule="exact"/>
        <w:rPr>
          <w:sz w:val="20"/>
          <w:szCs w:val="20"/>
          <w:color w:val="auto"/>
        </w:rPr>
      </w:pPr>
    </w:p>
    <w:p>
      <w:pPr>
        <w:ind w:left="500" w:right="40" w:firstLine="819"/>
        <w:spacing w:after="0" w:line="288" w:lineRule="auto"/>
        <w:rPr>
          <w:sz w:val="20"/>
          <w:szCs w:val="20"/>
          <w:color w:val="auto"/>
        </w:rPr>
      </w:pPr>
      <w:r>
        <w:rPr>
          <w:rFonts w:ascii="Arial" w:cs="Arial" w:eastAsia="Arial" w:hAnsi="Arial"/>
          <w:sz w:val="15"/>
          <w:szCs w:val="15"/>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(PDUFA) guidelines that are currently in effect, the FDA has a goal of 10 months to review and act on a standard NDA and 6 months to review and act on a priority NDA, measured from the “filing” date for an NDA for a new molecular entity (NME) or from the receipt date for an NDA for a non-NME product. Measuring from the “filing” date typically adds approximately two months to the timeline for review and decision, because the FDA has sixty days from receipt to make a “filing” decision, as described below.</w:t>
      </w:r>
    </w:p>
    <w:p>
      <w:pPr>
        <w:spacing w:after="0" w:line="158"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ind w:left="500" w:right="160" w:firstLine="819"/>
        <w:spacing w:after="0" w:line="257" w:lineRule="auto"/>
        <w:rPr>
          <w:sz w:val="20"/>
          <w:szCs w:val="20"/>
          <w:color w:val="auto"/>
        </w:rPr>
      </w:pPr>
      <w:r>
        <w:rPr>
          <w:rFonts w:ascii="Arial" w:cs="Arial" w:eastAsia="Arial" w:hAnsi="Arial"/>
          <w:sz w:val="17"/>
          <w:szCs w:val="17"/>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75" w:lineRule="exact"/>
        <w:rPr>
          <w:sz w:val="20"/>
          <w:szCs w:val="20"/>
          <w:color w:val="auto"/>
        </w:rPr>
      </w:pPr>
    </w:p>
    <w:p>
      <w:pPr>
        <w:ind w:left="500" w:right="40" w:firstLine="819"/>
        <w:spacing w:after="0" w:line="269" w:lineRule="auto"/>
        <w:rPr>
          <w:sz w:val="20"/>
          <w:szCs w:val="20"/>
          <w:color w:val="auto"/>
        </w:rPr>
      </w:pPr>
      <w:r>
        <w:rPr>
          <w:rFonts w:ascii="Arial" w:cs="Arial" w:eastAsia="Arial" w:hAnsi="Arial"/>
          <w:sz w:val="16"/>
          <w:szCs w:val="16"/>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69" w:lineRule="exact"/>
        <w:rPr>
          <w:sz w:val="20"/>
          <w:szCs w:val="20"/>
          <w:color w:val="auto"/>
        </w:rPr>
      </w:pPr>
    </w:p>
    <w:p>
      <w:pPr>
        <w:ind w:left="500" w:right="100" w:firstLine="819"/>
        <w:spacing w:after="0" w:line="253" w:lineRule="auto"/>
        <w:rPr>
          <w:sz w:val="20"/>
          <w:szCs w:val="20"/>
          <w:color w:val="auto"/>
        </w:rPr>
      </w:pPr>
      <w:r>
        <w:rPr>
          <w:rFonts w:ascii="Arial" w:cs="Arial" w:eastAsia="Arial" w:hAnsi="Arial"/>
          <w:sz w:val="17"/>
          <w:szCs w:val="17"/>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left="500" w:right="140" w:firstLine="819"/>
        <w:spacing w:after="0" w:line="253"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80" w:lineRule="exact"/>
        <w:rPr>
          <w:sz w:val="20"/>
          <w:szCs w:val="20"/>
          <w:color w:val="auto"/>
        </w:rPr>
      </w:pPr>
    </w:p>
    <w:p>
      <w:pPr>
        <w:ind w:left="500" w:right="140" w:firstLine="819"/>
        <w:spacing w:after="0" w:line="271" w:lineRule="auto"/>
        <w:rPr>
          <w:sz w:val="20"/>
          <w:szCs w:val="20"/>
          <w:color w:val="auto"/>
        </w:rPr>
      </w:pPr>
      <w:r>
        <w:rPr>
          <w:rFonts w:ascii="Arial" w:cs="Arial" w:eastAsia="Arial" w:hAnsi="Arial"/>
          <w:sz w:val="16"/>
          <w:szCs w:val="16"/>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740"/>
          </w:cols>
          <w:pgMar w:left="320" w:top="437" w:right="8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40"/>
        <w:spacing w:after="0" w:line="257" w:lineRule="auto"/>
        <w:rPr>
          <w:sz w:val="20"/>
          <w:szCs w:val="20"/>
          <w:color w:val="auto"/>
        </w:rPr>
      </w:pPr>
      <w:r>
        <w:rPr>
          <w:rFonts w:ascii="Arial" w:cs="Arial" w:eastAsia="Arial" w:hAnsi="Arial"/>
          <w:sz w:val="17"/>
          <w:szCs w:val="17"/>
          <w:color w:val="auto"/>
        </w:rPr>
        <w:t>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75" w:lineRule="exact"/>
        <w:rPr>
          <w:sz w:val="20"/>
          <w:szCs w:val="20"/>
          <w:color w:val="auto"/>
        </w:rPr>
      </w:pPr>
    </w:p>
    <w:p>
      <w:pPr>
        <w:jc w:val="both"/>
        <w:ind w:left="500" w:right="140" w:firstLine="819"/>
        <w:spacing w:after="0" w:line="280" w:lineRule="auto"/>
        <w:rPr>
          <w:sz w:val="20"/>
          <w:szCs w:val="20"/>
          <w:color w:val="auto"/>
        </w:rPr>
      </w:pPr>
      <w:r>
        <w:rPr>
          <w:rFonts w:ascii="Arial" w:cs="Arial" w:eastAsia="Arial" w:hAnsi="Arial"/>
          <w:sz w:val="16"/>
          <w:szCs w:val="16"/>
          <w:color w:val="auto"/>
        </w:rPr>
        <w:t>The testing and approval process for an NDA requires substantial time, effort and financial resources, and each may take several years to complete. Data obtained from preclinical and clinical testing are not always conclusive and may be susceptible to varying interpretations, which could delay, limit or prevent regulatory approval. The FDA may not grant approval on a timely basis, or at all.</w:t>
      </w:r>
    </w:p>
    <w:p>
      <w:pPr>
        <w:spacing w:after="0" w:line="159" w:lineRule="exact"/>
        <w:rPr>
          <w:sz w:val="20"/>
          <w:szCs w:val="20"/>
          <w:color w:val="auto"/>
        </w:rPr>
      </w:pPr>
    </w:p>
    <w:p>
      <w:pPr>
        <w:ind w:left="500" w:right="60" w:firstLine="819"/>
        <w:spacing w:after="0" w:line="288" w:lineRule="auto"/>
        <w:rPr>
          <w:sz w:val="20"/>
          <w:szCs w:val="20"/>
          <w:color w:val="auto"/>
        </w:rPr>
      </w:pPr>
      <w:r>
        <w:rPr>
          <w:rFonts w:ascii="Arial" w:cs="Arial" w:eastAsia="Arial" w:hAnsi="Arial"/>
          <w:sz w:val="15"/>
          <w:szCs w:val="15"/>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to secure final approval of the NDA and may require additional clinical testing, preclinical testing, manufacturing or formulation modifications or other changes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58"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The Hatch-Waxman Amendments</w:t>
      </w:r>
    </w:p>
    <w:p>
      <w:pPr>
        <w:spacing w:after="0" w:line="206" w:lineRule="exact"/>
        <w:rPr>
          <w:sz w:val="20"/>
          <w:szCs w:val="20"/>
          <w:color w:val="auto"/>
        </w:rPr>
      </w:pPr>
    </w:p>
    <w:p>
      <w:pPr>
        <w:ind w:left="500" w:right="40" w:firstLine="819"/>
        <w:spacing w:after="0" w:line="285" w:lineRule="auto"/>
        <w:rPr>
          <w:sz w:val="20"/>
          <w:szCs w:val="20"/>
          <w:color w:val="auto"/>
        </w:rPr>
      </w:pPr>
      <w:r>
        <w:rPr>
          <w:rFonts w:ascii="Arial" w:cs="Arial" w:eastAsia="Arial" w:hAnsi="Arial"/>
          <w:sz w:val="15"/>
          <w:szCs w:val="15"/>
          <w:color w:val="auto"/>
        </w:rPr>
        <w:t>Our current regulatory strategy is to pursue development of LYR-210 as a Section 505(b)(2) NDA.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The FDA may then approve the new product candidate for the new indication sought by the 505(b)(2) applicant.</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Orange Book Listing</w:t>
      </w:r>
    </w:p>
    <w:p>
      <w:pPr>
        <w:spacing w:after="0" w:line="206" w:lineRule="exact"/>
        <w:rPr>
          <w:sz w:val="20"/>
          <w:szCs w:val="20"/>
          <w:color w:val="auto"/>
        </w:rPr>
      </w:pPr>
    </w:p>
    <w:p>
      <w:pPr>
        <w:ind w:left="500" w:right="580" w:firstLine="819"/>
        <w:spacing w:after="0" w:line="268" w:lineRule="auto"/>
        <w:rPr>
          <w:sz w:val="20"/>
          <w:szCs w:val="20"/>
          <w:color w:val="auto"/>
        </w:rPr>
      </w:pPr>
      <w:r>
        <w:rPr>
          <w:rFonts w:ascii="Arial" w:cs="Arial" w:eastAsia="Arial" w:hAnsi="Arial"/>
          <w:sz w:val="17"/>
          <w:szCs w:val="17"/>
          <w:color w:val="auto"/>
        </w:rPr>
        <w:t>In seeking approval for a drug through an NDA, applicants are required to list with the FDA certain patents whose claims cover the applicant’s product. Upon approval of an NDA, each of the patents listed in the</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700"/>
          </w:cols>
          <w:pgMar w:left="320" w:top="437" w:right="87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85" w:lineRule="auto"/>
        <w:rPr>
          <w:sz w:val="20"/>
          <w:szCs w:val="20"/>
          <w:color w:val="auto"/>
        </w:rPr>
      </w:pPr>
      <w:r>
        <w:rPr>
          <w:rFonts w:ascii="Arial" w:cs="Arial" w:eastAsia="Arial" w:hAnsi="Arial"/>
          <w:sz w:val="15"/>
          <w:szCs w:val="15"/>
          <w:color w:val="auto"/>
        </w:rPr>
        <w:t>application for the drug is then published in the FDA’s Approved Drug Products with Therapeutic Equivalence Evaluations, known as the Orange Book. Any applicant who files an Abbreviated New Drug Application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61" w:lineRule="exact"/>
        <w:rPr>
          <w:sz w:val="20"/>
          <w:szCs w:val="20"/>
          <w:color w:val="auto"/>
        </w:rPr>
      </w:pPr>
    </w:p>
    <w:p>
      <w:pPr>
        <w:ind w:left="500" w:right="60" w:firstLine="819"/>
        <w:spacing w:after="0" w:line="251" w:lineRule="auto"/>
        <w:rPr>
          <w:sz w:val="20"/>
          <w:szCs w:val="20"/>
          <w:color w:val="auto"/>
        </w:rPr>
      </w:pPr>
      <w:r>
        <w:rPr>
          <w:rFonts w:ascii="Arial" w:cs="Arial" w:eastAsia="Arial" w:hAnsi="Arial"/>
          <w:sz w:val="17"/>
          <w:szCs w:val="17"/>
          <w:color w:val="auto"/>
        </w:rPr>
        <w:t>If the reference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Even if the 45 days expire, a patent infringement lawsuit can be brought and could delay market entry, but it would not extend the FDA-related 30-month stay of approval.</w:t>
      </w:r>
    </w:p>
    <w:p>
      <w:pPr>
        <w:spacing w:after="0" w:line="183"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The ANDA or 505(b)(2) application also will not be approved until any applicable non-patent exclusivity listed in the Orange Book for the branded reference drug has expired. Specifically, the holder of the NDA for the listed drug may be entitled to a period of non-patent exclusivity, during which the FDA cannot approve an ANDA or 505(b)(2) application that relies on the listed drug. For example, a pharmaceutical manufacturer may obtain five years of non-patent exclusivity upon NDA approval of an NCE, which is a drug that contains an active moiety that has not been approved by FDA in any other NDA. An “active moiety” is defined as the molecule or ion responsible for the drug substance’s physiological or pharmacologic action. During the five-year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 This exclusivity period may be extended by an additional six months if certain requirements are met to qualify the product for pediatric exclusivity, including the receipt of a written request from the FDA that the NDA holder conduct certain pediatric studies, the submission of study reports from such studies to the FDA after receipt of the written request and satisfaction of the conditions specified in the written request.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Expedited Review and Approval Programs</w:t>
      </w:r>
    </w:p>
    <w:p>
      <w:pPr>
        <w:spacing w:after="0" w:line="206" w:lineRule="exact"/>
        <w:rPr>
          <w:sz w:val="20"/>
          <w:szCs w:val="20"/>
          <w:color w:val="auto"/>
        </w:rPr>
      </w:pPr>
    </w:p>
    <w:p>
      <w:pPr>
        <w:ind w:left="500" w:right="120" w:firstLine="819"/>
        <w:spacing w:after="0" w:line="274" w:lineRule="auto"/>
        <w:rPr>
          <w:sz w:val="20"/>
          <w:szCs w:val="20"/>
          <w:color w:val="auto"/>
        </w:rPr>
      </w:pPr>
      <w:r>
        <w:rPr>
          <w:rFonts w:ascii="Arial" w:cs="Arial" w:eastAsia="Arial" w:hAnsi="Arial"/>
          <w:sz w:val="16"/>
          <w:szCs w:val="16"/>
          <w:color w:val="auto"/>
        </w:rPr>
        <w:t>The FDA has various programs, including Fast Track Designation, accelerated approval, priority review, and breakthrough therapy designation,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64" w:lineRule="exact"/>
        <w:rPr>
          <w:sz w:val="20"/>
          <w:szCs w:val="20"/>
          <w:color w:val="auto"/>
        </w:rPr>
      </w:pPr>
    </w:p>
    <w:p>
      <w:pPr>
        <w:ind w:left="500" w:right="40" w:firstLine="819"/>
        <w:spacing w:after="0" w:line="251" w:lineRule="auto"/>
        <w:rPr>
          <w:sz w:val="20"/>
          <w:szCs w:val="20"/>
          <w:color w:val="auto"/>
        </w:rPr>
      </w:pPr>
      <w:r>
        <w:rPr>
          <w:rFonts w:ascii="Arial" w:cs="Arial" w:eastAsia="Arial" w:hAnsi="Arial"/>
          <w:sz w:val="17"/>
          <w:szCs w:val="17"/>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The FDA may review sections of the NDA for a fast track product on a rolling basis before the complete application is submitted, if the sponsor provides a schedule for the submission</w:t>
      </w:r>
    </w:p>
    <w:p>
      <w:pPr>
        <w:spacing w:after="0" w:line="12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740"/>
          </w:cols>
          <w:pgMar w:left="320" w:top="437" w:right="8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80"/>
        <w:spacing w:after="0" w:line="268" w:lineRule="auto"/>
        <w:rPr>
          <w:sz w:val="20"/>
          <w:szCs w:val="20"/>
          <w:color w:val="auto"/>
        </w:rPr>
      </w:pPr>
      <w:r>
        <w:rPr>
          <w:rFonts w:ascii="Arial" w:cs="Arial" w:eastAsia="Arial" w:hAnsi="Arial"/>
          <w:sz w:val="17"/>
          <w:szCs w:val="17"/>
          <w:color w:val="auto"/>
        </w:rPr>
        <w:t>of the sections of the NDA, the FDA agrees to accept sections of the NDA and determines that the schedule is acceptable, and the sponsor pays any required user fees upon submission of the first section of the NDA.</w:t>
      </w:r>
    </w:p>
    <w:p>
      <w:pPr>
        <w:spacing w:after="0" w:line="166" w:lineRule="exact"/>
        <w:rPr>
          <w:sz w:val="20"/>
          <w:szCs w:val="20"/>
          <w:color w:val="auto"/>
        </w:rPr>
      </w:pPr>
    </w:p>
    <w:p>
      <w:pPr>
        <w:ind w:left="500" w:right="20" w:firstLine="819"/>
        <w:spacing w:after="0" w:line="250" w:lineRule="auto"/>
        <w:rPr>
          <w:sz w:val="20"/>
          <w:szCs w:val="20"/>
          <w:color w:val="auto"/>
        </w:rPr>
      </w:pPr>
      <w:r>
        <w:rPr>
          <w:rFonts w:ascii="Arial" w:cs="Arial" w:eastAsia="Arial" w:hAnsi="Arial"/>
          <w:sz w:val="17"/>
          <w:szCs w:val="17"/>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Under the new PDUFA agreement, these six and ten 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w:t>
      </w:r>
    </w:p>
    <w:p>
      <w:pPr>
        <w:spacing w:after="0" w:line="184" w:lineRule="exact"/>
        <w:rPr>
          <w:sz w:val="20"/>
          <w:szCs w:val="20"/>
          <w:color w:val="auto"/>
        </w:rPr>
      </w:pPr>
    </w:p>
    <w:p>
      <w:pPr>
        <w:ind w:left="500" w:right="60" w:firstLine="819"/>
        <w:spacing w:after="0" w:line="267" w:lineRule="auto"/>
        <w:rPr>
          <w:sz w:val="20"/>
          <w:szCs w:val="20"/>
          <w:color w:val="auto"/>
        </w:rPr>
      </w:pPr>
      <w:r>
        <w:rPr>
          <w:rFonts w:ascii="Arial" w:cs="Arial" w:eastAsia="Arial" w:hAnsi="Arial"/>
          <w:sz w:val="16"/>
          <w:szCs w:val="16"/>
          <w:color w:val="auto"/>
        </w:rPr>
        <w:t>In addition, 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170"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Moreover, under the provisions of the Food and Drug Administration Safety and Innovation Act,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1"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Post Approval Requirements</w:t>
      </w:r>
    </w:p>
    <w:p>
      <w:pPr>
        <w:spacing w:after="0" w:line="206"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manufacturing changes or other labeling claims, are subject to prior FDA review and approval. There also are continuing annual program fee requirements for any marketed products.</w:t>
      </w:r>
    </w:p>
    <w:p>
      <w:pPr>
        <w:spacing w:after="0" w:line="183" w:lineRule="exact"/>
        <w:rPr>
          <w:sz w:val="20"/>
          <w:szCs w:val="20"/>
          <w:color w:val="auto"/>
        </w:rPr>
      </w:pPr>
    </w:p>
    <w:p>
      <w:pPr>
        <w:ind w:left="500" w:right="120" w:firstLine="819"/>
        <w:spacing w:after="0" w:line="257" w:lineRule="auto"/>
        <w:rPr>
          <w:sz w:val="20"/>
          <w:szCs w:val="20"/>
          <w:color w:val="auto"/>
        </w:rPr>
      </w:pPr>
      <w:r>
        <w:rPr>
          <w:rFonts w:ascii="Arial" w:cs="Arial" w:eastAsia="Arial" w:hAnsi="Arial"/>
          <w:sz w:val="17"/>
          <w:szCs w:val="17"/>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75" w:lineRule="exact"/>
        <w:rPr>
          <w:sz w:val="20"/>
          <w:szCs w:val="20"/>
          <w:color w:val="auto"/>
        </w:rPr>
      </w:pPr>
    </w:p>
    <w:p>
      <w:pPr>
        <w:ind w:left="500" w:right="180" w:firstLine="819"/>
        <w:spacing w:after="0" w:line="268"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authorities, and are subject to</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660"/>
          </w:cols>
          <w:pgMar w:left="320" w:top="437" w:right="91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51" w:lineRule="auto"/>
        <w:rPr>
          <w:sz w:val="20"/>
          <w:szCs w:val="20"/>
          <w:color w:val="auto"/>
        </w:rPr>
      </w:pPr>
      <w:r>
        <w:rPr>
          <w:rFonts w:ascii="Arial" w:cs="Arial" w:eastAsia="Arial" w:hAnsi="Arial"/>
          <w:sz w:val="17"/>
          <w:szCs w:val="17"/>
          <w:color w:val="auto"/>
        </w:rPr>
        <w:t>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3" w:lineRule="exact"/>
        <w:rPr>
          <w:sz w:val="20"/>
          <w:szCs w:val="20"/>
          <w:color w:val="auto"/>
        </w:rPr>
      </w:pPr>
    </w:p>
    <w:p>
      <w:pPr>
        <w:ind w:left="500" w:right="60" w:firstLine="819"/>
        <w:spacing w:after="0" w:line="251"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Other potential consequences include, among other things:</w:t>
      </w:r>
    </w:p>
    <w:p>
      <w:pPr>
        <w:spacing w:after="0" w:line="231" w:lineRule="exact"/>
        <w:rPr>
          <w:sz w:val="20"/>
          <w:szCs w:val="20"/>
          <w:color w:val="auto"/>
        </w:rPr>
      </w:pPr>
    </w:p>
    <w:p>
      <w:pPr>
        <w:ind w:left="1720" w:hanging="301"/>
        <w:spacing w:after="0"/>
        <w:tabs>
          <w:tab w:leader="none" w:pos="17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the product, complete withdrawal of the product from the market or product recalls;</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231" w:lineRule="exact"/>
        <w:rPr>
          <w:rFonts w:ascii="Arial" w:cs="Arial" w:eastAsia="Arial" w:hAnsi="Arial"/>
          <w:sz w:val="17"/>
          <w:szCs w:val="17"/>
          <w:color w:val="auto"/>
        </w:rPr>
      </w:pPr>
    </w:p>
    <w:p>
      <w:pPr>
        <w:ind w:left="1720" w:right="420" w:hanging="301"/>
        <w:spacing w:after="0" w:line="268" w:lineRule="auto"/>
        <w:tabs>
          <w:tab w:leader="none" w:pos="17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06" w:lineRule="exact"/>
        <w:rPr>
          <w:sz w:val="20"/>
          <w:szCs w:val="20"/>
          <w:color w:val="auto"/>
        </w:rPr>
      </w:pPr>
    </w:p>
    <w:p>
      <w:pPr>
        <w:ind w:left="500" w:right="500" w:firstLine="819"/>
        <w:spacing w:after="0" w:line="251"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may be promoted only for the approved indications and in accordance with the provisions of the approved label, although physicians, in the practice of medicine, may prescribe approved drugs for unapproved indications. The FDA and other authorities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ind w:left="500" w:right="80" w:firstLine="819"/>
        <w:spacing w:after="0" w:line="253"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06" w:lineRule="exact"/>
        <w:rPr>
          <w:sz w:val="20"/>
          <w:szCs w:val="20"/>
          <w:color w:val="auto"/>
        </w:rPr>
      </w:pPr>
    </w:p>
    <w:p>
      <w:pPr>
        <w:ind w:left="500" w:firstLine="819"/>
        <w:spacing w:after="0" w:line="290" w:lineRule="auto"/>
        <w:rPr>
          <w:sz w:val="20"/>
          <w:szCs w:val="20"/>
          <w:color w:val="auto"/>
        </w:rPr>
      </w:pPr>
      <w:r>
        <w:rPr>
          <w:rFonts w:ascii="Arial" w:cs="Arial" w:eastAsia="Arial" w:hAnsi="Arial"/>
          <w:sz w:val="15"/>
          <w:szCs w:val="15"/>
          <w:color w:val="auto"/>
        </w:rPr>
        <w:t>Pharmaceutical and medical device manufacturers are subject to additional healthcare regulation and enforcement by the federal government and by authorities in the states and foreign jurisdictions in which they conduct their business. Such laws include, without limitation, U.S. federal anti-kickback, fraud and abuse, false claims, consumer fraud, pricing reporting, data privacy and security, and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740"/>
          </w:cols>
          <w:pgMar w:left="320" w:top="437" w:right="8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86" w:lineRule="auto"/>
        <w:rPr>
          <w:sz w:val="20"/>
          <w:szCs w:val="20"/>
          <w:color w:val="auto"/>
        </w:rPr>
      </w:pPr>
      <w:r>
        <w:rPr>
          <w:rFonts w:ascii="Arial" w:cs="Arial" w:eastAsia="Arial" w:hAnsi="Arial"/>
          <w:sz w:val="15"/>
          <w:szCs w:val="15"/>
          <w:color w:val="auto"/>
        </w:rPr>
        <w:t>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 Violation of any of such laws or any other governmental regulations that apply may result in penalties, including, without limitation, civil and criminal penalties, damages, fines, additional reporting obligation, the curtailment or restructuring of operations, exclusion from participation in governmental healthcare programs and individual imprisonment.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06" w:lineRule="exact"/>
        <w:rPr>
          <w:sz w:val="20"/>
          <w:szCs w:val="20"/>
          <w:color w:val="auto"/>
        </w:rPr>
      </w:pPr>
    </w:p>
    <w:p>
      <w:pPr>
        <w:ind w:left="500" w:right="20" w:firstLine="819"/>
        <w:spacing w:after="0" w:line="266" w:lineRule="auto"/>
        <w:rPr>
          <w:sz w:val="20"/>
          <w:szCs w:val="20"/>
          <w:color w:val="auto"/>
        </w:rPr>
      </w:pPr>
      <w:r>
        <w:rPr>
          <w:rFonts w:ascii="Arial" w:cs="Arial" w:eastAsia="Arial" w:hAnsi="Arial"/>
          <w:sz w:val="16"/>
          <w:szCs w:val="16"/>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manufactures to provide scientific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70"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69" w:lineRule="exact"/>
        <w:rPr>
          <w:sz w:val="20"/>
          <w:szCs w:val="20"/>
          <w:color w:val="auto"/>
        </w:rPr>
      </w:pPr>
    </w:p>
    <w:p>
      <w:pPr>
        <w:ind w:left="500" w:right="60" w:firstLine="819"/>
        <w:spacing w:after="0" w:line="266" w:lineRule="auto"/>
        <w:rPr>
          <w:sz w:val="20"/>
          <w:szCs w:val="20"/>
          <w:color w:val="auto"/>
        </w:rPr>
      </w:pPr>
      <w:r>
        <w:rPr>
          <w:rFonts w:ascii="Arial" w:cs="Arial" w:eastAsia="Arial" w:hAnsi="Arial"/>
          <w:sz w:val="16"/>
          <w:szCs w:val="16"/>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1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740"/>
          </w:cols>
          <w:pgMar w:left="320" w:top="437" w:right="8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206" w:lineRule="exact"/>
        <w:rPr>
          <w:sz w:val="20"/>
          <w:szCs w:val="20"/>
          <w:color w:val="auto"/>
        </w:rPr>
      </w:pPr>
    </w:p>
    <w:p>
      <w:pPr>
        <w:ind w:left="500" w:right="20" w:firstLine="819"/>
        <w:spacing w:after="0" w:line="265" w:lineRule="auto"/>
        <w:rPr>
          <w:sz w:val="20"/>
          <w:szCs w:val="20"/>
          <w:color w:val="auto"/>
        </w:rPr>
      </w:pPr>
      <w:r>
        <w:rPr>
          <w:rFonts w:ascii="Arial" w:cs="Arial" w:eastAsia="Arial" w:hAnsi="Arial"/>
          <w:sz w:val="16"/>
          <w:szCs w:val="16"/>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175"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Cuts and Jobs Act,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w:t>
      </w:r>
    </w:p>
    <w:p>
      <w:pPr>
        <w:spacing w:after="0" w:line="173" w:lineRule="exact"/>
        <w:rPr>
          <w:sz w:val="20"/>
          <w:szCs w:val="20"/>
          <w:color w:val="auto"/>
        </w:rPr>
      </w:pPr>
    </w:p>
    <w:p>
      <w:pPr>
        <w:ind w:left="500" w:right="40" w:firstLine="819"/>
        <w:spacing w:after="0" w:line="285" w:lineRule="auto"/>
        <w:rPr>
          <w:sz w:val="20"/>
          <w:szCs w:val="20"/>
          <w:color w:val="auto"/>
        </w:rPr>
      </w:pPr>
      <w:r>
        <w:rPr>
          <w:rFonts w:ascii="Arial" w:cs="Arial" w:eastAsia="Arial" w:hAnsi="Arial"/>
          <w:sz w:val="15"/>
          <w:szCs w:val="15"/>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2027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Employees</w:t>
      </w:r>
    </w:p>
    <w:p>
      <w:pPr>
        <w:spacing w:after="0" w:line="210" w:lineRule="exact"/>
        <w:rPr>
          <w:sz w:val="20"/>
          <w:szCs w:val="20"/>
          <w:color w:val="auto"/>
        </w:rPr>
      </w:pPr>
    </w:p>
    <w:p>
      <w:pPr>
        <w:ind w:left="500" w:right="280" w:firstLine="819"/>
        <w:spacing w:after="0" w:line="268" w:lineRule="auto"/>
        <w:rPr>
          <w:sz w:val="20"/>
          <w:szCs w:val="20"/>
          <w:color w:val="auto"/>
        </w:rPr>
      </w:pPr>
      <w:r>
        <w:rPr>
          <w:rFonts w:ascii="Arial" w:cs="Arial" w:eastAsia="Arial" w:hAnsi="Arial"/>
          <w:sz w:val="17"/>
          <w:szCs w:val="17"/>
          <w:color w:val="auto"/>
        </w:rPr>
        <w:t>As of March 31, 2020, we had 34 full-time employees. None of our employees is represented by a labor union or covered by a collective bargaining agreement. We consider our relationship with our employees to be good.</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Facilities</w:t>
      </w:r>
    </w:p>
    <w:p>
      <w:pPr>
        <w:spacing w:after="0" w:line="210" w:lineRule="exact"/>
        <w:rPr>
          <w:sz w:val="20"/>
          <w:szCs w:val="20"/>
          <w:color w:val="auto"/>
        </w:rPr>
      </w:pPr>
    </w:p>
    <w:p>
      <w:pPr>
        <w:ind w:left="500" w:right="200" w:firstLine="819"/>
        <w:spacing w:after="0" w:line="268" w:lineRule="auto"/>
        <w:rPr>
          <w:sz w:val="20"/>
          <w:szCs w:val="20"/>
          <w:color w:val="auto"/>
        </w:rPr>
      </w:pPr>
      <w:r>
        <w:rPr>
          <w:rFonts w:ascii="Arial" w:cs="Arial" w:eastAsia="Arial" w:hAnsi="Arial"/>
          <w:sz w:val="17"/>
          <w:szCs w:val="17"/>
          <w:color w:val="auto"/>
        </w:rPr>
        <w:t>Our principal office is located at 480 Arsenal Way, Watertown, Massachusetts, where we lease approximately 22,343 square feet of office and laboratory space. We lease this space under a lease agreement, as</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740"/>
          </w:cols>
          <w:pgMar w:left="320" w:top="437" w:right="8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spacing w:after="0" w:line="268" w:lineRule="auto"/>
        <w:rPr>
          <w:sz w:val="20"/>
          <w:szCs w:val="20"/>
          <w:color w:val="auto"/>
        </w:rPr>
      </w:pPr>
      <w:r>
        <w:rPr>
          <w:rFonts w:ascii="Arial" w:cs="Arial" w:eastAsia="Arial" w:hAnsi="Arial"/>
          <w:sz w:val="17"/>
          <w:szCs w:val="17"/>
          <w:color w:val="auto"/>
        </w:rPr>
        <w:t>amended, that terminates on April 30, 2023. We believe that our facilities are sufficient to meet our current needs and that suitable additional space will be available as and when needed.</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Corporate Information</w:t>
      </w:r>
    </w:p>
    <w:p>
      <w:pPr>
        <w:spacing w:after="0" w:line="210"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 xml:space="preserve">We were incorporated under the laws of the state of Delaware in November 2005 under the name WMR Biomedical, Inc. In July 2018, we changed our name to Lyra Therapeutics, Inc. Our principal executive offices are located at 480 Arsenal Way, Watertown, MA 02472 and our telephone number is (617) 393-4600. Our website address is </w:t>
      </w:r>
      <w:r>
        <w:rPr>
          <w:rFonts w:ascii="Arial" w:cs="Arial" w:eastAsia="Arial" w:hAnsi="Arial"/>
          <w:sz w:val="15"/>
          <w:szCs w:val="15"/>
          <w:i w:val="1"/>
          <w:iCs w:val="1"/>
          <w:color w:val="auto"/>
        </w:rPr>
        <w:t>www.lyratherapeutics.com</w:t>
      </w:r>
      <w:r>
        <w:rPr>
          <w:rFonts w:ascii="Arial" w:cs="Arial" w:eastAsia="Arial" w:hAnsi="Arial"/>
          <w:sz w:val="15"/>
          <w:szCs w:val="15"/>
          <w:color w:val="auto"/>
        </w:rPr>
        <w:t>. The information contained in, or accessible through, our website does not constitute a part of this prospectus. We have included our website address in this prospectus solely as an inactive textual reference.</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Legal Proceedings</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We are not subject to any material legal proceedings.</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680"/>
          </w:cols>
          <w:pgMar w:left="320" w:top="437" w:right="89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MANAGEMENT</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Executive Officers and Directors</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table sets forth the name, age and position of each of our executive officers and directors as of the date of this prospectus.</w:t>
      </w:r>
    </w:p>
    <w:p>
      <w:pPr>
        <w:spacing w:after="0" w:line="247"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340" w:type="dxa"/>
            <w:vAlign w:val="bottom"/>
          </w:tcPr>
          <w:p>
            <w:pPr>
              <w:spacing w:after="0"/>
              <w:rPr>
                <w:sz w:val="20"/>
                <w:szCs w:val="20"/>
                <w:color w:val="auto"/>
              </w:rPr>
            </w:pPr>
            <w:r>
              <w:rPr>
                <w:rFonts w:ascii="Arial" w:cs="Arial" w:eastAsia="Arial" w:hAnsi="Arial"/>
                <w:sz w:val="13"/>
                <w:szCs w:val="13"/>
                <w:b w:val="1"/>
                <w:bCs w:val="1"/>
                <w:color w:val="auto"/>
                <w:w w:val="90"/>
              </w:rPr>
              <w:t>Name</w:t>
            </w:r>
          </w:p>
        </w:tc>
        <w:tc>
          <w:tcPr>
            <w:tcW w:w="3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w w:val="81"/>
              </w:rPr>
              <w:t>Age</w:t>
            </w:r>
          </w:p>
        </w:tc>
        <w:tc>
          <w:tcPr>
            <w:tcW w:w="5000" w:type="dxa"/>
            <w:vAlign w:val="bottom"/>
            <w:gridSpan w:val="3"/>
          </w:tcPr>
          <w:p>
            <w:pPr>
              <w:ind w:left="160"/>
              <w:spacing w:after="0"/>
              <w:rPr>
                <w:sz w:val="20"/>
                <w:szCs w:val="20"/>
                <w:color w:val="auto"/>
              </w:rPr>
            </w:pPr>
            <w:r>
              <w:rPr>
                <w:rFonts w:ascii="Arial" w:cs="Arial" w:eastAsia="Arial" w:hAnsi="Arial"/>
                <w:sz w:val="13"/>
                <w:szCs w:val="13"/>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81"/>
        </w:trPr>
        <w:tc>
          <w:tcPr>
            <w:tcW w:w="3460" w:type="dxa"/>
            <w:vAlign w:val="bottom"/>
            <w:gridSpan w:val="2"/>
          </w:tcPr>
          <w:p>
            <w:pPr>
              <w:spacing w:after="0" w:line="181" w:lineRule="exact"/>
              <w:rPr>
                <w:sz w:val="20"/>
                <w:szCs w:val="20"/>
                <w:color w:val="auto"/>
              </w:rPr>
            </w:pPr>
            <w:r>
              <w:rPr>
                <w:rFonts w:ascii="Arial" w:cs="Arial" w:eastAsia="Arial" w:hAnsi="Arial"/>
                <w:sz w:val="17"/>
                <w:szCs w:val="17"/>
                <w:b w:val="1"/>
                <w:bCs w:val="1"/>
                <w:i w:val="1"/>
                <w:iCs w:val="1"/>
                <w:color w:val="auto"/>
              </w:rPr>
              <w:t>Executive Officers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380" w:type="dxa"/>
            <w:vAlign w:val="bottom"/>
          </w:tcPr>
          <w:p>
            <w:pPr>
              <w:spacing w:after="0"/>
              <w:rPr>
                <w:sz w:val="15"/>
                <w:szCs w:val="15"/>
                <w:color w:val="auto"/>
              </w:rPr>
            </w:pP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Maria Palasis, Ph.D.</w:t>
            </w:r>
          </w:p>
        </w:tc>
        <w:tc>
          <w:tcPr>
            <w:tcW w:w="220" w:type="dxa"/>
            <w:vAlign w:val="bottom"/>
          </w:tcPr>
          <w:p>
            <w:pPr>
              <w:jc w:val="right"/>
              <w:spacing w:after="0"/>
              <w:rPr>
                <w:sz w:val="20"/>
                <w:szCs w:val="20"/>
                <w:color w:val="auto"/>
              </w:rPr>
            </w:pPr>
            <w:r>
              <w:rPr>
                <w:rFonts w:ascii="Arial" w:cs="Arial" w:eastAsia="Arial" w:hAnsi="Arial"/>
                <w:sz w:val="17"/>
                <w:szCs w:val="17"/>
                <w:color w:val="auto"/>
              </w:rPr>
              <w:t>55</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President and Chief Executive Officer and Director</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R. Don Elsey</w:t>
            </w:r>
          </w:p>
        </w:tc>
        <w:tc>
          <w:tcPr>
            <w:tcW w:w="220" w:type="dxa"/>
            <w:vAlign w:val="bottom"/>
          </w:tcPr>
          <w:p>
            <w:pPr>
              <w:jc w:val="right"/>
              <w:spacing w:after="0"/>
              <w:rPr>
                <w:sz w:val="20"/>
                <w:szCs w:val="20"/>
                <w:color w:val="auto"/>
              </w:rPr>
            </w:pPr>
            <w:r>
              <w:rPr>
                <w:rFonts w:ascii="Arial" w:cs="Arial" w:eastAsia="Arial" w:hAnsi="Arial"/>
                <w:sz w:val="17"/>
                <w:szCs w:val="17"/>
                <w:color w:val="auto"/>
              </w:rPr>
              <w:t>66</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 Treasurer and Secretary</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Laura Edgerly-Pflug</w:t>
            </w:r>
          </w:p>
        </w:tc>
        <w:tc>
          <w:tcPr>
            <w:tcW w:w="220" w:type="dxa"/>
            <w:vAlign w:val="bottom"/>
          </w:tcPr>
          <w:p>
            <w:pPr>
              <w:jc w:val="right"/>
              <w:spacing w:after="0"/>
              <w:rPr>
                <w:sz w:val="20"/>
                <w:szCs w:val="20"/>
                <w:color w:val="auto"/>
              </w:rPr>
            </w:pPr>
            <w:r>
              <w:rPr>
                <w:rFonts w:ascii="Arial" w:cs="Arial" w:eastAsia="Arial" w:hAnsi="Arial"/>
                <w:sz w:val="17"/>
                <w:szCs w:val="17"/>
                <w:color w:val="auto"/>
              </w:rPr>
              <w:t>57</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Senior Vice President of Technical Operation</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Corinne Noyes</w:t>
            </w:r>
          </w:p>
        </w:tc>
        <w:tc>
          <w:tcPr>
            <w:tcW w:w="220" w:type="dxa"/>
            <w:vAlign w:val="bottom"/>
          </w:tcPr>
          <w:p>
            <w:pPr>
              <w:jc w:val="right"/>
              <w:spacing w:after="0"/>
              <w:rPr>
                <w:sz w:val="20"/>
                <w:szCs w:val="20"/>
                <w:color w:val="auto"/>
              </w:rPr>
            </w:pPr>
            <w:r>
              <w:rPr>
                <w:rFonts w:ascii="Arial" w:cs="Arial" w:eastAsia="Arial" w:hAnsi="Arial"/>
                <w:sz w:val="17"/>
                <w:szCs w:val="17"/>
                <w:color w:val="auto"/>
              </w:rPr>
              <w:t>52</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w w:val="89"/>
              </w:rPr>
              <w:t>Senior Vice President of Commercial Strategy and Market Development</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Directors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Michael Altman</w:t>
            </w:r>
          </w:p>
        </w:tc>
        <w:tc>
          <w:tcPr>
            <w:tcW w:w="220" w:type="dxa"/>
            <w:vAlign w:val="bottom"/>
          </w:tcPr>
          <w:p>
            <w:pPr>
              <w:jc w:val="right"/>
              <w:spacing w:after="0"/>
              <w:rPr>
                <w:sz w:val="20"/>
                <w:szCs w:val="20"/>
                <w:color w:val="auto"/>
              </w:rPr>
            </w:pPr>
            <w:r>
              <w:rPr>
                <w:rFonts w:ascii="Arial" w:cs="Arial" w:eastAsia="Arial" w:hAnsi="Arial"/>
                <w:sz w:val="17"/>
                <w:szCs w:val="17"/>
                <w:color w:val="auto"/>
              </w:rPr>
              <w:t>38</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Edward Anderson(1)</w:t>
            </w:r>
          </w:p>
        </w:tc>
        <w:tc>
          <w:tcPr>
            <w:tcW w:w="220" w:type="dxa"/>
            <w:vAlign w:val="bottom"/>
          </w:tcPr>
          <w:p>
            <w:pPr>
              <w:jc w:val="right"/>
              <w:spacing w:after="0"/>
              <w:rPr>
                <w:sz w:val="20"/>
                <w:szCs w:val="20"/>
                <w:color w:val="auto"/>
              </w:rPr>
            </w:pPr>
            <w:r>
              <w:rPr>
                <w:rFonts w:ascii="Arial" w:cs="Arial" w:eastAsia="Arial" w:hAnsi="Arial"/>
                <w:sz w:val="17"/>
                <w:szCs w:val="17"/>
                <w:color w:val="auto"/>
              </w:rPr>
              <w:t>70</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Robert S. Langer, Sc.D.</w:t>
            </w:r>
          </w:p>
        </w:tc>
        <w:tc>
          <w:tcPr>
            <w:tcW w:w="220" w:type="dxa"/>
            <w:vAlign w:val="bottom"/>
          </w:tcPr>
          <w:p>
            <w:pPr>
              <w:jc w:val="right"/>
              <w:spacing w:after="0"/>
              <w:rPr>
                <w:sz w:val="20"/>
                <w:szCs w:val="20"/>
                <w:color w:val="auto"/>
              </w:rPr>
            </w:pPr>
            <w:r>
              <w:rPr>
                <w:rFonts w:ascii="Arial" w:cs="Arial" w:eastAsia="Arial" w:hAnsi="Arial"/>
                <w:sz w:val="17"/>
                <w:szCs w:val="17"/>
                <w:color w:val="auto"/>
              </w:rPr>
              <w:t>71</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C. Ann Merrifield(1)(2)(3)</w:t>
            </w:r>
          </w:p>
        </w:tc>
        <w:tc>
          <w:tcPr>
            <w:tcW w:w="220" w:type="dxa"/>
            <w:vAlign w:val="bottom"/>
          </w:tcPr>
          <w:p>
            <w:pPr>
              <w:jc w:val="right"/>
              <w:spacing w:after="0"/>
              <w:rPr>
                <w:sz w:val="20"/>
                <w:szCs w:val="20"/>
                <w:color w:val="auto"/>
              </w:rPr>
            </w:pPr>
            <w:r>
              <w:rPr>
                <w:rFonts w:ascii="Arial" w:cs="Arial" w:eastAsia="Arial" w:hAnsi="Arial"/>
                <w:sz w:val="17"/>
                <w:szCs w:val="17"/>
                <w:color w:val="auto"/>
              </w:rPr>
              <w:t>69</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Konstantin Poukalov</w:t>
            </w:r>
          </w:p>
        </w:tc>
        <w:tc>
          <w:tcPr>
            <w:tcW w:w="220" w:type="dxa"/>
            <w:vAlign w:val="bottom"/>
          </w:tcPr>
          <w:p>
            <w:pPr>
              <w:jc w:val="right"/>
              <w:spacing w:after="0"/>
              <w:rPr>
                <w:sz w:val="20"/>
                <w:szCs w:val="20"/>
                <w:color w:val="auto"/>
              </w:rPr>
            </w:pPr>
            <w:r>
              <w:rPr>
                <w:rFonts w:ascii="Arial" w:cs="Arial" w:eastAsia="Arial" w:hAnsi="Arial"/>
                <w:sz w:val="17"/>
                <w:szCs w:val="17"/>
                <w:color w:val="auto"/>
              </w:rPr>
              <w:t>36</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01"/>
        </w:trPr>
        <w:tc>
          <w:tcPr>
            <w:tcW w:w="3460" w:type="dxa"/>
            <w:vAlign w:val="bottom"/>
            <w:gridSpan w:val="2"/>
          </w:tcPr>
          <w:p>
            <w:pPr>
              <w:spacing w:after="0"/>
              <w:rPr>
                <w:sz w:val="20"/>
                <w:szCs w:val="20"/>
                <w:color w:val="auto"/>
              </w:rPr>
            </w:pPr>
            <w:r>
              <w:rPr>
                <w:rFonts w:ascii="Arial" w:cs="Arial" w:eastAsia="Arial" w:hAnsi="Arial"/>
                <w:sz w:val="17"/>
                <w:szCs w:val="17"/>
                <w:color w:val="auto"/>
              </w:rPr>
              <w:t>W. Bradford Smith(1)(2)(3)</w:t>
            </w:r>
          </w:p>
        </w:tc>
        <w:tc>
          <w:tcPr>
            <w:tcW w:w="220" w:type="dxa"/>
            <w:vAlign w:val="bottom"/>
          </w:tcPr>
          <w:p>
            <w:pPr>
              <w:jc w:val="right"/>
              <w:spacing w:after="0"/>
              <w:rPr>
                <w:sz w:val="20"/>
                <w:szCs w:val="20"/>
                <w:color w:val="auto"/>
              </w:rPr>
            </w:pPr>
            <w:r>
              <w:rPr>
                <w:rFonts w:ascii="Arial" w:cs="Arial" w:eastAsia="Arial" w:hAnsi="Arial"/>
                <w:sz w:val="17"/>
                <w:szCs w:val="17"/>
                <w:color w:val="auto"/>
              </w:rPr>
              <w:t>64</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13"/>
        </w:trPr>
        <w:tc>
          <w:tcPr>
            <w:tcW w:w="3460" w:type="dxa"/>
            <w:vAlign w:val="bottom"/>
            <w:gridSpan w:val="2"/>
          </w:tcPr>
          <w:p>
            <w:pPr>
              <w:spacing w:after="0"/>
              <w:rPr>
                <w:sz w:val="20"/>
                <w:szCs w:val="20"/>
                <w:color w:val="auto"/>
              </w:rPr>
            </w:pPr>
            <w:r>
              <w:rPr>
                <w:rFonts w:ascii="Arial" w:cs="Arial" w:eastAsia="Arial" w:hAnsi="Arial"/>
                <w:sz w:val="17"/>
                <w:szCs w:val="17"/>
                <w:color w:val="auto"/>
              </w:rPr>
              <w:t>George Whitesides, Ph.D.</w:t>
            </w:r>
          </w:p>
        </w:tc>
        <w:tc>
          <w:tcPr>
            <w:tcW w:w="220" w:type="dxa"/>
            <w:vAlign w:val="bottom"/>
          </w:tcPr>
          <w:p>
            <w:pPr>
              <w:jc w:val="right"/>
              <w:spacing w:after="0"/>
              <w:rPr>
                <w:sz w:val="20"/>
                <w:szCs w:val="20"/>
                <w:color w:val="auto"/>
              </w:rPr>
            </w:pPr>
            <w:r>
              <w:rPr>
                <w:rFonts w:ascii="Arial" w:cs="Arial" w:eastAsia="Arial" w:hAnsi="Arial"/>
                <w:sz w:val="17"/>
                <w:szCs w:val="17"/>
                <w:color w:val="auto"/>
              </w:rPr>
              <w:t>80</w:t>
            </w: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80010</wp:posOffset>
            </wp:positionV>
            <wp:extent cx="7175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43" w:lineRule="exact"/>
        <w:rPr>
          <w:sz w:val="20"/>
          <w:szCs w:val="20"/>
          <w:color w:val="auto"/>
        </w:rPr>
      </w:pPr>
    </w:p>
    <w:p>
      <w:pPr>
        <w:ind w:left="900" w:hanging="397"/>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7" w:lineRule="exact"/>
        <w:rPr>
          <w:rFonts w:ascii="Arial" w:cs="Arial" w:eastAsia="Arial" w:hAnsi="Arial"/>
          <w:sz w:val="17"/>
          <w:szCs w:val="17"/>
          <w:color w:val="auto"/>
        </w:rPr>
      </w:pPr>
    </w:p>
    <w:p>
      <w:pPr>
        <w:ind w:left="900" w:hanging="397"/>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5" w:lineRule="exact"/>
        <w:rPr>
          <w:rFonts w:ascii="Arial" w:cs="Arial" w:eastAsia="Arial" w:hAnsi="Arial"/>
          <w:sz w:val="17"/>
          <w:szCs w:val="17"/>
          <w:color w:val="auto"/>
        </w:rPr>
      </w:pPr>
    </w:p>
    <w:p>
      <w:pPr>
        <w:ind w:left="900" w:hanging="397"/>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Executive Officers</w:t>
      </w:r>
    </w:p>
    <w:p>
      <w:pPr>
        <w:spacing w:after="0" w:line="210" w:lineRule="exact"/>
        <w:rPr>
          <w:sz w:val="20"/>
          <w:szCs w:val="20"/>
          <w:color w:val="auto"/>
        </w:rPr>
      </w:pPr>
    </w:p>
    <w:p>
      <w:pPr>
        <w:ind w:left="500" w:right="160" w:firstLine="819"/>
        <w:spacing w:after="0" w:line="286" w:lineRule="auto"/>
        <w:rPr>
          <w:sz w:val="20"/>
          <w:szCs w:val="20"/>
          <w:color w:val="auto"/>
        </w:rPr>
      </w:pPr>
      <w:r>
        <w:rPr>
          <w:rFonts w:ascii="Arial" w:cs="Arial" w:eastAsia="Arial" w:hAnsi="Arial"/>
          <w:sz w:val="15"/>
          <w:szCs w:val="15"/>
          <w:i w:val="1"/>
          <w:iCs w:val="1"/>
          <w:color w:val="auto"/>
        </w:rPr>
        <w:t xml:space="preserve">Maria Palasis, Ph.D. </w:t>
      </w:r>
      <w:r>
        <w:rPr>
          <w:rFonts w:ascii="Arial" w:cs="Arial" w:eastAsia="Arial" w:hAnsi="Arial"/>
          <w:sz w:val="15"/>
          <w:szCs w:val="15"/>
          <w:color w:val="auto"/>
        </w:rPr>
        <w:t>has served as our President and Chief Executive Officer and a member of our board of directors since January 2015.</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her role with us as President and Chief Executive Officer, Dr. Palasis held positions of increasing responsibility, the most recent of which was Executive Vice President and Chief Technology Officer from 2011 to 2015. Before that, in 2008, Dr. Palasis joined Arsenal Medical, Inc., a biotechnology company, as Executive Vice President and subsequently served as President and Chief Executive Officer and a member of the board of directors of Arsenal Medical from January 2015 to June 2018. Before that, from November 1995 to January 2008, Dr. Palasis served as Director at Boston Scientific Corporation, a medical device company, where she managed a portfolio of external biotech and medical device investments and led the development of several combination therapies. Dr. Palasis holds a B.S. and Ph.D. in Chemical Engineering from the University of Cincinnati, and she held a postdoctoral fellowship in molecular biology at the University of Cincinnati School of Medicine. We believe that Dr. Palasis’ experience in the industry and knowledge of our company qualifies her to serve on our board of directors.</w:t>
      </w:r>
    </w:p>
    <w:p>
      <w:pPr>
        <w:spacing w:after="0" w:line="159"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i w:val="1"/>
          <w:iCs w:val="1"/>
          <w:color w:val="auto"/>
        </w:rPr>
        <w:t xml:space="preserve">R. Don Elsey </w:t>
      </w:r>
      <w:r>
        <w:rPr>
          <w:rFonts w:ascii="Arial" w:cs="Arial" w:eastAsia="Arial" w:hAnsi="Arial"/>
          <w:sz w:val="16"/>
          <w:szCs w:val="16"/>
          <w:color w:val="auto"/>
        </w:rPr>
        <w:t>has served as our Chief Financial Officer since August 2019 and as our Treasurer and Secretary since October 2019.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our company, from February 2015 to February 2019, Mr. Elsey served as Chief Financial Officer at Senseonics, Inc., a medical device company. From May 2014 until February 2015, Mr. Elsey served as Chief Financial Officer of Regado Biosciences, Inc., a biopharmaceutical company. From December 2012 to February 2014, Mr. Elsey served as Chief Financial Officer of LifeCell Corporation, a privately held regenerative medicine company. Mr. Elsey holds a B.A. in economics and an M.B.A. in finance from Michigan State University.</w:t>
      </w:r>
    </w:p>
    <w:p>
      <w:pPr>
        <w:spacing w:after="0" w:line="166" w:lineRule="exact"/>
        <w:rPr>
          <w:sz w:val="20"/>
          <w:szCs w:val="20"/>
          <w:color w:val="auto"/>
        </w:rPr>
      </w:pPr>
    </w:p>
    <w:p>
      <w:pPr>
        <w:ind w:left="500" w:right="160" w:firstLine="819"/>
        <w:spacing w:after="0" w:line="268" w:lineRule="auto"/>
        <w:rPr>
          <w:sz w:val="20"/>
          <w:szCs w:val="20"/>
          <w:color w:val="auto"/>
        </w:rPr>
      </w:pPr>
      <w:r>
        <w:rPr>
          <w:rFonts w:ascii="Arial" w:cs="Arial" w:eastAsia="Arial" w:hAnsi="Arial"/>
          <w:sz w:val="17"/>
          <w:szCs w:val="17"/>
          <w:i w:val="1"/>
          <w:iCs w:val="1"/>
          <w:color w:val="auto"/>
        </w:rPr>
        <w:t xml:space="preserve">Laura Edgerly-Pflug </w:t>
      </w:r>
      <w:r>
        <w:rPr>
          <w:rFonts w:ascii="Arial" w:cs="Arial" w:eastAsia="Arial" w:hAnsi="Arial"/>
          <w:sz w:val="17"/>
          <w:szCs w:val="17"/>
          <w:color w:val="auto"/>
        </w:rPr>
        <w:t>has served as our Senior Vice President of Technical Operations since July 2019. Prior to joining our company, from</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2016 to June 2019, Ms. Edgerly-Pflug served as Vice President of</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720"/>
          </w:cols>
          <w:pgMar w:left="320" w:top="437" w:right="85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66" w:lineRule="auto"/>
        <w:rPr>
          <w:sz w:val="20"/>
          <w:szCs w:val="20"/>
          <w:color w:val="auto"/>
        </w:rPr>
      </w:pPr>
      <w:r>
        <w:rPr>
          <w:rFonts w:ascii="Arial" w:cs="Arial" w:eastAsia="Arial" w:hAnsi="Arial"/>
          <w:sz w:val="16"/>
          <w:szCs w:val="16"/>
          <w:color w:val="auto"/>
        </w:rPr>
        <w:t>Manufacturing Operations and Quality Control at Adgero Biopharmaceuticals Holdings, Inc., a biopharmaceutical company, where she led the manufacturing, formulation, analytical, and quality control and assurance activities for the development of a therapeutic. Before that, from January 2014 to September 2016, Ms. Edgerly-Pflug was the Owner at Pflug BioPharm Solutions, a biopharmaceutical consulting firm, where she provided strategic direction and implementation to clients in the areas of manufacturing, quality assurance, new technologies, new products and life cycle initiatives. Before that, from June 2012 to December 2013, Ms. Edgerly-Pflug served as Vice President of Technical Operations and Chemistry, Manufacturing and Controls at Insmed Incorporated, formerly Transave Inc., a pharmaceutical company, where she was responsible for product development and manufacturing of sterile liposomal products from preclinical development through commercialization. From July 2006 to June 2012, she served as Executive Director of Technical Operations and Chemistry, Manufacturing and Controls at Insmed. Ms. Edgerly-Pflug earned a B.S. in Chemistry from Kean College of New Jersey.</w:t>
      </w:r>
    </w:p>
    <w:p>
      <w:pPr>
        <w:spacing w:after="0" w:line="173" w:lineRule="exact"/>
        <w:rPr>
          <w:sz w:val="20"/>
          <w:szCs w:val="20"/>
          <w:color w:val="auto"/>
        </w:rPr>
      </w:pPr>
    </w:p>
    <w:p>
      <w:pPr>
        <w:ind w:left="500" w:right="20" w:firstLine="819"/>
        <w:spacing w:after="0" w:line="266" w:lineRule="auto"/>
        <w:rPr>
          <w:sz w:val="20"/>
          <w:szCs w:val="20"/>
          <w:color w:val="auto"/>
        </w:rPr>
      </w:pPr>
      <w:r>
        <w:rPr>
          <w:rFonts w:ascii="Arial" w:cs="Arial" w:eastAsia="Arial" w:hAnsi="Arial"/>
          <w:sz w:val="16"/>
          <w:szCs w:val="16"/>
          <w:i w:val="1"/>
          <w:iCs w:val="1"/>
          <w:color w:val="auto"/>
        </w:rPr>
        <w:t xml:space="preserve">Corinne Noyes </w:t>
      </w:r>
      <w:r>
        <w:rPr>
          <w:rFonts w:ascii="Arial" w:cs="Arial" w:eastAsia="Arial" w:hAnsi="Arial"/>
          <w:sz w:val="16"/>
          <w:szCs w:val="16"/>
          <w:color w:val="auto"/>
        </w:rPr>
        <w:t>has served as our Senior Vice President of Commercial Strategy and Market Development since September 2018.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our company, from January 2018 to August 2018, Ms. Noyes served as an independent contractor to our Company, providing biopharmaceutical consulting services. Before that, from January 2005 to August 2018, Ms. Noyes worked as a strategic advisor and independent biopharmaceutical consultant providing commercial leadership to emerging life sciences companies, including, among others, AMAG Pharmaceuticals, Inc., Avila Therapeutics, Inc. (Celgene Corporation), Adnexus Therapeutics Inc. (Bristol-Myers Squibb Company), Constellation Pharmaceuticals, Inc., and Editas Medicine, Inc. Before that, from 1997 to 2004, Ms. Noyes held various commercial leadership positions at Biogen Inc., a biotechnology company. Prior to joining Biogen Inc., from 1992 to 1996, Ms. Noyes worked as a health care strategy consultant at Deloitte &amp; Touche LLP. Ms. Noyes holds a B.A. in Humanities and a B.B.A. in Business from St. Mary’s College of Notre Dame and an M.B.A. in finance from University of Chicago Graduate School of Business.</w:t>
      </w:r>
    </w:p>
    <w:p>
      <w:pPr>
        <w:spacing w:after="0" w:line="173"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In April 2020, Dana Washburn, M.D. stepped down from his role as our Chief Medical Officer and transitioned to serving as a consultant.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Non-Employee Directors</w:t>
      </w:r>
    </w:p>
    <w:p>
      <w:pPr>
        <w:spacing w:after="0" w:line="210" w:lineRule="exact"/>
        <w:rPr>
          <w:sz w:val="20"/>
          <w:szCs w:val="20"/>
          <w:color w:val="auto"/>
        </w:rPr>
      </w:pPr>
    </w:p>
    <w:p>
      <w:pPr>
        <w:ind w:left="500" w:right="60" w:firstLine="819"/>
        <w:spacing w:after="0" w:line="287" w:lineRule="auto"/>
        <w:rPr>
          <w:sz w:val="20"/>
          <w:szCs w:val="20"/>
          <w:color w:val="auto"/>
        </w:rPr>
      </w:pPr>
      <w:r>
        <w:rPr>
          <w:rFonts w:ascii="Arial" w:cs="Arial" w:eastAsia="Arial" w:hAnsi="Arial"/>
          <w:sz w:val="15"/>
          <w:szCs w:val="15"/>
          <w:i w:val="1"/>
          <w:iCs w:val="1"/>
          <w:color w:val="auto"/>
        </w:rPr>
        <w:t xml:space="preserve">Michael Altman </w:t>
      </w:r>
      <w:r>
        <w:rPr>
          <w:rFonts w:ascii="Arial" w:cs="Arial" w:eastAsia="Arial" w:hAnsi="Arial"/>
          <w:sz w:val="15"/>
          <w:szCs w:val="15"/>
          <w:color w:val="auto"/>
        </w:rPr>
        <w:t>has served as a member of our board of directors since June 2018. Since 2007, Mr. Altman has been employed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team at Perceptive Advisors, a life sciences focused investment firm, where he currently serves as Managing Director and focuses on medical devices, diagnostics, digital health and specialty pharmaceuticals investments. Since October 2018, Mr. Altman has also served as Chief Financial Officer and member of the board of directors of ARYA Sciences Acquisition Corp., a special purpose acquisition company. From October 2005 to October 2007, Mr. Altman served as a healthcare trader and analyst at First New York Securities. Mr. Altman has served on the board of directors of Vitruvius Therapeutics, Inc., a pharmaceutical company, since December 2017, and served on the board of directors of Vensun Pharmaceuticals, Inc., a pharmaceutical company, from November 2016 to January 2019. Mr. Altman holds a B.S. in Business Administration from the University of Vermont. We believe that Mr. Altman’s broad operational and transactional experience qualifies him to serve on our board of directors.</w:t>
      </w:r>
    </w:p>
    <w:p>
      <w:pPr>
        <w:spacing w:after="0" w:line="157" w:lineRule="exact"/>
        <w:rPr>
          <w:sz w:val="20"/>
          <w:szCs w:val="20"/>
          <w:color w:val="auto"/>
        </w:rPr>
      </w:pPr>
    </w:p>
    <w:p>
      <w:pPr>
        <w:ind w:left="500" w:right="60" w:firstLine="819"/>
        <w:spacing w:after="0" w:line="253" w:lineRule="auto"/>
        <w:rPr>
          <w:sz w:val="20"/>
          <w:szCs w:val="20"/>
          <w:color w:val="auto"/>
        </w:rPr>
      </w:pPr>
      <w:r>
        <w:rPr>
          <w:rFonts w:ascii="Arial" w:cs="Arial" w:eastAsia="Arial" w:hAnsi="Arial"/>
          <w:sz w:val="17"/>
          <w:szCs w:val="17"/>
          <w:i w:val="1"/>
          <w:iCs w:val="1"/>
          <w:color w:val="auto"/>
        </w:rPr>
        <w:t xml:space="preserve">Edward Anderson. </w:t>
      </w:r>
      <w:r>
        <w:rPr>
          <w:rFonts w:ascii="Arial" w:cs="Arial" w:eastAsia="Arial" w:hAnsi="Arial"/>
          <w:sz w:val="17"/>
          <w:szCs w:val="17"/>
          <w:color w:val="auto"/>
        </w:rPr>
        <w:t>has served as a member of our board of directors since February 2019. Since June 1994, Mr. Anderson has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Founder and a Managing Partner at North Bridge Venture Partners &amp; Growth Equity, a venture capital firm. Mr. Anderson holds a B.F.A. from the University of Denver and an M.B.A. from Columbia University Graduate School of Business. We believe that Mr. Anderson’s extensive experience in venture capital investments qualifies him to serve on our board of directors.</w:t>
      </w:r>
    </w:p>
    <w:p>
      <w:pPr>
        <w:spacing w:after="0" w:line="180" w:lineRule="exact"/>
        <w:rPr>
          <w:sz w:val="20"/>
          <w:szCs w:val="20"/>
          <w:color w:val="auto"/>
        </w:rPr>
      </w:pPr>
    </w:p>
    <w:p>
      <w:pPr>
        <w:ind w:left="500" w:right="120" w:firstLine="819"/>
        <w:spacing w:after="0" w:line="251" w:lineRule="auto"/>
        <w:rPr>
          <w:sz w:val="20"/>
          <w:szCs w:val="20"/>
          <w:color w:val="auto"/>
        </w:rPr>
      </w:pPr>
      <w:r>
        <w:rPr>
          <w:rFonts w:ascii="Arial" w:cs="Arial" w:eastAsia="Arial" w:hAnsi="Arial"/>
          <w:sz w:val="17"/>
          <w:szCs w:val="17"/>
          <w:i w:val="1"/>
          <w:iCs w:val="1"/>
          <w:color w:val="auto"/>
        </w:rPr>
        <w:t xml:space="preserve">Robert S. Langer, Sc.D. </w:t>
      </w:r>
      <w:r>
        <w:rPr>
          <w:rFonts w:ascii="Arial" w:cs="Arial" w:eastAsia="Arial" w:hAnsi="Arial"/>
          <w:sz w:val="17"/>
          <w:szCs w:val="17"/>
          <w:color w:val="auto"/>
        </w:rPr>
        <w:t>has served as a member of our board of directors since March 2006. Since 2005, Dr. Langer has served as a David</w:t>
      </w:r>
      <w:r>
        <w:rPr>
          <w:rFonts w:ascii="Arial" w:cs="Arial" w:eastAsia="Arial" w:hAnsi="Arial"/>
          <w:sz w:val="17"/>
          <w:szCs w:val="17"/>
          <w:i w:val="1"/>
          <w:iCs w:val="1"/>
          <w:color w:val="auto"/>
        </w:rPr>
        <w:t xml:space="preserve"> </w:t>
      </w:r>
      <w:r>
        <w:rPr>
          <w:rFonts w:ascii="Arial" w:cs="Arial" w:eastAsia="Arial" w:hAnsi="Arial"/>
          <w:sz w:val="17"/>
          <w:szCs w:val="17"/>
          <w:color w:val="auto"/>
        </w:rPr>
        <w:t>H. Koch Institute Professor at the Massachusetts Institute of Technology. Dr. Langer has served on the board of directors of Abpro Corporation, a biotechnology company, since December 2016 and since September 2016 on the board of directors of Frequency Therapeutics, Inc., a biotechnology company. Dr. Langer has also served on the board of directors of Rubius Therapeutics, Inc., a biopharmaceutical company, since December 2014 and since December 2010 on the board of directors of</w:t>
      </w:r>
    </w:p>
    <w:p>
      <w:pPr>
        <w:spacing w:after="0" w:line="12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700"/>
          </w:cols>
          <w:pgMar w:left="320" w:top="437" w:right="8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90" w:lineRule="auto"/>
        <w:rPr>
          <w:sz w:val="20"/>
          <w:szCs w:val="20"/>
          <w:color w:val="auto"/>
        </w:rPr>
      </w:pPr>
      <w:r>
        <w:rPr>
          <w:rFonts w:ascii="Arial" w:cs="Arial" w:eastAsia="Arial" w:hAnsi="Arial"/>
          <w:sz w:val="15"/>
          <w:szCs w:val="15"/>
          <w:color w:val="auto"/>
        </w:rPr>
        <w:t>Moderna, Inc., a biopharmaceutical company. Dr. Langer has also served on the board of directors of Puretech Health plc, a biotechnology company, and previously served on the boards of directors of Momenta Pharmaceuticals, Inc., a biotechnology company, Wyeth Pharmaceuticals, a biopharmaceutical company, Kala Pharmaceuticals, Inc., a biopharmaceutical company, Fibrocell Science, Inc., a biotechnology company, and Millipore Corp., a life-sciences device manufacturer. Dr. Langer holds a Sc.D. in Chemical Engineering from the Massachusetts Institute of Technology and a B.S. in Chemical Engineering from Cornell University. We believe Dr. Langer’s pioneering academic work, extensive medical and scientific knowledge, and experience serving on public company boards of directors qualify him to serve on our board of directors.</w:t>
      </w:r>
    </w:p>
    <w:p>
      <w:pPr>
        <w:spacing w:after="0" w:line="155" w:lineRule="exact"/>
        <w:rPr>
          <w:sz w:val="20"/>
          <w:szCs w:val="20"/>
          <w:color w:val="auto"/>
        </w:rPr>
      </w:pPr>
    </w:p>
    <w:p>
      <w:pPr>
        <w:ind w:left="500" w:right="40" w:firstLine="819"/>
        <w:spacing w:after="0" w:line="265" w:lineRule="auto"/>
        <w:rPr>
          <w:sz w:val="20"/>
          <w:szCs w:val="20"/>
          <w:color w:val="auto"/>
        </w:rPr>
      </w:pPr>
      <w:r>
        <w:rPr>
          <w:rFonts w:ascii="Arial" w:cs="Arial" w:eastAsia="Arial" w:hAnsi="Arial"/>
          <w:sz w:val="16"/>
          <w:szCs w:val="16"/>
          <w:i w:val="1"/>
          <w:iCs w:val="1"/>
          <w:color w:val="auto"/>
        </w:rPr>
        <w:t xml:space="preserve">C. Ann Merrifield </w:t>
      </w:r>
      <w:r>
        <w:rPr>
          <w:rFonts w:ascii="Arial" w:cs="Arial" w:eastAsia="Arial" w:hAnsi="Arial"/>
          <w:sz w:val="16"/>
          <w:szCs w:val="16"/>
          <w:color w:val="auto"/>
        </w:rPr>
        <w:t>has served as a member of our board of directors since September 2019. Ms. Merrifield has also served as a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boards of directors for a portfolio of public and private companies in the life sciences sector which include Flexion Therapeutics, Inc., since June 2014, InVivo Therapeutics Holdings Corp., since November 2014 and Veritas Genetics Inc., since December 2016. From July 2015 to August 2018, she served as a director of Juniper Pharmaceuticals, Inc., until it was acquired by Catalent, Inc. Ms. Merrifield also serves as a Trustee for MassMutual Premier, Select and MML Series Investment Funds, Partners Continuing Care (the post-acute care services division of Partners HealthCare) and the Huntington Theatre Company. From November 2012 to July 2014, Ms. Merrifield served as President, Chief Executive Officer and director of PathoGenetix Inc., a genomics company, which voluntarily filed for Chapter 7 bankruptcy in July 2014. Before that, Ms. Merrifield spent 18 years at Genzyme Corporation, serving in several leadership roles, including President of Genzyme Biosurgery, President of Genzyme Genetics and Senior Vice President, Business Excellence. Ms. Merrifield holds a B.A. in Zoology and a Master of Education from the University of Maine and an M.B.A. from the Tuck School of Business at Dartmouth College. We believe that Ms. Merrifield’s extensive industry experience qualifies her to serve on our board of directors.</w:t>
      </w:r>
    </w:p>
    <w:p>
      <w:pPr>
        <w:spacing w:after="0" w:line="175" w:lineRule="exact"/>
        <w:rPr>
          <w:sz w:val="20"/>
          <w:szCs w:val="20"/>
          <w:color w:val="auto"/>
        </w:rPr>
      </w:pPr>
    </w:p>
    <w:p>
      <w:pPr>
        <w:ind w:left="500" w:right="140" w:firstLine="819"/>
        <w:spacing w:after="0" w:line="269" w:lineRule="auto"/>
        <w:rPr>
          <w:sz w:val="20"/>
          <w:szCs w:val="20"/>
          <w:color w:val="auto"/>
        </w:rPr>
      </w:pPr>
      <w:r>
        <w:rPr>
          <w:rFonts w:ascii="Arial" w:cs="Arial" w:eastAsia="Arial" w:hAnsi="Arial"/>
          <w:sz w:val="16"/>
          <w:szCs w:val="16"/>
          <w:i w:val="1"/>
          <w:iCs w:val="1"/>
          <w:color w:val="auto"/>
        </w:rPr>
        <w:t xml:space="preserve">Konstantin Poukalov </w:t>
      </w:r>
      <w:r>
        <w:rPr>
          <w:rFonts w:ascii="Arial" w:cs="Arial" w:eastAsia="Arial" w:hAnsi="Arial"/>
          <w:sz w:val="16"/>
          <w:szCs w:val="16"/>
          <w:color w:val="auto"/>
        </w:rPr>
        <w:t>has served as a member of our board of directors since January 2020. Since March 2019, Mr. Poukalov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 at Perceptive Advisors, a life sciences focused investment firm. Since August 2019, Mr. Poukalov has also served on the board of directors of Landos Biopharma, Inc., a biopharmaceutical company. From July 2012 to October 2018, Mr. Poukalov served in roles of increasing responsibility at Kadmon Holdings, Inc., a biopharmaceutical company, most recently serving as Executive Vice President and Chief Financial Officer from July 2014 to October 2018. Mr. Poukalov holds a B.S. in Electrical Engineering from Stony Brook University. We believe that Mr. Poukalov’s extensive financial and industry experience qualify him to serve on our board of directors.</w:t>
      </w:r>
    </w:p>
    <w:p>
      <w:pPr>
        <w:spacing w:after="0" w:line="169" w:lineRule="exact"/>
        <w:rPr>
          <w:sz w:val="20"/>
          <w:szCs w:val="20"/>
          <w:color w:val="auto"/>
        </w:rPr>
      </w:pPr>
    </w:p>
    <w:p>
      <w:pPr>
        <w:ind w:left="500" w:right="20" w:firstLine="819"/>
        <w:spacing w:after="0" w:line="269" w:lineRule="auto"/>
        <w:rPr>
          <w:sz w:val="20"/>
          <w:szCs w:val="20"/>
          <w:color w:val="auto"/>
        </w:rPr>
      </w:pPr>
      <w:r>
        <w:rPr>
          <w:rFonts w:ascii="Arial" w:cs="Arial" w:eastAsia="Arial" w:hAnsi="Arial"/>
          <w:sz w:val="16"/>
          <w:szCs w:val="16"/>
          <w:i w:val="1"/>
          <w:iCs w:val="1"/>
          <w:color w:val="auto"/>
        </w:rPr>
        <w:t xml:space="preserve">W. Bradford Smith </w:t>
      </w:r>
      <w:r>
        <w:rPr>
          <w:rFonts w:ascii="Arial" w:cs="Arial" w:eastAsia="Arial" w:hAnsi="Arial"/>
          <w:sz w:val="16"/>
          <w:szCs w:val="16"/>
          <w:color w:val="auto"/>
        </w:rPr>
        <w:t>has served a member of our board of directors since November 2019. Mr. Smith has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Treasurer of Homology Medicines, Inc., a genetic medicines company, since April 2017 and as Secretary since July 2017. From March 2014 to April 2017, Mr. Smith was Chief Financial Officer of Ocular Therapeutix, Inc., a biopharmaceutical company. Prior to joining Ocular Therapeutix, Mr. Smith served as Chief Financial Officer of OmniGuide, Inc., a medical device company, from July 2008 to March 2014. Mr. Smith holds a B.S. in Biology from Tufts University and an M.B.A. from the Whittemore School of Business and Economics at the University of New Hampshire. We believe that Mr. Smith’s extensive financial and industry experience qualify him to serve on our board of directors.</w:t>
      </w:r>
    </w:p>
    <w:p>
      <w:pPr>
        <w:spacing w:after="0" w:line="169" w:lineRule="exact"/>
        <w:rPr>
          <w:sz w:val="20"/>
          <w:szCs w:val="20"/>
          <w:color w:val="auto"/>
        </w:rPr>
      </w:pPr>
    </w:p>
    <w:p>
      <w:pPr>
        <w:ind w:left="500" w:right="80" w:firstLine="819"/>
        <w:spacing w:after="0" w:line="267" w:lineRule="auto"/>
        <w:rPr>
          <w:sz w:val="20"/>
          <w:szCs w:val="20"/>
          <w:color w:val="auto"/>
        </w:rPr>
      </w:pPr>
      <w:r>
        <w:rPr>
          <w:rFonts w:ascii="Arial" w:cs="Arial" w:eastAsia="Arial" w:hAnsi="Arial"/>
          <w:sz w:val="16"/>
          <w:szCs w:val="16"/>
          <w:i w:val="1"/>
          <w:iCs w:val="1"/>
          <w:color w:val="auto"/>
        </w:rPr>
        <w:t xml:space="preserve">George Whitesides, Ph.D. </w:t>
      </w:r>
      <w:r>
        <w:rPr>
          <w:rFonts w:ascii="Arial" w:cs="Arial" w:eastAsia="Arial" w:hAnsi="Arial"/>
          <w:sz w:val="16"/>
          <w:szCs w:val="16"/>
          <w:color w:val="auto"/>
        </w:rPr>
        <w:t>has served as a member of our board of directors since March 2006. Since 2004, he has served as the Woodford</w:t>
      </w:r>
      <w:r>
        <w:rPr>
          <w:rFonts w:ascii="Arial" w:cs="Arial" w:eastAsia="Arial" w:hAnsi="Arial"/>
          <w:sz w:val="16"/>
          <w:szCs w:val="16"/>
          <w:i w:val="1"/>
          <w:iCs w:val="1"/>
          <w:color w:val="auto"/>
        </w:rPr>
        <w:t xml:space="preserve"> </w:t>
      </w:r>
      <w:r>
        <w:rPr>
          <w:rFonts w:ascii="Arial" w:cs="Arial" w:eastAsia="Arial" w:hAnsi="Arial"/>
          <w:sz w:val="16"/>
          <w:szCs w:val="16"/>
          <w:color w:val="auto"/>
        </w:rPr>
        <w:t>L. and Ann A. Flowers University Professor at Harvard University. Dr. Whitesides joined Harvard’s department of chemistry in 1982 and served as department chairman from 1986 to 1989. From 1963 to 1982, he was a faculty member at the Massachusetts Institute of Technology. Dr. Whitesides held advisory positions on the National Research Council, National Science Foundation and the Department of Defense’s Defense Advanced Research Projects Agency (DARPA), and is a member of the American Academy of Arts and Sciences, National Academy of Sciences, National Academy of Engineering and the American Philosophical Society, among other organizations. Dr. Whitesides has served on the board of directors of Theravance Biopharma, Inc., a biopharmaceutical company, since October 2013. Dr. Whitesides is also a co-founder of a number of companies, including Genzyme Corporation, GelTex Pharmaceuticals Inc.,</w:t>
      </w:r>
    </w:p>
    <w:p>
      <w:pPr>
        <w:spacing w:after="0" w:line="10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740"/>
          </w:cols>
          <w:pgMar w:left="320" w:top="437" w:right="8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360"/>
        <w:spacing w:after="0" w:line="257" w:lineRule="auto"/>
        <w:rPr>
          <w:sz w:val="20"/>
          <w:szCs w:val="20"/>
          <w:color w:val="auto"/>
        </w:rPr>
      </w:pPr>
      <w:r>
        <w:rPr>
          <w:rFonts w:ascii="Arial" w:cs="Arial" w:eastAsia="Arial" w:hAnsi="Arial"/>
          <w:sz w:val="17"/>
          <w:szCs w:val="17"/>
          <w:color w:val="auto"/>
        </w:rPr>
        <w:t>Theravance Biopharma, Inc., Soft Robotics Inc. and Arsenal Medical, Inc. Dr. Whitesides holds an A.B. from Harvard University and a Ph.D. in chemistry from the California Institute of Technology. We believe that Dr. Whitesides’ extensive scientific and industry experience qualifies him to serve on our board of directors.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06" w:lineRule="exact"/>
        <w:rPr>
          <w:sz w:val="20"/>
          <w:szCs w:val="20"/>
          <w:color w:val="auto"/>
        </w:rPr>
      </w:pPr>
    </w:p>
    <w:p>
      <w:pPr>
        <w:ind w:left="500" w:right="60" w:firstLine="819"/>
        <w:spacing w:after="0" w:line="251" w:lineRule="auto"/>
        <w:rPr>
          <w:sz w:val="20"/>
          <w:szCs w:val="20"/>
          <w:color w:val="auto"/>
        </w:rPr>
      </w:pPr>
      <w:r>
        <w:rPr>
          <w:rFonts w:ascii="Arial" w:cs="Arial" w:eastAsia="Arial" w:hAnsi="Arial"/>
          <w:sz w:val="17"/>
          <w:szCs w:val="17"/>
          <w:color w:val="auto"/>
        </w:rPr>
        <w:t>Our board of directors currently consists of eight members. Our board of directors has determined that, of our eight directors, Michael Altman, Edward Anderson, Robert S. Langer, Sc.D., C. Ann Merrifield, Konstantin Poukalov and W. Bradford Smith do not have a relationship that would interfere with the exercise of independent judgment in carrying out the responsibilities of a director and that each of these directors is “independent” as that term is defined under the rules of The Nasdaq Stock Market LLC, or Nasdaq. There are no family relationships among any of our directors or executive officers.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206" w:lineRule="exact"/>
        <w:rPr>
          <w:sz w:val="20"/>
          <w:szCs w:val="20"/>
          <w:color w:val="auto"/>
        </w:rPr>
      </w:pPr>
    </w:p>
    <w:p>
      <w:pPr>
        <w:ind w:left="500" w:right="40" w:firstLine="819"/>
        <w:spacing w:after="0" w:line="253" w:lineRule="auto"/>
        <w:rPr>
          <w:sz w:val="20"/>
          <w:szCs w:val="20"/>
          <w:color w:val="auto"/>
        </w:rPr>
      </w:pPr>
      <w:r>
        <w:rPr>
          <w:rFonts w:ascii="Arial" w:cs="Arial" w:eastAsia="Arial" w:hAnsi="Arial"/>
          <w:sz w:val="17"/>
          <w:szCs w:val="17"/>
          <w:color w:val="auto"/>
        </w:rPr>
        <w:t>In accordance with our restated certificate of incorporation that will go into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our directors will be divided among the three classes as follows:</w:t>
      </w:r>
    </w:p>
    <w:p>
      <w:pPr>
        <w:spacing w:after="0" w:line="205" w:lineRule="exact"/>
        <w:rPr>
          <w:sz w:val="20"/>
          <w:szCs w:val="20"/>
          <w:color w:val="auto"/>
        </w:rPr>
      </w:pPr>
    </w:p>
    <w:p>
      <w:pPr>
        <w:ind w:left="1720" w:right="80" w:hanging="301"/>
        <w:spacing w:after="0" w:line="268" w:lineRule="auto"/>
        <w:tabs>
          <w:tab w:leader="none" w:pos="17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Class I directors will be Edward Anderson, Konstantin Poukalov and George Whitesides, Ph.D., and their terms will expire at our first annual meeting of stockholders following this offering;</w:t>
      </w:r>
    </w:p>
    <w:p>
      <w:pPr>
        <w:spacing w:after="0" w:line="191" w:lineRule="exact"/>
        <w:rPr>
          <w:rFonts w:ascii="Arial" w:cs="Arial" w:eastAsia="Arial" w:hAnsi="Arial"/>
          <w:sz w:val="17"/>
          <w:szCs w:val="17"/>
          <w:color w:val="auto"/>
        </w:rPr>
      </w:pPr>
    </w:p>
    <w:p>
      <w:pPr>
        <w:ind w:left="1720" w:right="160" w:hanging="301"/>
        <w:spacing w:after="0" w:line="268" w:lineRule="auto"/>
        <w:tabs>
          <w:tab w:leader="none" w:pos="17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Class II directors will be C. Ann Merrifield, Michael Altman and Robert Langer, Sc.D., and their terms will expire at our second annual meeting of stockholders following this offering; and</w:t>
      </w:r>
    </w:p>
    <w:p>
      <w:pPr>
        <w:spacing w:after="0" w:line="191" w:lineRule="exact"/>
        <w:rPr>
          <w:rFonts w:ascii="Arial" w:cs="Arial" w:eastAsia="Arial" w:hAnsi="Arial"/>
          <w:sz w:val="17"/>
          <w:szCs w:val="17"/>
          <w:color w:val="auto"/>
        </w:rPr>
      </w:pPr>
    </w:p>
    <w:p>
      <w:pPr>
        <w:ind w:left="1720" w:right="180" w:hanging="301"/>
        <w:spacing w:after="0" w:line="268" w:lineRule="auto"/>
        <w:tabs>
          <w:tab w:leader="none" w:pos="17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Class III directors will be Maria Palasis, Ph.D. and W. Bradford Smith, and their terms will expire at the third annual meeting of stockholders following this offering.</w:t>
      </w:r>
    </w:p>
    <w:p>
      <w:pPr>
        <w:spacing w:after="0" w:line="166"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Our restated certificate of incorporation that will go into effect upon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84" w:lineRule="exact"/>
        <w:rPr>
          <w:sz w:val="20"/>
          <w:szCs w:val="20"/>
          <w:color w:val="auto"/>
        </w:rPr>
      </w:pPr>
    </w:p>
    <w:p>
      <w:pPr>
        <w:ind w:left="500" w:right="180" w:firstLine="819"/>
        <w:spacing w:after="0" w:line="280" w:lineRule="auto"/>
        <w:rPr>
          <w:sz w:val="20"/>
          <w:szCs w:val="20"/>
          <w:color w:val="auto"/>
        </w:rPr>
      </w:pPr>
      <w:r>
        <w:rPr>
          <w:rFonts w:ascii="Arial" w:cs="Arial" w:eastAsia="Arial" w:hAnsi="Arial"/>
          <w:sz w:val="16"/>
          <w:szCs w:val="16"/>
          <w:color w:val="auto"/>
        </w:rPr>
        <w:t>Our directors were elected to and currently serve on the board pursuant to a voting agreement among us and several of our largest stockholders. See “Certain Relationships and Related Party Transactions—Voting Agreement.” This agreement will terminate upon the closing of this offering, after which there will be no further contractual obligations regarding the election of our directors.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Board Leadership Structure</w:t>
      </w:r>
    </w:p>
    <w:p>
      <w:pPr>
        <w:spacing w:after="0" w:line="210" w:lineRule="exact"/>
        <w:rPr>
          <w:sz w:val="20"/>
          <w:szCs w:val="20"/>
          <w:color w:val="auto"/>
        </w:rPr>
      </w:pPr>
    </w:p>
    <w:p>
      <w:pPr>
        <w:ind w:left="500" w:right="60" w:firstLine="819"/>
        <w:spacing w:after="0" w:line="307" w:lineRule="auto"/>
        <w:rPr>
          <w:sz w:val="20"/>
          <w:szCs w:val="20"/>
          <w:color w:val="auto"/>
        </w:rPr>
      </w:pPr>
      <w:r>
        <w:rPr>
          <w:rFonts w:ascii="Arial" w:cs="Arial" w:eastAsia="Arial" w:hAnsi="Arial"/>
          <w:sz w:val="15"/>
          <w:szCs w:val="15"/>
          <w:color w:val="auto"/>
        </w:rPr>
        <w:t>Our board of directors is currently chaired by Maria Palasis, Ph.D. Our corporate governance guidelines provide that, if the chairman of the board is a member of management or does not otherwise qualify as independent, the independent directors of the board may elect a lead independent director. C. Ann Merrifield currently serves as our lead independent director. The lead independent director’s responsibilities include, but are</w:t>
      </w:r>
    </w:p>
    <w:p>
      <w:pPr>
        <w:spacing w:after="0" w:line="7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720"/>
          </w:cols>
          <w:pgMar w:left="320" w:top="437" w:right="8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40"/>
        <w:spacing w:after="0" w:line="253" w:lineRule="auto"/>
        <w:rPr>
          <w:sz w:val="20"/>
          <w:szCs w:val="20"/>
          <w:color w:val="auto"/>
        </w:rPr>
      </w:pPr>
      <w:r>
        <w:rPr>
          <w:rFonts w:ascii="Arial" w:cs="Arial" w:eastAsia="Arial" w:hAnsi="Arial"/>
          <w:sz w:val="17"/>
          <w:szCs w:val="17"/>
          <w:color w:val="auto"/>
        </w:rPr>
        <w:t>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Role of the Board in Risk Oversight</w:t>
      </w:r>
    </w:p>
    <w:p>
      <w:pPr>
        <w:spacing w:after="0" w:line="210"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Board Committees</w:t>
      </w:r>
    </w:p>
    <w:p>
      <w:pPr>
        <w:spacing w:after="0" w:line="210" w:lineRule="exact"/>
        <w:rPr>
          <w:sz w:val="20"/>
          <w:szCs w:val="20"/>
          <w:color w:val="auto"/>
        </w:rPr>
      </w:pPr>
    </w:p>
    <w:p>
      <w:pPr>
        <w:ind w:left="500" w:right="140" w:firstLine="819"/>
        <w:spacing w:after="0" w:line="257" w:lineRule="auto"/>
        <w:rPr>
          <w:sz w:val="20"/>
          <w:szCs w:val="20"/>
          <w:color w:val="auto"/>
        </w:rPr>
      </w:pPr>
      <w:r>
        <w:rPr>
          <w:rFonts w:ascii="Arial" w:cs="Arial" w:eastAsia="Arial" w:hAnsi="Arial"/>
          <w:sz w:val="17"/>
          <w:szCs w:val="17"/>
          <w:color w:val="auto"/>
        </w:rPr>
        <w:t>Our board of directors has an audit committee, a compensation committee and a nominating and corporate governance committee, each of which has the composition and the responsibilities described below. In addition, from time to time, special committees may be established under the direction of our board of directors when necessary to address specific issues.</w:t>
      </w:r>
    </w:p>
    <w:p>
      <w:pPr>
        <w:spacing w:after="0" w:line="175"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 xml:space="preserve">Each of the three standing committees—audit, compensation and nominating and corporate governance—operate under a charter that has been approved by our board of directors. Upon our listing on The Nasdaq Global Market, each committee’s charter will be available under the Corporate Governance section of our website at </w:t>
      </w:r>
      <w:r>
        <w:rPr>
          <w:rFonts w:ascii="Arial" w:cs="Arial" w:eastAsia="Arial" w:hAnsi="Arial"/>
          <w:sz w:val="15"/>
          <w:szCs w:val="15"/>
          <w:i w:val="1"/>
          <w:iCs w:val="1"/>
          <w:color w:val="auto"/>
        </w:rPr>
        <w:t>www.lyratherapeutics.com</w:t>
      </w:r>
      <w:r>
        <w:rPr>
          <w:rFonts w:ascii="Arial" w:cs="Arial" w:eastAsia="Arial" w:hAnsi="Arial"/>
          <w:sz w:val="15"/>
          <w:szCs w:val="15"/>
          <w:color w:val="auto"/>
        </w:rPr>
        <w:t>. The reference to our website address does not constitute incorporation by reference of the information contained at or available through our website, and you should not consider it to be a part of this prospectus.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Audit Committee</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audit committee’s responsibilities include, among other things:</w:t>
      </w:r>
    </w:p>
    <w:p>
      <w:pPr>
        <w:spacing w:after="0" w:line="231" w:lineRule="exact"/>
        <w:rPr>
          <w:sz w:val="20"/>
          <w:szCs w:val="20"/>
          <w:color w:val="auto"/>
        </w:rPr>
      </w:pPr>
    </w:p>
    <w:p>
      <w:pPr>
        <w:ind w:left="1720" w:hanging="301"/>
        <w:spacing w:after="0"/>
        <w:tabs>
          <w:tab w:leader="none" w:pos="1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231" w:lineRule="exact"/>
        <w:rPr>
          <w:rFonts w:ascii="Arial" w:cs="Arial" w:eastAsia="Arial" w:hAnsi="Arial"/>
          <w:sz w:val="17"/>
          <w:szCs w:val="17"/>
          <w:color w:val="auto"/>
        </w:rPr>
      </w:pPr>
    </w:p>
    <w:p>
      <w:pPr>
        <w:ind w:left="1720" w:right="280" w:hanging="301"/>
        <w:spacing w:after="0" w:line="268" w:lineRule="auto"/>
        <w:tabs>
          <w:tab w:leader="none" w:pos="1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overseeing the work of our registered public accounting firm, including through the receipt and consideration of reports from such firm;</w:t>
      </w:r>
    </w:p>
    <w:p>
      <w:pPr>
        <w:spacing w:after="0" w:line="191" w:lineRule="exact"/>
        <w:rPr>
          <w:rFonts w:ascii="Arial" w:cs="Arial" w:eastAsia="Arial" w:hAnsi="Arial"/>
          <w:sz w:val="17"/>
          <w:szCs w:val="17"/>
          <w:color w:val="auto"/>
        </w:rPr>
      </w:pPr>
    </w:p>
    <w:p>
      <w:pPr>
        <w:ind w:left="1720" w:right="220" w:hanging="301"/>
        <w:spacing w:after="0" w:line="268" w:lineRule="auto"/>
        <w:tabs>
          <w:tab w:leader="none" w:pos="1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reviewing and discussing with management and the registered public accounting firm our annual and quarterly financial statements and related disclosures;</w:t>
      </w:r>
    </w:p>
    <w:p>
      <w:pPr>
        <w:spacing w:after="0" w:line="191" w:lineRule="exact"/>
        <w:rPr>
          <w:rFonts w:ascii="Arial" w:cs="Arial" w:eastAsia="Arial" w:hAnsi="Arial"/>
          <w:sz w:val="17"/>
          <w:szCs w:val="17"/>
          <w:color w:val="auto"/>
        </w:rPr>
      </w:pPr>
    </w:p>
    <w:p>
      <w:pPr>
        <w:ind w:left="1720" w:right="120" w:hanging="301"/>
        <w:spacing w:after="0" w:line="268" w:lineRule="auto"/>
        <w:tabs>
          <w:tab w:leader="none" w:pos="1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coordinating our board of directors’ oversight of our internal control over financial reporting, disclosure controls and procedures and code of business conduct and ethics;</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720"/>
          </w:cols>
          <w:pgMar w:left="320" w:top="437" w:right="85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tabs>
          <w:tab w:leader="none" w:pos="17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discussing our risk management policies;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meeting independently with our internal auditing staff, if any, registered public accounting firm and management;</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reviewing and approving or ratifying any related person transactions;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Securities Exchange Commission, or SEC, rules.</w:t>
      </w:r>
    </w:p>
    <w:p>
      <w:pPr>
        <w:spacing w:after="0" w:line="206" w:lineRule="exact"/>
        <w:rPr>
          <w:sz w:val="20"/>
          <w:szCs w:val="20"/>
          <w:color w:val="auto"/>
        </w:rPr>
      </w:pPr>
    </w:p>
    <w:p>
      <w:pPr>
        <w:ind w:left="500" w:right="20" w:firstLine="819"/>
        <w:spacing w:after="0" w:line="249" w:lineRule="auto"/>
        <w:rPr>
          <w:sz w:val="20"/>
          <w:szCs w:val="20"/>
          <w:color w:val="auto"/>
        </w:rPr>
      </w:pPr>
      <w:r>
        <w:rPr>
          <w:rFonts w:ascii="Arial" w:cs="Arial" w:eastAsia="Arial" w:hAnsi="Arial"/>
          <w:sz w:val="17"/>
          <w:szCs w:val="17"/>
          <w:color w:val="auto"/>
        </w:rPr>
        <w:t>The members of our audit committee are Edward Anderson, C. Ann Merrifield and W. Bradford Smith. W. Bradford Smith serves as the chairperson of the committee. All members of our audit committee meet the requirements for financial literacy under the applicable listing rules of Nasdaq, or the Nasdaq rules. Our board of directors has determined that each of these individuals meets the independence requirements of Rule 10A-3 under the Exchange Act and the applicable Nasdaq rules. Each member of our audit committee can read and understand fundamental financial statements in accordance with the Nasdaq audit committee requirements. In arriving at this determination, the board has examined each audit committee member’s scope of experience and the nature of their prior and/or current employment. Our board of directors has determined that W. Bradford Smith is an “audit committee financial expert” as defined by applicable SEC rules and has the requisite financial sophistication as defined under the applicable Nasdaq rules.</w:t>
      </w:r>
    </w:p>
    <w:p>
      <w:pPr>
        <w:spacing w:after="0" w:line="185" w:lineRule="exact"/>
        <w:rPr>
          <w:sz w:val="20"/>
          <w:szCs w:val="20"/>
          <w:color w:val="auto"/>
        </w:rPr>
      </w:pPr>
    </w:p>
    <w:p>
      <w:pPr>
        <w:ind w:left="500" w:right="40" w:firstLine="819"/>
        <w:spacing w:after="0" w:line="335" w:lineRule="auto"/>
        <w:rPr>
          <w:sz w:val="20"/>
          <w:szCs w:val="20"/>
          <w:color w:val="auto"/>
        </w:rPr>
      </w:pPr>
      <w:r>
        <w:rPr>
          <w:rFonts w:ascii="Arial" w:cs="Arial" w:eastAsia="Arial" w:hAnsi="Arial"/>
          <w:sz w:val="15"/>
          <w:szCs w:val="15"/>
          <w:color w:val="auto"/>
        </w:rPr>
        <w:t>We believe that the composition and functioning of our audit committee complies with all applicable requirements of the Sarbanes-Oxley Act, and all applicable SEC and Nasdaq rules and regulations. We intend to comply with future requirements to the extent they become applicable to us.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compensation committee’s responsibilities include, among other things:</w:t>
      </w:r>
    </w:p>
    <w:p>
      <w:pPr>
        <w:spacing w:after="0" w:line="231" w:lineRule="exact"/>
        <w:rPr>
          <w:sz w:val="20"/>
          <w:szCs w:val="20"/>
          <w:color w:val="auto"/>
        </w:rPr>
      </w:pPr>
    </w:p>
    <w:p>
      <w:pPr>
        <w:ind w:left="1720" w:right="500" w:hanging="301"/>
        <w:spacing w:after="0" w:line="268" w:lineRule="auto"/>
        <w:tabs>
          <w:tab w:leader="none" w:pos="17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reviewing and approving, or recommending for approval by the board of directors, the compensation of our CEO and our other executive officers;</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overseeing and administering our cash and equity incentive plans;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director compensation;</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reviewing and discussing annually with management our “Compensation Discussion and Analysis,” to the extent required; and</w:t>
      </w:r>
    </w:p>
    <w:p>
      <w:pPr>
        <w:spacing w:after="0" w:line="242" w:lineRule="exact"/>
        <w:rPr>
          <w:rFonts w:ascii="Arial" w:cs="Arial" w:eastAsia="Arial" w:hAnsi="Arial"/>
          <w:sz w:val="16"/>
          <w:szCs w:val="16"/>
          <w:color w:val="auto"/>
        </w:rPr>
      </w:pPr>
    </w:p>
    <w:p>
      <w:pPr>
        <w:ind w:left="1720" w:hanging="301"/>
        <w:spacing w:after="0"/>
        <w:tabs>
          <w:tab w:leader="none" w:pos="17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preparing the annual compensation committee report required by SEC rules, to the extent required.</w:t>
      </w:r>
    </w:p>
    <w:p>
      <w:pPr>
        <w:spacing w:after="0" w:line="206"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The members of our compensation committee are C. Ann Merrifield and W. Bradford Smith. C. Ann Merrifield serves as the chairperson of the committee. Our board of directors has determined that each of C. Ann Merrifield and W. Bradford Smith is independent under the applicable Nasdaq rules, including the Nasdaq rules specific to membership on the compensation committee, and is a “non-employee director” as defined in Rule 16b-3 promulgated under the Exchange Act.</w:t>
      </w:r>
    </w:p>
    <w:p>
      <w:pPr>
        <w:spacing w:after="0" w:line="180" w:lineRule="exact"/>
        <w:rPr>
          <w:sz w:val="20"/>
          <w:szCs w:val="20"/>
          <w:color w:val="auto"/>
        </w:rPr>
      </w:pPr>
    </w:p>
    <w:p>
      <w:pPr>
        <w:jc w:val="both"/>
        <w:ind w:left="500" w:firstLine="819"/>
        <w:spacing w:after="0" w:line="257" w:lineRule="auto"/>
        <w:rPr>
          <w:sz w:val="20"/>
          <w:szCs w:val="20"/>
          <w:color w:val="auto"/>
        </w:rPr>
      </w:pPr>
      <w:r>
        <w:rPr>
          <w:rFonts w:ascii="Arial" w:cs="Arial" w:eastAsia="Arial" w:hAnsi="Arial"/>
          <w:sz w:val="17"/>
          <w:szCs w:val="17"/>
          <w:color w:val="auto"/>
        </w:rPr>
        <w:t>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720"/>
          </w:cols>
          <w:pgMar w:left="320" w:top="437" w:right="85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nominating and corporate governance committee’s responsibilities include, among other things:</w:t>
      </w:r>
    </w:p>
    <w:p>
      <w:pPr>
        <w:spacing w:after="0" w:line="231" w:lineRule="exact"/>
        <w:rPr>
          <w:sz w:val="20"/>
          <w:szCs w:val="20"/>
          <w:color w:val="auto"/>
        </w:rPr>
      </w:pPr>
    </w:p>
    <w:p>
      <w:pPr>
        <w:ind w:left="1720" w:hanging="301"/>
        <w:spacing w:after="0"/>
        <w:tabs>
          <w:tab w:leader="none" w:pos="17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identifying individuals qualified to become board members;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board committee;</w:t>
      </w:r>
    </w:p>
    <w:p>
      <w:pPr>
        <w:spacing w:after="0" w:line="242" w:lineRule="exact"/>
        <w:rPr>
          <w:rFonts w:ascii="Arial" w:cs="Arial" w:eastAsia="Arial" w:hAnsi="Arial"/>
          <w:sz w:val="16"/>
          <w:szCs w:val="16"/>
          <w:color w:val="auto"/>
        </w:rPr>
      </w:pPr>
    </w:p>
    <w:p>
      <w:pPr>
        <w:ind w:left="1720" w:right="180" w:hanging="301"/>
        <w:spacing w:after="0" w:line="299" w:lineRule="auto"/>
        <w:tabs>
          <w:tab w:leader="none" w:pos="1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developing and recommending to our board of directors corporate governance guidelines, and reviewing and recommending to our board of directors proposed changes to our corporate governance guidelines from time to time; and</w:t>
      </w:r>
    </w:p>
    <w:p>
      <w:pPr>
        <w:spacing w:after="0" w:line="169" w:lineRule="exact"/>
        <w:rPr>
          <w:rFonts w:ascii="Arial" w:cs="Arial" w:eastAsia="Arial" w:hAnsi="Arial"/>
          <w:sz w:val="16"/>
          <w:szCs w:val="16"/>
          <w:color w:val="auto"/>
        </w:rPr>
      </w:pPr>
    </w:p>
    <w:p>
      <w:pPr>
        <w:ind w:left="1720" w:hanging="301"/>
        <w:spacing w:after="0"/>
        <w:tabs>
          <w:tab w:leader="none" w:pos="17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overseeing a periodic evaluation of our board of directors.</w:t>
      </w:r>
    </w:p>
    <w:p>
      <w:pPr>
        <w:spacing w:after="0" w:line="206"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The members of our nominating and corporate governance committee are C. Ann Merrifield and W. Bradford Smith. C. Ann Merrifield serves as the chairperson of the committee. Our board of directors has determined that C. Ann Merrifield and W. Bradford Smith are independent under the applicable Nasdaq rules and the SEC rules and regulations.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206" w:lineRule="exact"/>
        <w:rPr>
          <w:sz w:val="20"/>
          <w:szCs w:val="20"/>
          <w:color w:val="auto"/>
        </w:rPr>
      </w:pPr>
    </w:p>
    <w:p>
      <w:pPr>
        <w:jc w:val="both"/>
        <w:ind w:left="500" w:right="420" w:firstLine="819"/>
        <w:spacing w:after="0" w:line="307" w:lineRule="auto"/>
        <w:rPr>
          <w:sz w:val="20"/>
          <w:szCs w:val="20"/>
          <w:color w:val="auto"/>
        </w:rPr>
      </w:pPr>
      <w:r>
        <w:rPr>
          <w:rFonts w:ascii="Arial" w:cs="Arial" w:eastAsia="Arial" w:hAnsi="Arial"/>
          <w:sz w:val="15"/>
          <w:szCs w:val="15"/>
          <w:color w:val="auto"/>
        </w:rPr>
        <w:t>No member of our compensation committee is or has been our current or former officer or employee. None of our executive officers currently serves, or in the past year has served, as a director or a member of a compensation committee (or other committee serving an equivalent function) of any other entity, one of whose executive officers served as a director or member of our compensation committee.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Code of Ethics and Code of Conduct</w:t>
      </w:r>
    </w:p>
    <w:p>
      <w:pPr>
        <w:spacing w:after="0" w:line="210" w:lineRule="exact"/>
        <w:rPr>
          <w:sz w:val="20"/>
          <w:szCs w:val="20"/>
          <w:color w:val="auto"/>
        </w:rPr>
      </w:pPr>
    </w:p>
    <w:p>
      <w:pPr>
        <w:ind w:left="500" w:firstLine="819"/>
        <w:spacing w:after="0" w:line="290"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our listing on The Nasdaq Global Market, our code of business conduct and ethics will be available under the Corporate Governance section of our website at </w:t>
      </w:r>
      <w:r>
        <w:rPr>
          <w:rFonts w:ascii="Arial" w:cs="Arial" w:eastAsia="Arial" w:hAnsi="Arial"/>
          <w:sz w:val="15"/>
          <w:szCs w:val="15"/>
          <w:i w:val="1"/>
          <w:iCs w:val="1"/>
          <w:color w:val="auto"/>
        </w:rPr>
        <w:t>www.lyratherapeutics.com</w:t>
      </w:r>
      <w:r>
        <w:rPr>
          <w:rFonts w:ascii="Arial" w:cs="Arial" w:eastAsia="Arial" w:hAnsi="Arial"/>
          <w:sz w:val="15"/>
          <w:szCs w:val="15"/>
          <w:color w:val="auto"/>
        </w:rPr>
        <w:t>. In addition, we intend to post on our website all disclosures that are required by law or the Nasdaq rules concerning any</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660"/>
          </w:cols>
          <w:pgMar w:left="320" w:top="437" w:right="91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0" w:lineRule="exact"/>
        <w:rPr>
          <w:sz w:val="20"/>
          <w:szCs w:val="20"/>
          <w:color w:val="auto"/>
        </w:rPr>
      </w:pPr>
    </w:p>
    <w:p>
      <w:pPr>
        <w:ind w:left="500" w:right="340" w:firstLine="819"/>
        <w:spacing w:after="0" w:line="299"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“2019 Summary Compensation Table” below. In 2019, our “named executive officers” and their positions were as follows:</w:t>
      </w:r>
    </w:p>
    <w:p>
      <w:pPr>
        <w:spacing w:after="0" w:line="169" w:lineRule="exact"/>
        <w:rPr>
          <w:sz w:val="20"/>
          <w:szCs w:val="20"/>
          <w:color w:val="auto"/>
        </w:rPr>
      </w:pPr>
    </w:p>
    <w:p>
      <w:pPr>
        <w:ind w:left="1720" w:hanging="301"/>
        <w:spacing w:after="0"/>
        <w:tabs>
          <w:tab w:leader="none" w:pos="17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Maria Palasis, Ph.D., President and Chief Executive Officer;</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R. Don Elsey, Chief Financial Officer;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Laura Edgerly-Pflug, Senior Vice President of Technical Operations.</w:t>
      </w:r>
    </w:p>
    <w:p>
      <w:pPr>
        <w:spacing w:after="0" w:line="206"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2019 Summary Compensation Table</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table sets forth information concerning the compensation of our named executive officers for the year ended December 31,</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2019.</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Option</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Non-Equity</w:t>
            </w: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7"/>
              </w:rPr>
              <w:t>Salary</w:t>
            </w:r>
          </w:p>
        </w:tc>
        <w:tc>
          <w:tcPr>
            <w:tcW w:w="160" w:type="dxa"/>
            <w:vAlign w:val="bottom"/>
          </w:tcPr>
          <w:p>
            <w:pPr>
              <w:spacing w:after="0"/>
              <w:rPr>
                <w:sz w:val="12"/>
                <w:szCs w:val="12"/>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83"/>
              </w:rPr>
              <w:t>Bonus</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3"/>
              </w:rPr>
              <w:t>Incentive Plan</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76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rPr>
              <w:t>Year</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3"/>
          </w:tcPr>
          <w:p>
            <w:pPr>
              <w:jc w:val="center"/>
              <w:ind w:right="160"/>
              <w:spacing w:after="0" w:line="138" w:lineRule="exact"/>
              <w:rPr>
                <w:sz w:val="20"/>
                <w:szCs w:val="20"/>
                <w:color w:val="auto"/>
              </w:rPr>
            </w:pPr>
            <w:r>
              <w:rPr>
                <w:rFonts w:ascii="Arial" w:cs="Arial" w:eastAsia="Arial" w:hAnsi="Arial"/>
                <w:sz w:val="13"/>
                <w:szCs w:val="13"/>
                <w:b w:val="1"/>
                <w:bCs w:val="1"/>
                <w:color w:val="auto"/>
                <w:w w:val="89"/>
              </w:rPr>
              <w:t>Awards</w:t>
            </w:r>
          </w:p>
        </w:tc>
        <w:tc>
          <w:tcPr>
            <w:tcW w:w="10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11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74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 xml:space="preserve">Total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8"/>
        </w:trPr>
        <w:tc>
          <w:tcPr>
            <w:tcW w:w="3660" w:type="dxa"/>
            <w:vAlign w:val="bottom"/>
            <w:gridSpan w:val="2"/>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58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540" w:type="dxa"/>
            <w:vAlign w:val="bottom"/>
            <w:gridSpan w:val="2"/>
          </w:tcPr>
          <w:p>
            <w:pPr>
              <w:jc w:val="right"/>
              <w:ind w:right="42"/>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3"/>
                <w:szCs w:val="13"/>
                <w:color w:val="auto"/>
              </w:rPr>
            </w:pPr>
          </w:p>
        </w:tc>
        <w:tc>
          <w:tcPr>
            <w:tcW w:w="620" w:type="dxa"/>
            <w:vAlign w:val="bottom"/>
            <w:gridSpan w:val="2"/>
          </w:tcPr>
          <w:p>
            <w:pPr>
              <w:jc w:val="center"/>
              <w:ind w:left="8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3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(2)</w:t>
            </w: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Maria Palasis, Ph.D.</w:t>
            </w:r>
          </w:p>
        </w:tc>
        <w:tc>
          <w:tcPr>
            <w:tcW w:w="20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ind w:left="260"/>
              <w:spacing w:after="0" w:line="194" w:lineRule="exact"/>
              <w:rPr>
                <w:sz w:val="20"/>
                <w:szCs w:val="20"/>
                <w:color w:val="auto"/>
              </w:rPr>
            </w:pPr>
            <w:r>
              <w:rPr>
                <w:rFonts w:ascii="Arial" w:cs="Arial" w:eastAsia="Arial" w:hAnsi="Arial"/>
                <w:sz w:val="17"/>
                <w:szCs w:val="17"/>
                <w:color w:val="auto"/>
              </w:rPr>
              <w:t>2019</w:t>
            </w:r>
          </w:p>
        </w:tc>
        <w:tc>
          <w:tcPr>
            <w:tcW w:w="10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388,025</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318,850</w:t>
            </w:r>
          </w:p>
        </w:tc>
        <w:tc>
          <w:tcPr>
            <w:tcW w:w="10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135,809</w:t>
            </w:r>
          </w:p>
        </w:tc>
        <w:tc>
          <w:tcPr>
            <w:tcW w:w="114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w w:val="91"/>
              </w:rPr>
              <w:t>842,684</w:t>
            </w:r>
          </w:p>
        </w:tc>
        <w:tc>
          <w:tcPr>
            <w:tcW w:w="0" w:type="dxa"/>
            <w:vAlign w:val="bottom"/>
          </w:tcPr>
          <w:p>
            <w:pPr>
              <w:spacing w:after="0"/>
              <w:rPr>
                <w:sz w:val="1"/>
                <w:szCs w:val="1"/>
                <w:color w:val="auto"/>
              </w:rPr>
            </w:pPr>
          </w:p>
        </w:tc>
      </w:tr>
      <w:tr>
        <w:trPr>
          <w:trHeight w:val="201"/>
        </w:trPr>
        <w:tc>
          <w:tcPr>
            <w:tcW w:w="36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President and Chief Executive Officer</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3660" w:type="dxa"/>
            <w:vAlign w:val="bottom"/>
            <w:gridSpan w:val="2"/>
          </w:tcPr>
          <w:p>
            <w:pPr>
              <w:spacing w:after="0"/>
              <w:rPr>
                <w:sz w:val="20"/>
                <w:szCs w:val="20"/>
                <w:color w:val="auto"/>
              </w:rPr>
            </w:pPr>
            <w:r>
              <w:rPr>
                <w:rFonts w:ascii="Arial" w:cs="Arial" w:eastAsia="Arial" w:hAnsi="Arial"/>
                <w:sz w:val="17"/>
                <w:szCs w:val="17"/>
                <w:color w:val="auto"/>
              </w:rPr>
              <w:t>R. Don Elsey</w:t>
            </w:r>
          </w:p>
        </w:tc>
        <w:tc>
          <w:tcPr>
            <w:tcW w:w="760" w:type="dxa"/>
            <w:vAlign w:val="bottom"/>
            <w:gridSpan w:val="3"/>
          </w:tcPr>
          <w:p>
            <w:pPr>
              <w:ind w:left="260"/>
              <w:spacing w:after="0"/>
              <w:rPr>
                <w:sz w:val="20"/>
                <w:szCs w:val="20"/>
                <w:color w:val="auto"/>
              </w:rPr>
            </w:pPr>
            <w:r>
              <w:rPr>
                <w:rFonts w:ascii="Arial" w:cs="Arial" w:eastAsia="Arial" w:hAnsi="Arial"/>
                <w:sz w:val="17"/>
                <w:szCs w:val="17"/>
                <w:color w:val="auto"/>
              </w:rPr>
              <w:t>2019</w:t>
            </w:r>
          </w:p>
        </w:tc>
        <w:tc>
          <w:tcPr>
            <w:tcW w:w="1000" w:type="dxa"/>
            <w:vAlign w:val="bottom"/>
            <w:gridSpan w:val="3"/>
          </w:tcPr>
          <w:p>
            <w:pPr>
              <w:ind w:left="140"/>
              <w:spacing w:after="0"/>
              <w:rPr>
                <w:sz w:val="20"/>
                <w:szCs w:val="20"/>
                <w:color w:val="auto"/>
              </w:rPr>
            </w:pPr>
            <w:r>
              <w:rPr>
                <w:rFonts w:ascii="Arial" w:cs="Arial" w:eastAsia="Arial" w:hAnsi="Arial"/>
                <w:sz w:val="17"/>
                <w:szCs w:val="17"/>
                <w:color w:val="auto"/>
              </w:rPr>
              <w:t>130,625</w:t>
            </w:r>
            <w:r>
              <w:rPr>
                <w:rFonts w:ascii="Arial" w:cs="Arial" w:eastAsia="Arial" w:hAnsi="Arial"/>
                <w:sz w:val="14"/>
                <w:szCs w:val="14"/>
                <w:color w:val="auto"/>
              </w:rPr>
              <w:t>(3)</w:t>
            </w:r>
          </w:p>
        </w:tc>
        <w:tc>
          <w:tcPr>
            <w:tcW w:w="160" w:type="dxa"/>
            <w:vAlign w:val="bottom"/>
          </w:tcPr>
          <w:p>
            <w:pPr>
              <w:spacing w:after="0"/>
              <w:rPr>
                <w:sz w:val="24"/>
                <w:szCs w:val="2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7"/>
                <w:szCs w:val="17"/>
                <w:color w:val="auto"/>
              </w:rPr>
              <w:t>501,247</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41,671</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64,235</w:t>
            </w:r>
            <w:r>
              <w:rPr>
                <w:rFonts w:ascii="Arial" w:cs="Arial" w:eastAsia="Arial" w:hAnsi="Arial"/>
                <w:sz w:val="14"/>
                <w:szCs w:val="14"/>
                <w:color w:val="auto"/>
              </w:rPr>
              <w:t>(4)</w:t>
            </w:r>
          </w:p>
        </w:tc>
        <w:tc>
          <w:tcPr>
            <w:tcW w:w="740" w:type="dxa"/>
            <w:vAlign w:val="bottom"/>
            <w:gridSpan w:val="3"/>
          </w:tcPr>
          <w:p>
            <w:pPr>
              <w:ind w:left="160"/>
              <w:spacing w:after="0"/>
              <w:rPr>
                <w:sz w:val="20"/>
                <w:szCs w:val="20"/>
                <w:color w:val="auto"/>
              </w:rPr>
            </w:pPr>
            <w:r>
              <w:rPr>
                <w:rFonts w:ascii="Arial" w:cs="Arial" w:eastAsia="Arial" w:hAnsi="Arial"/>
                <w:sz w:val="17"/>
                <w:szCs w:val="17"/>
                <w:color w:val="auto"/>
                <w:w w:val="91"/>
              </w:rPr>
              <w:t>737,778</w:t>
            </w:r>
          </w:p>
        </w:tc>
        <w:tc>
          <w:tcPr>
            <w:tcW w:w="0" w:type="dxa"/>
            <w:vAlign w:val="bottom"/>
          </w:tcPr>
          <w:p>
            <w:pPr>
              <w:spacing w:after="0"/>
              <w:rPr>
                <w:sz w:val="1"/>
                <w:szCs w:val="1"/>
                <w:color w:val="auto"/>
              </w:rPr>
            </w:pPr>
          </w:p>
        </w:tc>
      </w:tr>
      <w:tr>
        <w:trPr>
          <w:trHeight w:val="213"/>
        </w:trPr>
        <w:tc>
          <w:tcPr>
            <w:tcW w:w="3660" w:type="dxa"/>
            <w:vAlign w:val="bottom"/>
            <w:gridSpan w:val="2"/>
          </w:tcPr>
          <w:p>
            <w:pPr>
              <w:ind w:left="160"/>
              <w:spacing w:after="0"/>
              <w:rPr>
                <w:sz w:val="20"/>
                <w:szCs w:val="20"/>
                <w:color w:val="auto"/>
              </w:rPr>
            </w:pPr>
            <w:r>
              <w:rPr>
                <w:rFonts w:ascii="Arial" w:cs="Arial" w:eastAsia="Arial" w:hAnsi="Arial"/>
                <w:sz w:val="17"/>
                <w:szCs w:val="17"/>
                <w:i w:val="1"/>
                <w:iCs w:val="1"/>
                <w:color w:val="auto"/>
              </w:rPr>
              <w:t>Chief Financial Officer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16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Edgerly-Pflug</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2019</w:t>
            </w:r>
          </w:p>
        </w:tc>
        <w:tc>
          <w:tcPr>
            <w:tcW w:w="1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152,923</w:t>
            </w:r>
            <w:r>
              <w:rPr>
                <w:rFonts w:ascii="Arial" w:cs="Arial" w:eastAsia="Arial" w:hAnsi="Arial"/>
                <w:sz w:val="14"/>
                <w:szCs w:val="14"/>
                <w:color w:val="auto"/>
              </w:rPr>
              <w:t>(3)</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50,000</w:t>
            </w:r>
            <w:r>
              <w:rPr>
                <w:rFonts w:ascii="Arial" w:cs="Arial" w:eastAsia="Arial" w:hAnsi="Arial"/>
                <w:sz w:val="14"/>
                <w:szCs w:val="14"/>
                <w:color w:val="auto"/>
              </w:rPr>
              <w:t>(5)</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43,687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40,658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29,158</w:t>
            </w:r>
            <w:r>
              <w:rPr>
                <w:rFonts w:ascii="Arial" w:cs="Arial" w:eastAsia="Arial" w:hAnsi="Arial"/>
                <w:sz w:val="14"/>
                <w:szCs w:val="14"/>
                <w:color w:val="auto"/>
              </w:rPr>
              <w:t>(6)</w:t>
            </w: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w w:val="91"/>
              </w:rPr>
              <w:t>316,426</w:t>
            </w:r>
          </w:p>
        </w:tc>
        <w:tc>
          <w:tcPr>
            <w:tcW w:w="0" w:type="dxa"/>
            <w:vAlign w:val="bottom"/>
          </w:tcPr>
          <w:p>
            <w:pPr>
              <w:spacing w:after="0"/>
              <w:rPr>
                <w:sz w:val="1"/>
                <w:szCs w:val="1"/>
                <w:color w:val="auto"/>
              </w:rPr>
            </w:pPr>
          </w:p>
        </w:tc>
      </w:tr>
      <w:tr>
        <w:trPr>
          <w:trHeight w:val="201"/>
        </w:trPr>
        <w:tc>
          <w:tcPr>
            <w:tcW w:w="36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Senior Vice President of Technical Operations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80010</wp:posOffset>
            </wp:positionV>
            <wp:extent cx="7175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43" w:lineRule="exact"/>
        <w:rPr>
          <w:sz w:val="20"/>
          <w:szCs w:val="20"/>
          <w:color w:val="auto"/>
        </w:rPr>
      </w:pPr>
    </w:p>
    <w:p>
      <w:pPr>
        <w:ind w:left="900" w:right="20" w:hanging="397"/>
        <w:spacing w:after="0" w:line="267"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Amounts represent the full grant date fair value of stock options granted during 2019 computed in accordance with ASC Topic 718, rather than the amounts paid to or realized by the named individual. We provide information regarding the assumptions used to calculate the value of all option awards made to named executive officers in Note 8 to the consolidated financial statements included in this prospectus.</w:t>
      </w:r>
    </w:p>
    <w:p>
      <w:pPr>
        <w:ind w:left="900" w:hanging="397"/>
        <w:spacing w:after="0"/>
        <w:tabs>
          <w:tab w:leader="none" w:pos="9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Amounts represent discretionary performance-based annual cash bonuses made by our board for the named executive officers for fiscal year 2019.</w:t>
      </w:r>
    </w:p>
    <w:p>
      <w:pPr>
        <w:spacing w:after="0" w:line="28" w:lineRule="exact"/>
        <w:rPr>
          <w:rFonts w:ascii="Arial" w:cs="Arial" w:eastAsia="Arial" w:hAnsi="Arial"/>
          <w:sz w:val="15"/>
          <w:szCs w:val="15"/>
          <w:color w:val="auto"/>
        </w:rPr>
      </w:pPr>
    </w:p>
    <w:p>
      <w:pPr>
        <w:ind w:left="900" w:right="120" w:hanging="397"/>
        <w:spacing w:after="0" w:line="246"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Elsey commenced employment with us in July 2019, and Ms. Edgerly-Pflug commenced employment with us in a part-time capacity in June 2019 and in a full-time capacity in July 2019.</w:t>
      </w:r>
    </w:p>
    <w:p>
      <w:pPr>
        <w:ind w:left="900" w:hanging="397"/>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Amount represents use of a corporate apartment, commuting expenses and related tax gross-ups.</w:t>
      </w:r>
    </w:p>
    <w:p>
      <w:pPr>
        <w:spacing w:after="0" w:line="5" w:lineRule="exact"/>
        <w:rPr>
          <w:rFonts w:ascii="Arial" w:cs="Arial" w:eastAsia="Arial" w:hAnsi="Arial"/>
          <w:sz w:val="17"/>
          <w:szCs w:val="17"/>
          <w:color w:val="auto"/>
        </w:rPr>
      </w:pPr>
    </w:p>
    <w:p>
      <w:pPr>
        <w:ind w:left="900" w:hanging="397"/>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Amount represents a signing bonus.</w:t>
      </w:r>
    </w:p>
    <w:p>
      <w:pPr>
        <w:spacing w:after="0" w:line="5" w:lineRule="exact"/>
        <w:rPr>
          <w:rFonts w:ascii="Arial" w:cs="Arial" w:eastAsia="Arial" w:hAnsi="Arial"/>
          <w:sz w:val="17"/>
          <w:szCs w:val="17"/>
          <w:color w:val="auto"/>
        </w:rPr>
      </w:pPr>
    </w:p>
    <w:p>
      <w:pPr>
        <w:ind w:left="900" w:hanging="397"/>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Amount represents reimbursement of commuting expenses and related tax gross-up.</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2019 Salaries</w:t>
      </w:r>
    </w:p>
    <w:p>
      <w:pPr>
        <w:spacing w:after="0" w:line="206" w:lineRule="exact"/>
        <w:rPr>
          <w:sz w:val="20"/>
          <w:szCs w:val="20"/>
          <w:color w:val="auto"/>
        </w:rPr>
      </w:pPr>
    </w:p>
    <w:p>
      <w:pPr>
        <w:ind w:left="500" w:right="520" w:firstLine="819"/>
        <w:spacing w:after="0" w:line="268" w:lineRule="auto"/>
        <w:rPr>
          <w:sz w:val="20"/>
          <w:szCs w:val="20"/>
          <w:color w:val="auto"/>
        </w:rPr>
      </w:pPr>
      <w:r>
        <w:rPr>
          <w:rFonts w:ascii="Arial" w:cs="Arial" w:eastAsia="Arial" w:hAnsi="Arial"/>
          <w:sz w:val="17"/>
          <w:szCs w:val="17"/>
          <w:color w:val="auto"/>
        </w:rPr>
        <w:t>The named executive officers receive a base salary to provide a fixed component of compensation reflecting the executive’s skill set, experience, role and responsibilities. For 2019, our board of directors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740"/>
          </w:cols>
          <w:pgMar w:left="320" w:top="437" w:right="8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40"/>
        <w:spacing w:after="0" w:line="307" w:lineRule="auto"/>
        <w:rPr>
          <w:sz w:val="20"/>
          <w:szCs w:val="20"/>
          <w:color w:val="auto"/>
        </w:rPr>
      </w:pPr>
      <w:r>
        <w:rPr>
          <w:rFonts w:ascii="Arial" w:cs="Arial" w:eastAsia="Arial" w:hAnsi="Arial"/>
          <w:sz w:val="15"/>
          <w:szCs w:val="15"/>
          <w:color w:val="auto"/>
        </w:rPr>
        <w:t>established an annual base salary of $388,025 for Dr. Palasis, effective January 1, 2019. Mr. Elsey’s and Ms. Edgerly-Pflug’s 2019 annual base salaries were $325,000 and $280,000, respectively, and were established by our board of directors in connection with their commencing employment with us. During the period in which Ms. Edgerly-Pflug was employed with us in a part-time capacity, her annual base salary was $140,000.</w:t>
      </w:r>
    </w:p>
    <w:p>
      <w:pPr>
        <w:spacing w:after="0" w:line="141" w:lineRule="exact"/>
        <w:rPr>
          <w:sz w:val="20"/>
          <w:szCs w:val="20"/>
          <w:color w:val="auto"/>
        </w:rPr>
      </w:pPr>
    </w:p>
    <w:p>
      <w:pPr>
        <w:ind w:left="500" w:right="100" w:firstLine="819"/>
        <w:spacing w:after="0" w:line="268" w:lineRule="auto"/>
        <w:rPr>
          <w:sz w:val="20"/>
          <w:szCs w:val="20"/>
          <w:color w:val="auto"/>
        </w:rPr>
      </w:pPr>
      <w:r>
        <w:rPr>
          <w:rFonts w:ascii="Arial" w:cs="Arial" w:eastAsia="Arial" w:hAnsi="Arial"/>
          <w:sz w:val="17"/>
          <w:szCs w:val="17"/>
          <w:color w:val="auto"/>
        </w:rPr>
        <w:t>The base salaries of our named executive officers were further adjusted in connection with this offering. See “Recent Changes in Executive Compensation—Annual Base Salaries” below for additional information.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2019 Bonuses</w:t>
      </w:r>
    </w:p>
    <w:p>
      <w:pPr>
        <w:spacing w:after="0" w:line="206" w:lineRule="exact"/>
        <w:rPr>
          <w:sz w:val="20"/>
          <w:szCs w:val="20"/>
          <w:color w:val="auto"/>
        </w:rPr>
      </w:pPr>
    </w:p>
    <w:p>
      <w:pPr>
        <w:ind w:left="500" w:firstLine="819"/>
        <w:spacing w:after="0" w:line="283" w:lineRule="auto"/>
        <w:rPr>
          <w:sz w:val="20"/>
          <w:szCs w:val="20"/>
          <w:color w:val="auto"/>
        </w:rPr>
      </w:pPr>
      <w:r>
        <w:rPr>
          <w:rFonts w:ascii="Arial" w:cs="Arial" w:eastAsia="Arial" w:hAnsi="Arial"/>
          <w:sz w:val="15"/>
          <w:szCs w:val="15"/>
          <w:color w:val="auto"/>
        </w:rPr>
        <w:t>We offer our named executive officers the opportunity to earn annual cash bonuses to compensate them for attaining short-term company goals as approved by our board of directors. For 2019, bonuses were based entirely on (i) completing steps towards a Phase 2 LANTERN trial for LYR-210 and attaining other value-driving milestones, (ii) attaining corporate goals relating to overall business development and fundraising and (iii) building an executive team and board of directors, with these categories weighted at 30%, 50% and 20%, respectively. The 2019 target bonuses for each of</w:t>
      </w:r>
    </w:p>
    <w:p>
      <w:pPr>
        <w:spacing w:after="0" w:line="2" w:lineRule="exact"/>
        <w:rPr>
          <w:sz w:val="20"/>
          <w:szCs w:val="20"/>
          <w:color w:val="auto"/>
        </w:rPr>
      </w:pPr>
    </w:p>
    <w:p>
      <w:pPr>
        <w:ind w:left="500" w:right="40"/>
        <w:spacing w:after="0" w:line="299" w:lineRule="auto"/>
        <w:rPr>
          <w:sz w:val="20"/>
          <w:szCs w:val="20"/>
          <w:color w:val="auto"/>
        </w:rPr>
      </w:pPr>
      <w:r>
        <w:rPr>
          <w:rFonts w:ascii="Arial" w:cs="Arial" w:eastAsia="Arial" w:hAnsi="Arial"/>
          <w:sz w:val="15"/>
          <w:szCs w:val="15"/>
          <w:color w:val="auto"/>
        </w:rPr>
        <w:t>Dr. Palasis, Mr. Elsey and Ms. Edgerly-Pflug were 35%, 30% and 25%, respectively, of his or her annual base salary. The target cash bonuses for Mr. Elsey and Ms. Edgerly-Pflug were prorated from their respective dates of hire. The actual annual cash bonuses awarded to each named executive officer for 2019 performance are set forth above in the 2019 Summary Compensation Table in the column titled “Non-Equity Incentive Plan Compensation”.</w:t>
      </w:r>
    </w:p>
    <w:p>
      <w:pPr>
        <w:spacing w:after="0" w:line="146" w:lineRule="exact"/>
        <w:rPr>
          <w:sz w:val="20"/>
          <w:szCs w:val="20"/>
          <w:color w:val="auto"/>
        </w:rPr>
      </w:pPr>
    </w:p>
    <w:p>
      <w:pPr>
        <w:ind w:left="500" w:right="620" w:firstLine="819"/>
        <w:spacing w:after="0" w:line="268" w:lineRule="auto"/>
        <w:rPr>
          <w:sz w:val="20"/>
          <w:szCs w:val="20"/>
          <w:color w:val="auto"/>
        </w:rPr>
      </w:pPr>
      <w:r>
        <w:rPr>
          <w:rFonts w:ascii="Arial" w:cs="Arial" w:eastAsia="Arial" w:hAnsi="Arial"/>
          <w:sz w:val="17"/>
          <w:szCs w:val="17"/>
          <w:color w:val="auto"/>
        </w:rPr>
        <w:t>The target bonuses for our named executive officers were further adjusted in connection with this offering. See “Recent Changes in Executive Compensation—Target Bonuses” below for additional information.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06" w:lineRule="exact"/>
        <w:rPr>
          <w:sz w:val="20"/>
          <w:szCs w:val="20"/>
          <w:color w:val="auto"/>
        </w:rPr>
      </w:pPr>
    </w:p>
    <w:p>
      <w:pPr>
        <w:ind w:left="500" w:right="20" w:firstLine="819"/>
        <w:spacing w:after="0" w:line="288" w:lineRule="auto"/>
        <w:rPr>
          <w:sz w:val="20"/>
          <w:szCs w:val="20"/>
          <w:color w:val="auto"/>
        </w:rPr>
      </w:pPr>
      <w:r>
        <w:rPr>
          <w:rFonts w:ascii="Arial" w:cs="Arial" w:eastAsia="Arial" w:hAnsi="Arial"/>
          <w:sz w:val="15"/>
          <w:szCs w:val="15"/>
          <w:color w:val="auto"/>
        </w:rPr>
        <w:t>We offer stock options to our employees, including our named executive officers, as the long-term incentive component of our compensation program. Our stock options generally allow employees to purchase shares of our common stock at a price equal to the fair market value of our common stock on the date of grant, as determined by the board of directors. With respect to grants made in connection with the commencement of employment, our stock options typically vest as to 25% of the underlying shares on the first anniversary of the vesting commencement date and in equal monthly installments over the following three years, subject to the holder’s continued employment with us. From time to time, our board of directors may also construct alternate vesting schedules as it determines are appropriate to motivate particular employees. Historically, our stock options have been intended to qualify as “incentive stock options” to the extent permitted under the Internal Revenue Code.</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following table sets forth the stock options granted to our named executive officers in during 2019.</w:t>
      </w:r>
    </w:p>
    <w:p>
      <w:pPr>
        <w:spacing w:after="0" w:line="212" w:lineRule="exact"/>
        <w:rPr>
          <w:sz w:val="20"/>
          <w:szCs w:val="20"/>
          <w:color w:val="auto"/>
        </w:rPr>
      </w:pPr>
    </w:p>
    <w:tbl>
      <w:tblPr>
        <w:tblLayout w:type="fixed"/>
        <w:tblInd w:w="368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2019 Stock</w:t>
            </w:r>
          </w:p>
        </w:tc>
        <w:tc>
          <w:tcPr>
            <w:tcW w:w="0" w:type="dxa"/>
            <w:vAlign w:val="bottom"/>
          </w:tcPr>
          <w:p>
            <w:pPr>
              <w:spacing w:after="0"/>
              <w:rPr>
                <w:sz w:val="1"/>
                <w:szCs w:val="1"/>
                <w:color w:val="auto"/>
              </w:rPr>
            </w:pPr>
          </w:p>
        </w:tc>
      </w:tr>
      <w:tr>
        <w:trPr>
          <w:trHeight w:val="138"/>
        </w:trPr>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w w:val="92"/>
              </w:rPr>
              <w:t>Named Executive Officer</w:t>
            </w:r>
          </w:p>
        </w:tc>
        <w:tc>
          <w:tcPr>
            <w:tcW w:w="1740" w:type="dxa"/>
            <w:vAlign w:val="bottom"/>
          </w:tcPr>
          <w:p>
            <w:pPr>
              <w:spacing w:after="0"/>
              <w:rPr>
                <w:sz w:val="12"/>
                <w:szCs w:val="12"/>
                <w:color w:val="auto"/>
              </w:rPr>
            </w:pPr>
          </w:p>
        </w:tc>
        <w:tc>
          <w:tcPr>
            <w:tcW w:w="7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Options</w:t>
            </w:r>
          </w:p>
        </w:tc>
        <w:tc>
          <w:tcPr>
            <w:tcW w:w="0" w:type="dxa"/>
            <w:vAlign w:val="bottom"/>
          </w:tcPr>
          <w:p>
            <w:pPr>
              <w:spacing w:after="0"/>
              <w:rPr>
                <w:sz w:val="1"/>
                <w:szCs w:val="1"/>
                <w:color w:val="auto"/>
              </w:rPr>
            </w:pPr>
          </w:p>
        </w:tc>
      </w:tr>
      <w:tr>
        <w:trPr>
          <w:trHeight w:val="158"/>
        </w:trPr>
        <w:tc>
          <w:tcPr>
            <w:tcW w:w="1440" w:type="dxa"/>
            <w:vAlign w:val="bottom"/>
            <w:tcBorders>
              <w:bottom w:val="single" w:sz="8" w:color="auto"/>
            </w:tcBorders>
            <w:vMerge w:val="continue"/>
          </w:tcPr>
          <w:p>
            <w:pPr>
              <w:spacing w:after="0"/>
              <w:rPr>
                <w:sz w:val="13"/>
                <w:szCs w:val="13"/>
                <w:color w:val="auto"/>
              </w:rPr>
            </w:pPr>
          </w:p>
        </w:tc>
        <w:tc>
          <w:tcPr>
            <w:tcW w:w="17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Granted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4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2"/>
              </w:rPr>
              <w:t>Maria Palasis, Ph.D.</w:t>
            </w:r>
          </w:p>
        </w:tc>
        <w:tc>
          <w:tcPr>
            <w:tcW w:w="244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170,455</w:t>
            </w:r>
          </w:p>
        </w:tc>
        <w:tc>
          <w:tcPr>
            <w:tcW w:w="0" w:type="dxa"/>
            <w:vAlign w:val="bottom"/>
          </w:tcPr>
          <w:p>
            <w:pPr>
              <w:spacing w:after="0"/>
              <w:rPr>
                <w:sz w:val="1"/>
                <w:szCs w:val="1"/>
                <w:color w:val="auto"/>
              </w:rPr>
            </w:pPr>
          </w:p>
        </w:tc>
      </w:tr>
      <w:tr>
        <w:trPr>
          <w:trHeight w:val="201"/>
        </w:trPr>
        <w:tc>
          <w:tcPr>
            <w:tcW w:w="1440" w:type="dxa"/>
            <w:vAlign w:val="bottom"/>
          </w:tcPr>
          <w:p>
            <w:pPr>
              <w:spacing w:after="0"/>
              <w:rPr>
                <w:sz w:val="20"/>
                <w:szCs w:val="20"/>
                <w:color w:val="auto"/>
              </w:rPr>
            </w:pPr>
            <w:r>
              <w:rPr>
                <w:rFonts w:ascii="Arial" w:cs="Arial" w:eastAsia="Arial" w:hAnsi="Arial"/>
                <w:sz w:val="17"/>
                <w:szCs w:val="17"/>
                <w:color w:val="auto"/>
              </w:rPr>
              <w:t>R. Don Elsey</w:t>
            </w:r>
          </w:p>
        </w:tc>
        <w:tc>
          <w:tcPr>
            <w:tcW w:w="2440" w:type="dxa"/>
            <w:vAlign w:val="bottom"/>
            <w:gridSpan w:val="3"/>
          </w:tcPr>
          <w:p>
            <w:pPr>
              <w:jc w:val="right"/>
              <w:ind w:right="60"/>
              <w:spacing w:after="0"/>
              <w:rPr>
                <w:sz w:val="20"/>
                <w:szCs w:val="20"/>
                <w:color w:val="auto"/>
              </w:rPr>
            </w:pPr>
            <w:r>
              <w:rPr>
                <w:rFonts w:ascii="Arial" w:cs="Arial" w:eastAsia="Arial" w:hAnsi="Arial"/>
                <w:sz w:val="17"/>
                <w:szCs w:val="17"/>
                <w:color w:val="auto"/>
              </w:rPr>
              <w:t>74,783</w:t>
            </w:r>
          </w:p>
        </w:tc>
        <w:tc>
          <w:tcPr>
            <w:tcW w:w="0" w:type="dxa"/>
            <w:vAlign w:val="bottom"/>
          </w:tcPr>
          <w:p>
            <w:pPr>
              <w:spacing w:after="0"/>
              <w:rPr>
                <w:sz w:val="1"/>
                <w:szCs w:val="1"/>
                <w:color w:val="auto"/>
              </w:rPr>
            </w:pPr>
          </w:p>
        </w:tc>
      </w:tr>
      <w:tr>
        <w:trPr>
          <w:trHeight w:val="201"/>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w w:val="94"/>
              </w:rPr>
              <w:t>Laura Edgerly-Pflug</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14,499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100" w:firstLine="819"/>
        <w:spacing w:after="0" w:line="274" w:lineRule="auto"/>
        <w:rPr>
          <w:sz w:val="20"/>
          <w:szCs w:val="20"/>
          <w:color w:val="auto"/>
        </w:rPr>
      </w:pPr>
      <w:r>
        <w:rPr>
          <w:rFonts w:ascii="Arial" w:cs="Arial" w:eastAsia="Arial" w:hAnsi="Arial"/>
          <w:sz w:val="16"/>
          <w:szCs w:val="16"/>
          <w:color w:val="auto"/>
        </w:rPr>
        <w:t>These options were granted under our 2016 Equity Incentive Plan, which we refer to as the 2016 Plan, with exercise prices equal to the fair market value of our common stock on the date of grant, as determined by the board of directors, and with respect to Dr. Palasis, vest in equal monthly installments over four years following the vesting commencement date and with respect to Mr. Elsey and Ms. Edgerly-Pflug, subject to our standard vesting schedule for grants made in connection with the commencement of employment described above.</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740"/>
          </w:cols>
          <w:pgMar w:left="320" w:top="437" w:right="8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80" w:firstLine="819"/>
        <w:spacing w:after="0" w:line="271" w:lineRule="auto"/>
        <w:rPr>
          <w:sz w:val="20"/>
          <w:szCs w:val="20"/>
          <w:color w:val="auto"/>
        </w:rPr>
      </w:pPr>
      <w:r>
        <w:rPr>
          <w:rFonts w:ascii="Arial" w:cs="Arial" w:eastAsia="Arial" w:hAnsi="Arial"/>
          <w:sz w:val="16"/>
          <w:szCs w:val="16"/>
          <w:color w:val="auto"/>
        </w:rPr>
        <w:t>In connection with this offering, we intend to adopt a 2020 Incentive Award Plan, referred to below as the 2020 Plan, in order to facilitate the grant of cash and equity incentives to directors, employees (including our named executive officers) and consultants of our company and to enable our company to obtain and retain services of these individuals. Following the effective date of the 2020 Plan, we will not make any further grants under the 2016 Plan. However, the 2016 Plan will continue to govern the terms and conditions of the outstanding awards granted under it. For additional information about the 2020 Plan, please see the section titled “Incentive Compensation Plans” below.</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Other Elements of Compensation</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Retirement Plan</w:t>
      </w:r>
    </w:p>
    <w:p>
      <w:pPr>
        <w:spacing w:after="0" w:line="206" w:lineRule="exact"/>
        <w:rPr>
          <w:sz w:val="20"/>
          <w:szCs w:val="20"/>
          <w:color w:val="auto"/>
        </w:rPr>
      </w:pPr>
    </w:p>
    <w:p>
      <w:pPr>
        <w:ind w:left="500" w:right="20" w:firstLine="819"/>
        <w:spacing w:after="0" w:line="298" w:lineRule="auto"/>
        <w:rPr>
          <w:sz w:val="20"/>
          <w:szCs w:val="20"/>
          <w:color w:val="auto"/>
        </w:rPr>
      </w:pPr>
      <w:r>
        <w:rPr>
          <w:rFonts w:ascii="Arial" w:cs="Arial" w:eastAsia="Arial" w:hAnsi="Arial"/>
          <w:sz w:val="15"/>
          <w:szCs w:val="15"/>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Employee Benefits and Perquisites</w:t>
      </w:r>
    </w:p>
    <w:p>
      <w:pPr>
        <w:spacing w:after="0" w:line="206" w:lineRule="exact"/>
        <w:rPr>
          <w:sz w:val="20"/>
          <w:szCs w:val="20"/>
          <w:color w:val="auto"/>
        </w:rPr>
      </w:pPr>
    </w:p>
    <w:p>
      <w:pPr>
        <w:ind w:left="500" w:right="80" w:firstLine="819"/>
        <w:spacing w:after="0" w:line="253" w:lineRule="auto"/>
        <w:rPr>
          <w:sz w:val="20"/>
          <w:szCs w:val="20"/>
          <w:color w:val="auto"/>
        </w:rPr>
      </w:pPr>
      <w:r>
        <w:rPr>
          <w:rFonts w:ascii="Arial" w:cs="Arial" w:eastAsia="Arial" w:hAnsi="Arial"/>
          <w:sz w:val="17"/>
          <w:szCs w:val="17"/>
          <w:color w:val="auto"/>
        </w:rPr>
        <w:t>All of our full-time employees, including our named executive officers, are eligible to participate in our employee benefit plans and programs, including medical, dental, and vision benefits, health spending accounts, and short- and long-term disability, accidental death and dismemberment, and life insurance, to the same extent as our other full-time employees, subject to the terms and eligibility requirements of those plans. For 2019, we did not provide an employer matching contribution under our 401(k) plan.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Outstanding Equity Awards at 2019 Fiscal Year-End</w:t>
      </w:r>
    </w:p>
    <w:p>
      <w:pPr>
        <w:spacing w:after="0" w:line="210" w:lineRule="exact"/>
        <w:rPr>
          <w:sz w:val="20"/>
          <w:szCs w:val="20"/>
          <w:color w:val="auto"/>
        </w:rPr>
      </w:pPr>
    </w:p>
    <w:p>
      <w:pPr>
        <w:ind w:left="500" w:right="480" w:firstLine="819"/>
        <w:spacing w:after="0" w:line="268" w:lineRule="auto"/>
        <w:rPr>
          <w:sz w:val="20"/>
          <w:szCs w:val="20"/>
          <w:color w:val="auto"/>
        </w:rPr>
      </w:pPr>
      <w:r>
        <w:rPr>
          <w:rFonts w:ascii="Arial" w:cs="Arial" w:eastAsia="Arial" w:hAnsi="Arial"/>
          <w:sz w:val="17"/>
          <w:szCs w:val="17"/>
          <w:color w:val="auto"/>
        </w:rPr>
        <w:t>The following table summarizes the number of shares of common stock underlying outstanding equity incentive plan awards for each named executive officer as of December 31, 2019.</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3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Option Awards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Equity</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Incentive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4"/>
              </w:rPr>
              <w:t>Plan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Number of</w:t>
            </w:r>
          </w:p>
        </w:tc>
        <w:tc>
          <w:tcPr>
            <w:tcW w:w="1140" w:type="dxa"/>
            <w:vAlign w:val="bottom"/>
            <w:gridSpan w:val="3"/>
            <w:vMerge w:val="restart"/>
          </w:tcPr>
          <w:p>
            <w:pPr>
              <w:jc w:val="center"/>
              <w:ind w:right="253"/>
              <w:spacing w:after="0"/>
              <w:rPr>
                <w:sz w:val="20"/>
                <w:szCs w:val="20"/>
                <w:color w:val="auto"/>
              </w:rPr>
            </w:pPr>
            <w:r>
              <w:rPr>
                <w:rFonts w:ascii="Arial" w:cs="Arial" w:eastAsia="Arial" w:hAnsi="Arial"/>
                <w:sz w:val="13"/>
                <w:szCs w:val="13"/>
                <w:b w:val="1"/>
                <w:bCs w:val="1"/>
                <w:color w:val="auto"/>
                <w:w w:val="95"/>
              </w:rPr>
              <w:t>Number of</w:t>
            </w:r>
          </w:p>
        </w:tc>
        <w:tc>
          <w:tcPr>
            <w:tcW w:w="10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3"/>
              </w:rPr>
              <w:t>Awards: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4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5"/>
              </w:rPr>
              <w:t>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0"/>
              </w:rPr>
              <w:t>Securities</w:t>
            </w:r>
          </w:p>
        </w:tc>
        <w:tc>
          <w:tcPr>
            <w:tcW w:w="1140" w:type="dxa"/>
            <w:vAlign w:val="bottom"/>
            <w:gridSpan w:val="3"/>
          </w:tcPr>
          <w:p>
            <w:pPr>
              <w:jc w:val="center"/>
              <w:ind w:right="273"/>
              <w:spacing w:after="0" w:line="138" w:lineRule="exact"/>
              <w:rPr>
                <w:sz w:val="20"/>
                <w:szCs w:val="20"/>
                <w:color w:val="auto"/>
              </w:rPr>
            </w:pPr>
            <w:r>
              <w:rPr>
                <w:rFonts w:ascii="Arial" w:cs="Arial" w:eastAsia="Arial" w:hAnsi="Arial"/>
                <w:sz w:val="13"/>
                <w:szCs w:val="13"/>
                <w:b w:val="1"/>
                <w:bCs w:val="1"/>
                <w:color w:val="auto"/>
                <w:w w:val="90"/>
              </w:rPr>
              <w:t>Securities</w:t>
            </w:r>
          </w:p>
        </w:tc>
        <w:tc>
          <w:tcPr>
            <w:tcW w:w="10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0"/>
              </w:rPr>
              <w:t>Securities</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Vesting</w:t>
            </w: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97"/>
              </w:rPr>
              <w:t>Underlying</w:t>
            </w:r>
          </w:p>
        </w:tc>
        <w:tc>
          <w:tcPr>
            <w:tcW w:w="1140" w:type="dxa"/>
            <w:vAlign w:val="bottom"/>
            <w:gridSpan w:val="3"/>
          </w:tcPr>
          <w:p>
            <w:pPr>
              <w:jc w:val="right"/>
              <w:ind w:right="333"/>
              <w:spacing w:after="0" w:line="138" w:lineRule="exact"/>
              <w:rPr>
                <w:sz w:val="20"/>
                <w:szCs w:val="20"/>
                <w:color w:val="auto"/>
              </w:rPr>
            </w:pPr>
            <w:r>
              <w:rPr>
                <w:rFonts w:ascii="Arial" w:cs="Arial" w:eastAsia="Arial" w:hAnsi="Arial"/>
                <w:sz w:val="13"/>
                <w:szCs w:val="13"/>
                <w:b w:val="1"/>
                <w:bCs w:val="1"/>
                <w:color w:val="auto"/>
              </w:rPr>
              <w:t>Underlying</w:t>
            </w:r>
          </w:p>
        </w:tc>
        <w:tc>
          <w:tcPr>
            <w:tcW w:w="10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4"/>
              </w:rPr>
              <w:t>Underlying</w:t>
            </w: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w w:val="87"/>
              </w:rPr>
              <w:t>Unexercised</w:t>
            </w:r>
          </w:p>
        </w:tc>
        <w:tc>
          <w:tcPr>
            <w:tcW w:w="1140" w:type="dxa"/>
            <w:vAlign w:val="bottom"/>
            <w:gridSpan w:val="3"/>
          </w:tcPr>
          <w:p>
            <w:pPr>
              <w:jc w:val="center"/>
              <w:ind w:right="253"/>
              <w:spacing w:after="0" w:line="138" w:lineRule="exact"/>
              <w:rPr>
                <w:sz w:val="20"/>
                <w:szCs w:val="20"/>
                <w:color w:val="auto"/>
              </w:rPr>
            </w:pPr>
            <w:r>
              <w:rPr>
                <w:rFonts w:ascii="Arial" w:cs="Arial" w:eastAsia="Arial" w:hAnsi="Arial"/>
                <w:sz w:val="13"/>
                <w:szCs w:val="13"/>
                <w:b w:val="1"/>
                <w:bCs w:val="1"/>
                <w:color w:val="auto"/>
                <w:w w:val="90"/>
              </w:rPr>
              <w:t>Unexercised</w:t>
            </w:r>
          </w:p>
        </w:tc>
        <w:tc>
          <w:tcPr>
            <w:tcW w:w="10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87"/>
              </w:rPr>
              <w:t>Unexercised</w:t>
            </w:r>
          </w:p>
        </w:tc>
        <w:tc>
          <w:tcPr>
            <w:tcW w:w="6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89"/>
              </w:rPr>
              <w:t>Exercise</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4280" w:type="dxa"/>
            <w:vAlign w:val="bottom"/>
            <w:vMerge w:val="restart"/>
          </w:tcPr>
          <w:p>
            <w:pPr>
              <w:spacing w:after="0"/>
              <w:rPr>
                <w:sz w:val="12"/>
                <w:szCs w:val="12"/>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Commencement</w:t>
            </w: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3"/>
              </w:rPr>
              <w:t>Options (#)</w:t>
            </w:r>
          </w:p>
        </w:tc>
        <w:tc>
          <w:tcPr>
            <w:tcW w:w="1140" w:type="dxa"/>
            <w:vAlign w:val="bottom"/>
            <w:gridSpan w:val="3"/>
          </w:tcPr>
          <w:p>
            <w:pPr>
              <w:jc w:val="right"/>
              <w:ind w:right="353"/>
              <w:spacing w:after="0" w:line="138" w:lineRule="exact"/>
              <w:rPr>
                <w:sz w:val="20"/>
                <w:szCs w:val="20"/>
                <w:color w:val="auto"/>
              </w:rPr>
            </w:pPr>
            <w:r>
              <w:rPr>
                <w:rFonts w:ascii="Arial" w:cs="Arial" w:eastAsia="Arial" w:hAnsi="Arial"/>
                <w:sz w:val="13"/>
                <w:szCs w:val="13"/>
                <w:b w:val="1"/>
                <w:bCs w:val="1"/>
                <w:color w:val="auto"/>
              </w:rPr>
              <w:t>Options (#)</w:t>
            </w:r>
          </w:p>
        </w:tc>
        <w:tc>
          <w:tcPr>
            <w:tcW w:w="10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3"/>
              </w:rPr>
              <w:t>Unearned</w:t>
            </w:r>
          </w:p>
        </w:tc>
        <w:tc>
          <w:tcPr>
            <w:tcW w:w="6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4"/>
              </w:rPr>
              <w:t>Price</w:t>
            </w:r>
          </w:p>
        </w:tc>
        <w:tc>
          <w:tcPr>
            <w:tcW w:w="860" w:type="dxa"/>
            <w:vAlign w:val="bottom"/>
            <w:gridSpan w:val="3"/>
          </w:tcPr>
          <w:p>
            <w:pPr>
              <w:jc w:val="center"/>
              <w:ind w:left="38"/>
              <w:spacing w:after="0" w:line="138" w:lineRule="exact"/>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58"/>
        </w:trPr>
        <w:tc>
          <w:tcPr>
            <w:tcW w:w="340" w:type="dxa"/>
            <w:vAlign w:val="bottom"/>
            <w:vMerge w:val="continue"/>
          </w:tcPr>
          <w:p>
            <w:pPr>
              <w:spacing w:after="0"/>
              <w:rPr>
                <w:sz w:val="13"/>
                <w:szCs w:val="13"/>
                <w:color w:val="auto"/>
              </w:rPr>
            </w:pPr>
          </w:p>
        </w:tc>
        <w:tc>
          <w:tcPr>
            <w:tcW w:w="4280" w:type="dxa"/>
            <w:vAlign w:val="bottom"/>
            <w:vMerge w:val="continue"/>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1"/>
              </w:rPr>
              <w:t>Exercisable</w:t>
            </w:r>
          </w:p>
        </w:tc>
        <w:tc>
          <w:tcPr>
            <w:tcW w:w="200" w:type="dxa"/>
            <w:vAlign w:val="bottom"/>
          </w:tcPr>
          <w:p>
            <w:pPr>
              <w:spacing w:after="0"/>
              <w:rPr>
                <w:sz w:val="13"/>
                <w:szCs w:val="13"/>
                <w:color w:val="auto"/>
              </w:rPr>
            </w:pPr>
          </w:p>
        </w:tc>
        <w:tc>
          <w:tcPr>
            <w:tcW w:w="1140" w:type="dxa"/>
            <w:vAlign w:val="bottom"/>
            <w:gridSpan w:val="3"/>
          </w:tcPr>
          <w:p>
            <w:pPr>
              <w:jc w:val="center"/>
              <w:ind w:right="273"/>
              <w:spacing w:after="0"/>
              <w:rPr>
                <w:sz w:val="20"/>
                <w:szCs w:val="20"/>
                <w:color w:val="auto"/>
              </w:rPr>
            </w:pPr>
            <w:r>
              <w:rPr>
                <w:rFonts w:ascii="Arial" w:cs="Arial" w:eastAsia="Arial" w:hAnsi="Arial"/>
                <w:sz w:val="13"/>
                <w:szCs w:val="13"/>
                <w:b w:val="1"/>
                <w:bCs w:val="1"/>
                <w:color w:val="auto"/>
                <w:w w:val="90"/>
              </w:rPr>
              <w:t>Unexercisable</w:t>
            </w: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Options (#)</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Maria Palasis, Ph.D.</w:t>
            </w:r>
          </w:p>
        </w:tc>
        <w:tc>
          <w:tcPr>
            <w:tcW w:w="9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6"/>
              </w:rPr>
              <w:t>11/16/2011</w:t>
            </w:r>
          </w:p>
        </w:tc>
        <w:tc>
          <w:tcPr>
            <w:tcW w:w="104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22,793</w:t>
            </w:r>
          </w:p>
        </w:tc>
        <w:tc>
          <w:tcPr>
            <w:tcW w:w="1140" w:type="dxa"/>
            <w:vAlign w:val="bottom"/>
            <w:gridSpan w:val="3"/>
            <w:shd w:val="clear" w:color="auto" w:fill="CCEEFF"/>
          </w:tcPr>
          <w:p>
            <w:pPr>
              <w:jc w:val="right"/>
              <w:ind w:right="353"/>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460"/>
              <w:spacing w:after="0" w:line="194"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8.63</w:t>
            </w:r>
          </w:p>
        </w:tc>
        <w:tc>
          <w:tcPr>
            <w:tcW w:w="860" w:type="dxa"/>
            <w:vAlign w:val="bottom"/>
            <w:gridSpan w:val="3"/>
            <w:shd w:val="clear" w:color="auto" w:fill="CCEEFF"/>
          </w:tcPr>
          <w:p>
            <w:pPr>
              <w:jc w:val="center"/>
              <w:ind w:left="18"/>
              <w:spacing w:after="0" w:line="194" w:lineRule="exact"/>
              <w:rPr>
                <w:sz w:val="20"/>
                <w:szCs w:val="20"/>
                <w:color w:val="auto"/>
              </w:rPr>
            </w:pPr>
            <w:r>
              <w:rPr>
                <w:rFonts w:ascii="Arial" w:cs="Arial" w:eastAsia="Arial" w:hAnsi="Arial"/>
                <w:sz w:val="17"/>
                <w:szCs w:val="17"/>
                <w:color w:val="auto"/>
                <w:w w:val="89"/>
              </w:rPr>
              <w:t>11/16/2021</w:t>
            </w: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89"/>
              </w:rPr>
              <w:t>2/26/2013</w:t>
            </w: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24,358</w:t>
            </w:r>
          </w:p>
        </w:tc>
        <w:tc>
          <w:tcPr>
            <w:tcW w:w="1140" w:type="dxa"/>
            <w:vAlign w:val="bottom"/>
            <w:gridSpan w:val="3"/>
          </w:tcPr>
          <w:p>
            <w:pPr>
              <w:jc w:val="right"/>
              <w:ind w:right="353"/>
              <w:spacing w:after="0"/>
              <w:rPr>
                <w:sz w:val="20"/>
                <w:szCs w:val="20"/>
                <w:color w:val="auto"/>
              </w:rPr>
            </w:pPr>
            <w:r>
              <w:rPr>
                <w:rFonts w:ascii="Arial" w:cs="Arial" w:eastAsia="Arial" w:hAnsi="Arial"/>
                <w:sz w:val="17"/>
                <w:szCs w:val="17"/>
                <w:color w:val="auto"/>
              </w:rPr>
              <w:t>—</w:t>
            </w:r>
          </w:p>
        </w:tc>
        <w:tc>
          <w:tcPr>
            <w:tcW w:w="10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21.73</w:t>
            </w:r>
          </w:p>
        </w:tc>
        <w:tc>
          <w:tcPr>
            <w:tcW w:w="860" w:type="dxa"/>
            <w:vAlign w:val="bottom"/>
            <w:gridSpan w:val="3"/>
          </w:tcPr>
          <w:p>
            <w:pPr>
              <w:jc w:val="center"/>
              <w:ind w:left="18"/>
              <w:spacing w:after="0"/>
              <w:rPr>
                <w:sz w:val="20"/>
                <w:szCs w:val="20"/>
                <w:color w:val="auto"/>
              </w:rPr>
            </w:pPr>
            <w:r>
              <w:rPr>
                <w:rFonts w:ascii="Arial" w:cs="Arial" w:eastAsia="Arial" w:hAnsi="Arial"/>
                <w:sz w:val="17"/>
                <w:szCs w:val="17"/>
                <w:color w:val="auto"/>
                <w:w w:val="89"/>
              </w:rPr>
              <w:t>6/26/2023</w:t>
            </w: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1/1/2015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94,287</w:t>
            </w:r>
          </w:p>
        </w:tc>
        <w:tc>
          <w:tcPr>
            <w:tcW w:w="1140" w:type="dxa"/>
            <w:vAlign w:val="bottom"/>
            <w:gridSpan w:val="3"/>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22.76</w:t>
            </w:r>
          </w:p>
        </w:tc>
        <w:tc>
          <w:tcPr>
            <w:tcW w:w="860" w:type="dxa"/>
            <w:vAlign w:val="bottom"/>
            <w:gridSpan w:val="3"/>
            <w:shd w:val="clear" w:color="auto" w:fill="CCEEFF"/>
          </w:tcPr>
          <w:p>
            <w:pPr>
              <w:jc w:val="center"/>
              <w:ind w:left="18"/>
              <w:spacing w:after="0"/>
              <w:rPr>
                <w:sz w:val="20"/>
                <w:szCs w:val="20"/>
                <w:color w:val="auto"/>
              </w:rPr>
            </w:pPr>
            <w:r>
              <w:rPr>
                <w:rFonts w:ascii="Arial" w:cs="Arial" w:eastAsia="Arial" w:hAnsi="Arial"/>
                <w:sz w:val="17"/>
                <w:szCs w:val="17"/>
                <w:color w:val="auto"/>
                <w:w w:val="89"/>
              </w:rPr>
              <w:t>9/23/2025</w:t>
            </w: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89"/>
              </w:rPr>
              <w:t>6/13/2017</w:t>
            </w: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31,429</w:t>
            </w:r>
          </w:p>
        </w:tc>
        <w:tc>
          <w:tcPr>
            <w:tcW w:w="1140" w:type="dxa"/>
            <w:vAlign w:val="bottom"/>
            <w:gridSpan w:val="3"/>
          </w:tcPr>
          <w:p>
            <w:pPr>
              <w:jc w:val="right"/>
              <w:ind w:right="353"/>
              <w:spacing w:after="0"/>
              <w:rPr>
                <w:sz w:val="20"/>
                <w:szCs w:val="20"/>
                <w:color w:val="auto"/>
              </w:rPr>
            </w:pPr>
            <w:r>
              <w:rPr>
                <w:rFonts w:ascii="Arial" w:cs="Arial" w:eastAsia="Arial" w:hAnsi="Arial"/>
                <w:sz w:val="17"/>
                <w:szCs w:val="17"/>
                <w:color w:val="auto"/>
              </w:rPr>
              <w:t>—</w:t>
            </w:r>
          </w:p>
        </w:tc>
        <w:tc>
          <w:tcPr>
            <w:tcW w:w="1040" w:type="dxa"/>
            <w:vAlign w:val="bottom"/>
            <w:gridSpan w:val="2"/>
          </w:tcPr>
          <w:p>
            <w:pPr>
              <w:ind w:left="260"/>
              <w:spacing w:after="0"/>
              <w:rPr>
                <w:sz w:val="20"/>
                <w:szCs w:val="20"/>
                <w:color w:val="auto"/>
              </w:rPr>
            </w:pPr>
            <w:r>
              <w:rPr>
                <w:rFonts w:ascii="Arial" w:cs="Arial" w:eastAsia="Arial" w:hAnsi="Arial"/>
                <w:sz w:val="17"/>
                <w:szCs w:val="17"/>
                <w:color w:val="auto"/>
              </w:rPr>
              <w:t>31,429</w:t>
            </w:r>
            <w:r>
              <w:rPr>
                <w:rFonts w:ascii="Arial" w:cs="Arial" w:eastAsia="Arial" w:hAnsi="Arial"/>
                <w:sz w:val="14"/>
                <w:szCs w:val="14"/>
                <w:color w:val="auto"/>
              </w:rPr>
              <w:t>(2)</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c>
          <w:tcPr>
            <w:tcW w:w="860" w:type="dxa"/>
            <w:vAlign w:val="bottom"/>
            <w:gridSpan w:val="3"/>
          </w:tcPr>
          <w:p>
            <w:pPr>
              <w:jc w:val="center"/>
              <w:ind w:left="18"/>
              <w:spacing w:after="0"/>
              <w:rPr>
                <w:sz w:val="20"/>
                <w:szCs w:val="20"/>
                <w:color w:val="auto"/>
              </w:rPr>
            </w:pPr>
            <w:r>
              <w:rPr>
                <w:rFonts w:ascii="Arial" w:cs="Arial" w:eastAsia="Arial" w:hAnsi="Arial"/>
                <w:sz w:val="17"/>
                <w:szCs w:val="17"/>
                <w:color w:val="auto"/>
                <w:w w:val="89"/>
              </w:rPr>
              <w:t>6/13/2027</w:t>
            </w: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3/6/2019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31,960</w:t>
            </w:r>
          </w:p>
        </w:tc>
        <w:tc>
          <w:tcPr>
            <w:tcW w:w="114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138,495</w:t>
            </w:r>
            <w:r>
              <w:rPr>
                <w:rFonts w:ascii="Arial" w:cs="Arial" w:eastAsia="Arial" w:hAnsi="Arial"/>
                <w:sz w:val="14"/>
                <w:szCs w:val="14"/>
                <w:color w:val="auto"/>
              </w:rPr>
              <w:t>(1)</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2.76</w:t>
            </w:r>
          </w:p>
        </w:tc>
        <w:tc>
          <w:tcPr>
            <w:tcW w:w="800" w:type="dxa"/>
            <w:vAlign w:val="bottom"/>
            <w:gridSpan w:val="2"/>
            <w:shd w:val="clear" w:color="auto" w:fill="CCEEFF"/>
          </w:tcPr>
          <w:p>
            <w:pPr>
              <w:jc w:val="center"/>
              <w:ind w:left="78"/>
              <w:spacing w:after="0"/>
              <w:rPr>
                <w:sz w:val="20"/>
                <w:szCs w:val="20"/>
                <w:color w:val="auto"/>
              </w:rPr>
            </w:pPr>
            <w:r>
              <w:rPr>
                <w:rFonts w:ascii="Arial" w:cs="Arial" w:eastAsia="Arial" w:hAnsi="Arial"/>
                <w:sz w:val="17"/>
                <w:szCs w:val="17"/>
                <w:color w:val="auto"/>
                <w:w w:val="90"/>
              </w:rPr>
              <w:t>3/6/2029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gridSpan w:val="2"/>
          </w:tcPr>
          <w:p>
            <w:pPr>
              <w:spacing w:after="0"/>
              <w:rPr>
                <w:sz w:val="20"/>
                <w:szCs w:val="20"/>
                <w:color w:val="auto"/>
              </w:rPr>
            </w:pPr>
            <w:r>
              <w:rPr>
                <w:rFonts w:ascii="Arial" w:cs="Arial" w:eastAsia="Arial" w:hAnsi="Arial"/>
                <w:sz w:val="17"/>
                <w:szCs w:val="17"/>
                <w:color w:val="auto"/>
              </w:rPr>
              <w:t>R. Don Elsey</w:t>
            </w:r>
          </w:p>
        </w:tc>
        <w:tc>
          <w:tcPr>
            <w:tcW w:w="940" w:type="dxa"/>
            <w:vAlign w:val="bottom"/>
          </w:tcPr>
          <w:p>
            <w:pPr>
              <w:jc w:val="center"/>
              <w:spacing w:after="0"/>
              <w:rPr>
                <w:sz w:val="20"/>
                <w:szCs w:val="20"/>
                <w:color w:val="auto"/>
              </w:rPr>
            </w:pPr>
            <w:r>
              <w:rPr>
                <w:rFonts w:ascii="Arial" w:cs="Arial" w:eastAsia="Arial" w:hAnsi="Arial"/>
                <w:sz w:val="17"/>
                <w:szCs w:val="17"/>
                <w:color w:val="auto"/>
                <w:w w:val="89"/>
              </w:rPr>
              <w:t>7/29/2019</w:t>
            </w:r>
          </w:p>
        </w:tc>
        <w:tc>
          <w:tcPr>
            <w:tcW w:w="14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93"/>
              <w:spacing w:after="0"/>
              <w:rPr>
                <w:sz w:val="20"/>
                <w:szCs w:val="20"/>
                <w:color w:val="auto"/>
              </w:rPr>
            </w:pPr>
            <w:r>
              <w:rPr>
                <w:rFonts w:ascii="Arial" w:cs="Arial" w:eastAsia="Arial" w:hAnsi="Arial"/>
                <w:sz w:val="17"/>
                <w:szCs w:val="17"/>
                <w:color w:val="auto"/>
              </w:rPr>
              <w:t>74,783</w:t>
            </w:r>
            <w:r>
              <w:rPr>
                <w:rFonts w:ascii="Arial" w:cs="Arial" w:eastAsia="Arial" w:hAnsi="Arial"/>
                <w:sz w:val="14"/>
                <w:szCs w:val="14"/>
                <w:color w:val="auto"/>
              </w:rPr>
              <w:t>(3)</w:t>
            </w:r>
          </w:p>
        </w:tc>
        <w:tc>
          <w:tcPr>
            <w:tcW w:w="10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4.49</w:t>
            </w:r>
          </w:p>
        </w:tc>
        <w:tc>
          <w:tcPr>
            <w:tcW w:w="860" w:type="dxa"/>
            <w:vAlign w:val="bottom"/>
            <w:gridSpan w:val="3"/>
          </w:tcPr>
          <w:p>
            <w:pPr>
              <w:jc w:val="center"/>
              <w:ind w:left="18"/>
              <w:spacing w:after="0"/>
              <w:rPr>
                <w:sz w:val="20"/>
                <w:szCs w:val="20"/>
                <w:color w:val="auto"/>
              </w:rPr>
            </w:pPr>
            <w:r>
              <w:rPr>
                <w:rFonts w:ascii="Arial" w:cs="Arial" w:eastAsia="Arial" w:hAnsi="Arial"/>
                <w:sz w:val="17"/>
                <w:szCs w:val="17"/>
                <w:color w:val="auto"/>
                <w:w w:val="89"/>
              </w:rPr>
              <w:t>9/24/2029</w:t>
            </w:r>
          </w:p>
        </w:tc>
        <w:tc>
          <w:tcPr>
            <w:tcW w:w="0" w:type="dxa"/>
            <w:vAlign w:val="bottom"/>
          </w:tcPr>
          <w:p>
            <w:pPr>
              <w:spacing w:after="0"/>
              <w:rPr>
                <w:sz w:val="1"/>
                <w:szCs w:val="1"/>
                <w:color w:val="auto"/>
              </w:rPr>
            </w:pPr>
          </w:p>
        </w:tc>
      </w:tr>
      <w:tr>
        <w:trPr>
          <w:trHeight w:val="201"/>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Edgerly-Pflug</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6/3/2019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14,499</w:t>
            </w:r>
            <w:r>
              <w:rPr>
                <w:rFonts w:ascii="Arial" w:cs="Arial" w:eastAsia="Arial" w:hAnsi="Arial"/>
                <w:sz w:val="14"/>
                <w:szCs w:val="14"/>
                <w:color w:val="auto"/>
              </w:rPr>
              <w:t>(3)</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4.49</w:t>
            </w:r>
          </w:p>
        </w:tc>
        <w:tc>
          <w:tcPr>
            <w:tcW w:w="860" w:type="dxa"/>
            <w:vAlign w:val="bottom"/>
            <w:gridSpan w:val="3"/>
            <w:shd w:val="clear" w:color="auto" w:fill="CCEEFF"/>
          </w:tcPr>
          <w:p>
            <w:pPr>
              <w:jc w:val="center"/>
              <w:ind w:left="18"/>
              <w:spacing w:after="0"/>
              <w:rPr>
                <w:sz w:val="20"/>
                <w:szCs w:val="20"/>
                <w:color w:val="auto"/>
              </w:rPr>
            </w:pPr>
            <w:r>
              <w:rPr>
                <w:rFonts w:ascii="Arial" w:cs="Arial" w:eastAsia="Arial" w:hAnsi="Arial"/>
                <w:sz w:val="17"/>
                <w:szCs w:val="17"/>
                <w:color w:val="auto"/>
                <w:w w:val="89"/>
              </w:rPr>
              <w:t>6/20/2029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80010</wp:posOffset>
            </wp:positionV>
            <wp:extent cx="7175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43" w:lineRule="exact"/>
        <w:rPr>
          <w:sz w:val="20"/>
          <w:szCs w:val="20"/>
          <w:color w:val="auto"/>
        </w:rPr>
      </w:pPr>
    </w:p>
    <w:p>
      <w:pPr>
        <w:ind w:left="900" w:right="400" w:hanging="397"/>
        <w:spacing w:after="0" w:line="254"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Options vest and become exercisable in equal monthly installments over four years following the vesting commencement date, subject to Dr. Palasis’ continued employment with us on each applicable vesting date.</w:t>
      </w:r>
    </w:p>
    <w:p>
      <w:pPr>
        <w:ind w:left="900" w:right="40" w:hanging="397"/>
        <w:spacing w:after="0" w:line="253"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Options vest and become exercisable at the end of any given three-month period occurring prior to six years from the vesting commencement date in which we recognize revenue from the commercial sale of an FDA-</w:t>
      </w:r>
    </w:p>
    <w:p>
      <w:pPr>
        <w:spacing w:after="0" w:line="11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740"/>
          </w:cols>
          <w:pgMar w:left="320" w:top="438" w:right="83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900" w:right="20"/>
        <w:spacing w:after="0" w:line="251" w:lineRule="auto"/>
        <w:rPr>
          <w:sz w:val="20"/>
          <w:szCs w:val="20"/>
          <w:color w:val="auto"/>
        </w:rPr>
      </w:pPr>
      <w:r>
        <w:rPr>
          <w:rFonts w:ascii="Arial" w:cs="Arial" w:eastAsia="Arial" w:hAnsi="Arial"/>
          <w:sz w:val="17"/>
          <w:szCs w:val="17"/>
          <w:color w:val="auto"/>
        </w:rPr>
        <w:t>approved product each month and in amounts, with respect to the second and third months of such period that increase from the revenue recognized from such product sales in the immediately preceding month, subject to Dr. Palasis’ continued employment with us on each applicable vesting date.</w:t>
      </w:r>
    </w:p>
    <w:p>
      <w:pPr>
        <w:spacing w:after="0" w:line="1" w:lineRule="exact"/>
        <w:rPr>
          <w:sz w:val="20"/>
          <w:szCs w:val="20"/>
          <w:color w:val="auto"/>
        </w:rPr>
      </w:pPr>
    </w:p>
    <w:p>
      <w:pPr>
        <w:ind w:left="900" w:right="340" w:hanging="397"/>
        <w:spacing w:after="0" w:line="249"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Options vest and become exercisable as to 25% of the underlying shares on the first anniversary of the vesting commencement date and in 36 equal monthly installments over the following three years, subject to the named executive officer’s continued employment with us on each applicable vesting date.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Recent Changes in Executive Compensation</w:t>
      </w:r>
    </w:p>
    <w:p>
      <w:pPr>
        <w:spacing w:after="0" w:line="210" w:lineRule="exact"/>
        <w:rPr>
          <w:sz w:val="20"/>
          <w:szCs w:val="20"/>
          <w:color w:val="auto"/>
        </w:rPr>
      </w:pPr>
    </w:p>
    <w:p>
      <w:pPr>
        <w:ind w:left="500" w:right="60" w:firstLine="819"/>
        <w:spacing w:after="0" w:line="257" w:lineRule="auto"/>
        <w:rPr>
          <w:sz w:val="20"/>
          <w:szCs w:val="20"/>
          <w:color w:val="auto"/>
        </w:rPr>
      </w:pPr>
      <w:r>
        <w:rPr>
          <w:rFonts w:ascii="Arial" w:cs="Arial" w:eastAsia="Arial" w:hAnsi="Arial"/>
          <w:sz w:val="17"/>
          <w:szCs w:val="17"/>
          <w:color w:val="auto"/>
        </w:rPr>
        <w:t>In anticipation and subject to the consummation of this offering, our board of directors approved certain changes to our named executive officers’ compensation arrangements. These include adjusting annual base salaries and target bonus opportunities, granting equity incentive awards and entering into new employment agreements, each as described in more detail below.</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Annual Base Salaries</w:t>
      </w:r>
    </w:p>
    <w:p>
      <w:pPr>
        <w:spacing w:after="0" w:line="206" w:lineRule="exact"/>
        <w:rPr>
          <w:sz w:val="20"/>
          <w:szCs w:val="20"/>
          <w:color w:val="auto"/>
        </w:rPr>
      </w:pPr>
    </w:p>
    <w:p>
      <w:pPr>
        <w:ind w:left="500" w:right="340" w:firstLine="819"/>
        <w:spacing w:after="0" w:line="268" w:lineRule="auto"/>
        <w:rPr>
          <w:sz w:val="20"/>
          <w:szCs w:val="20"/>
          <w:color w:val="auto"/>
        </w:rPr>
      </w:pPr>
      <w:r>
        <w:rPr>
          <w:rFonts w:ascii="Arial" w:cs="Arial" w:eastAsia="Arial" w:hAnsi="Arial"/>
          <w:sz w:val="17"/>
          <w:szCs w:val="17"/>
          <w:color w:val="auto"/>
        </w:rPr>
        <w:t>Our board of directors approved increases to the annual base salaries of our named executive officers, effective upon the closing of this offering, as follows: Dr. Palasis, $500,000; Mr. Elsey, $375,000; and Ms. Edgerly-Pflug, $300,000.</w:t>
      </w:r>
    </w:p>
    <w:p>
      <w:pPr>
        <w:spacing w:after="0" w:line="166"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Target Bonuses</w:t>
      </w:r>
    </w:p>
    <w:p>
      <w:pPr>
        <w:spacing w:after="0" w:line="206" w:lineRule="exact"/>
        <w:rPr>
          <w:sz w:val="20"/>
          <w:szCs w:val="20"/>
          <w:color w:val="auto"/>
        </w:rPr>
      </w:pPr>
    </w:p>
    <w:p>
      <w:pPr>
        <w:ind w:left="500" w:right="60" w:firstLine="819"/>
        <w:spacing w:after="0" w:line="257" w:lineRule="auto"/>
        <w:rPr>
          <w:sz w:val="20"/>
          <w:szCs w:val="20"/>
          <w:color w:val="auto"/>
        </w:rPr>
      </w:pPr>
      <w:r>
        <w:rPr>
          <w:rFonts w:ascii="Arial" w:cs="Arial" w:eastAsia="Arial" w:hAnsi="Arial"/>
          <w:sz w:val="17"/>
          <w:szCs w:val="17"/>
          <w:color w:val="auto"/>
        </w:rPr>
        <w:t>Our board of directors approved increases to the target bonus amounts for our named executive officers that will become effective upon the closing of this offering. The target bonus amounts were set at 55% of annual base salary for Dr. Palasis, 40% of annual base salary for Mr. Elsey and 35% of annual base salary for Ms. Edgerly-Pflug.</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Equity Incentive Awards</w:t>
      </w:r>
    </w:p>
    <w:p>
      <w:pPr>
        <w:spacing w:after="0" w:line="206"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Effective on the date that the registration statement of which this prospectus forms a part becomes effective, our board of directors approved the award of incentive stock options under the 2020 Plan to our named executive officers in the following amounts: 326,303 shares to Ms. Palasis, 20,635 shares to Mr. Elsey, and 20,046 shares to Ms. Edgerly-Pflug. The stock options will have a per share exercise price equal to the initial public offering price per share of our common stock and will vest in 48 equal monthly installments following the date of grant, subject to the continued service of the applicable named executive officer.</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Executive Employment Agreements</w:t>
      </w:r>
    </w:p>
    <w:p>
      <w:pPr>
        <w:spacing w:after="0" w:line="206"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In connection with this offering, we entered into new employment agreements with each of our named executive officers that will supersede their prior employment arrangements with us effective on consummation of this offering. The employment agreements entitle Dr. Palasis, Mr. Elsey and Ms. Edgerly-Pflug to receive annual base salaries and annual target bonus opportunities described above under the headings “—Annual Base Salaries” and “—Target Bonuses”. Through December 31, 2020, and subject to renewal by our board thereafter, Mr. Elsey is also entitled to (i) reimbursement of reasonable travel expenses from his home in Maryland to our offices in Massachusetts, (ii) use of a corporate apartment while working in Massachusetts and (iii) reimbursement for income and employment taxes incurred by Mr. Elsey as a result of these commuting payments and benefits. The total amount for (i) through (iii) may not exceed $75,000.</w:t>
      </w:r>
    </w:p>
    <w:p>
      <w:pPr>
        <w:spacing w:after="0" w:line="169" w:lineRule="exact"/>
        <w:rPr>
          <w:sz w:val="20"/>
          <w:szCs w:val="20"/>
          <w:color w:val="auto"/>
        </w:rPr>
      </w:pPr>
    </w:p>
    <w:p>
      <w:pPr>
        <w:ind w:left="500" w:right="60" w:firstLine="819"/>
        <w:spacing w:after="0" w:line="307" w:lineRule="auto"/>
        <w:rPr>
          <w:sz w:val="20"/>
          <w:szCs w:val="20"/>
          <w:color w:val="auto"/>
        </w:rPr>
      </w:pPr>
      <w:r>
        <w:rPr>
          <w:rFonts w:ascii="Arial" w:cs="Arial" w:eastAsia="Arial" w:hAnsi="Arial"/>
          <w:sz w:val="15"/>
          <w:szCs w:val="15"/>
          <w:color w:val="auto"/>
        </w:rPr>
        <w:t>Under the new employment agreements, if we terminate the employment of Dr. Palasis, Mr. Elsey or Ms. Edgerly-Pflug without “cause” or the executive resigns for “good reason” (each as defined below), subject to the executive’s timely execution of a release of claims and continued compliance with a separate restrictive covenant agreement (described below), the executive is entitled to receive (i) base salary continuation for a</w:t>
      </w:r>
    </w:p>
    <w:p>
      <w:pPr>
        <w:spacing w:after="0" w:line="7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700"/>
          </w:cols>
          <w:pgMar w:left="320" w:top="438" w:right="87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51" w:lineRule="auto"/>
        <w:rPr>
          <w:sz w:val="20"/>
          <w:szCs w:val="20"/>
          <w:color w:val="auto"/>
        </w:rPr>
      </w:pPr>
      <w:r>
        <w:rPr>
          <w:rFonts w:ascii="Arial" w:cs="Arial" w:eastAsia="Arial" w:hAnsi="Arial"/>
          <w:sz w:val="17"/>
          <w:szCs w:val="17"/>
          <w:color w:val="auto"/>
        </w:rPr>
        <w:t>period of 12 months for Dr. Palasis, 9 months for Mr. Elsey and 6 months for Ms. Edgerly-Pflug; (ii) payment of any annual bonus for the prior year earned but unpaid as of the date of termination and (iii) direct payment of or reimbursement for continued medical, dental or vision coverage pursuant to COBRA for up to 12 months for Dr. Palasis, 9 months for Mr. Elsey and 6 months for Ms. Edgerly-Pflug, less the amount each named executive officer would have had to pay to receive such coverage as an active employee based on the cost sharing levels in effect on the named executive officer’s termination date.</w:t>
      </w:r>
    </w:p>
    <w:p>
      <w:pPr>
        <w:spacing w:after="0" w:line="183" w:lineRule="exact"/>
        <w:rPr>
          <w:sz w:val="20"/>
          <w:szCs w:val="20"/>
          <w:color w:val="auto"/>
        </w:rPr>
      </w:pPr>
    </w:p>
    <w:p>
      <w:pPr>
        <w:ind w:left="500" w:right="40" w:firstLine="819"/>
        <w:spacing w:after="0" w:line="285" w:lineRule="auto"/>
        <w:rPr>
          <w:sz w:val="20"/>
          <w:szCs w:val="20"/>
          <w:color w:val="auto"/>
        </w:rPr>
      </w:pPr>
      <w:r>
        <w:rPr>
          <w:rFonts w:ascii="Arial" w:cs="Arial" w:eastAsia="Arial" w:hAnsi="Arial"/>
          <w:sz w:val="15"/>
          <w:szCs w:val="15"/>
          <w:color w:val="auto"/>
        </w:rPr>
        <w:t>If we terminate Dr. Palasis, Mr. Elsey or Ms. Edgerly-Pflug without “cause” or the executive resigns for “good reason,” in either case, on or within three months prior to or 12 months following a change in control, then, in lieu of the severance benefits described above, subject to the executive’s timely execution of a release of claims, the executive is entitled to receive (i) an amount equal in cash equal to 1.5 times for Dr. Palasis, one times for Mr. Elsey and 0.75 times for Ms. Edgerly-Pflug the sum of the named executive officer’s annual base salary plus target annual bonus for the year of termination, (ii) payment of any annual bonus for the prior year earned but unpaid as of the date of termination, (iii) direct payment of or reimbursement for continued medical, dental or vision coverage pursuant to COBRA for up to 18 months for Dr. Palasis, 12 months for Mr. Elsey and 9 months for Ms. Edgerly-Pflug, less the amount each named executive officer would have had to pay to receive such coverage as an active employee based on the cost sharing levels in effect on the named executive officer’s termination date, and (iv) accelerated vesting of all unvested equity or equity-based awards held by the named executive officer that vest solely based on the passage of time, with any such awards that vest based on the attainment of performance-vesting conditions being governed by the terms of the applicable award agreement.</w:t>
      </w:r>
    </w:p>
    <w:p>
      <w:pPr>
        <w:spacing w:after="0" w:line="161" w:lineRule="exact"/>
        <w:rPr>
          <w:sz w:val="20"/>
          <w:szCs w:val="20"/>
          <w:color w:val="auto"/>
        </w:rPr>
      </w:pPr>
    </w:p>
    <w:p>
      <w:pPr>
        <w:jc w:val="both"/>
        <w:ind w:left="500" w:right="80" w:firstLine="819"/>
        <w:spacing w:after="0" w:line="257" w:lineRule="auto"/>
        <w:rPr>
          <w:sz w:val="20"/>
          <w:szCs w:val="20"/>
          <w:color w:val="auto"/>
        </w:rPr>
      </w:pPr>
      <w:r>
        <w:rPr>
          <w:rFonts w:ascii="Arial" w:cs="Arial" w:eastAsia="Arial" w:hAnsi="Arial"/>
          <w:sz w:val="17"/>
          <w:szCs w:val="17"/>
          <w:color w:val="auto"/>
        </w:rPr>
        <w:t>Each of our named executive officers has agreed to refrain from competing with us while employed and following his or her termination of employment for any reason for a period of one year and to refrain from soliciting our employees or customers while employed and following his or her termination of employment for any reason for a period of two years.</w:t>
      </w:r>
    </w:p>
    <w:p>
      <w:pPr>
        <w:spacing w:after="0" w:line="175" w:lineRule="exact"/>
        <w:rPr>
          <w:sz w:val="20"/>
          <w:szCs w:val="20"/>
          <w:color w:val="auto"/>
        </w:rPr>
      </w:pPr>
    </w:p>
    <w:p>
      <w:pPr>
        <w:ind w:left="500" w:right="20" w:firstLine="819"/>
        <w:spacing w:after="0" w:line="288" w:lineRule="auto"/>
        <w:rPr>
          <w:sz w:val="20"/>
          <w:szCs w:val="20"/>
          <w:color w:val="auto"/>
        </w:rPr>
      </w:pPr>
      <w:r>
        <w:rPr>
          <w:rFonts w:ascii="Arial" w:cs="Arial" w:eastAsia="Arial" w:hAnsi="Arial"/>
          <w:sz w:val="15"/>
          <w:szCs w:val="15"/>
          <w:color w:val="auto"/>
        </w:rPr>
        <w:t>For purposes of the employment agreements, “cause” generally means the named executive officer’s refusal to substantially perform the duties associated with his or her position with our company or to carry out the reasonable and lawful instructions of our board of directors concerning duties or actions consistent with his or her position, his or her breach of a material provision of the employment agreement which remains uncured (to the extent capable of cure) for a period of 30 days following written notice from our company, his or her conviction, plea of no contest or nolo contendere or imposition of unadjudicated probation for any felony or crime involving moral turpitude, his or her unlawful use (including being under the influence) or possession of illegal drugs on our premises or while performing his or her duties and responsibilities under the employment agreement, or his or her commission of any act of fraud, embezzlement, misappropriation, willful misconduct, or breach of fiduciary duty against us.</w:t>
      </w:r>
    </w:p>
    <w:p>
      <w:pPr>
        <w:spacing w:after="0" w:line="158" w:lineRule="exact"/>
        <w:rPr>
          <w:sz w:val="20"/>
          <w:szCs w:val="20"/>
          <w:color w:val="auto"/>
        </w:rPr>
      </w:pPr>
    </w:p>
    <w:p>
      <w:pPr>
        <w:ind w:left="500" w:right="60" w:firstLine="819"/>
        <w:spacing w:after="0" w:line="250" w:lineRule="auto"/>
        <w:rPr>
          <w:sz w:val="20"/>
          <w:szCs w:val="20"/>
          <w:color w:val="auto"/>
        </w:rPr>
      </w:pPr>
      <w:r>
        <w:rPr>
          <w:rFonts w:ascii="Arial" w:cs="Arial" w:eastAsia="Arial" w:hAnsi="Arial"/>
          <w:sz w:val="17"/>
          <w:szCs w:val="17"/>
          <w:color w:val="auto"/>
        </w:rPr>
        <w:t>For purposes of the employment agreements, “good reason” generally means, subject to certain cure rights, the named executive officer’s termination of employment due to a reduction in salary or target bonus (other than a reduction of 20% or less of the named executive officer’s base salary implemented as part of an across the board, proportionate reduction of base salaries for other members of our management team), a material decrease in authority or areas of responsibility, our company’s breach of any one or more of the material provisions of the employment agreement, or a relocation by our company of the named executive officer’s primary office to a location more than 50 miles from the named executive officer’s primary office on the date of the agreement.</w:t>
      </w:r>
    </w:p>
    <w:p>
      <w:pPr>
        <w:spacing w:after="0" w:line="12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720"/>
          </w:cols>
          <w:pgMar w:left="320" w:top="437" w:right="85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Director Compensation</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2019 Director Compensation Table</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Fees</w:t>
            </w:r>
          </w:p>
        </w:tc>
        <w:tc>
          <w:tcPr>
            <w:tcW w:w="18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700" w:type="dxa"/>
            <w:vAlign w:val="bottom"/>
            <w:gridSpan w:val="3"/>
          </w:tcPr>
          <w:p>
            <w:pPr>
              <w:jc w:val="center"/>
              <w:ind w:right="120"/>
              <w:spacing w:after="0" w:line="138" w:lineRule="exact"/>
              <w:rPr>
                <w:sz w:val="20"/>
                <w:szCs w:val="20"/>
                <w:color w:val="auto"/>
              </w:rPr>
            </w:pPr>
            <w:r>
              <w:rPr>
                <w:rFonts w:ascii="Arial" w:cs="Arial" w:eastAsia="Arial" w:hAnsi="Arial"/>
                <w:sz w:val="13"/>
                <w:szCs w:val="13"/>
                <w:b w:val="1"/>
                <w:bCs w:val="1"/>
                <w:color w:val="auto"/>
                <w:w w:val="95"/>
              </w:rPr>
              <w:t>Earned</w:t>
            </w:r>
          </w:p>
        </w:tc>
        <w:tc>
          <w:tcPr>
            <w:tcW w:w="1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7640" w:type="dxa"/>
            <w:vAlign w:val="bottom"/>
            <w:vMerge w:val="restart"/>
          </w:tcPr>
          <w:p>
            <w:pPr>
              <w:spacing w:after="0"/>
              <w:rPr>
                <w:sz w:val="12"/>
                <w:szCs w:val="12"/>
                <w:color w:val="auto"/>
              </w:rPr>
            </w:pPr>
          </w:p>
        </w:tc>
        <w:tc>
          <w:tcPr>
            <w:tcW w:w="70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94"/>
              </w:rPr>
              <w:t>or Paid in</w:t>
            </w:r>
          </w:p>
        </w:tc>
        <w:tc>
          <w:tcPr>
            <w:tcW w:w="180" w:type="dxa"/>
            <w:vAlign w:val="bottom"/>
          </w:tcPr>
          <w:p>
            <w:pPr>
              <w:spacing w:after="0"/>
              <w:rPr>
                <w:sz w:val="12"/>
                <w:szCs w:val="12"/>
                <w:color w:val="auto"/>
              </w:rPr>
            </w:pPr>
          </w:p>
        </w:tc>
        <w:tc>
          <w:tcPr>
            <w:tcW w:w="640" w:type="dxa"/>
            <w:vAlign w:val="bottom"/>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2"/>
                <w:szCs w:val="12"/>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 xml:space="preserve">Total </w:t>
            </w:r>
            <w:r>
              <w:rPr>
                <w:rFonts w:ascii="Arial" w:cs="Arial" w:eastAsia="Arial" w:hAnsi="Arial"/>
                <w:sz w:val="13"/>
                <w:szCs w:val="13"/>
                <w:b w:val="1"/>
                <w:bCs w:val="1"/>
                <w:u w:val="single" w:color="auto"/>
                <w:color w:val="auto"/>
                <w:w w:val="94"/>
              </w:rPr>
              <w:t>($</w:t>
            </w:r>
            <w:r>
              <w:rPr>
                <w:rFonts w:ascii="Arial" w:cs="Arial" w:eastAsia="Arial" w:hAnsi="Arial"/>
                <w:sz w:val="13"/>
                <w:szCs w:val="13"/>
                <w:b w:val="1"/>
                <w:bCs w:val="1"/>
                <w:color w:val="auto"/>
                <w:w w:val="94"/>
              </w:rPr>
              <w:t>)</w:t>
            </w:r>
          </w:p>
        </w:tc>
        <w:tc>
          <w:tcPr>
            <w:tcW w:w="0" w:type="dxa"/>
            <w:vAlign w:val="bottom"/>
          </w:tcPr>
          <w:p>
            <w:pPr>
              <w:spacing w:after="0"/>
              <w:rPr>
                <w:sz w:val="1"/>
                <w:szCs w:val="1"/>
                <w:color w:val="auto"/>
              </w:rPr>
            </w:pPr>
          </w:p>
        </w:tc>
      </w:tr>
      <w:tr>
        <w:trPr>
          <w:trHeight w:val="158"/>
        </w:trPr>
        <w:tc>
          <w:tcPr>
            <w:tcW w:w="340" w:type="dxa"/>
            <w:vAlign w:val="bottom"/>
            <w:vMerge w:val="continue"/>
          </w:tcPr>
          <w:p>
            <w:pPr>
              <w:spacing w:after="0"/>
              <w:rPr>
                <w:sz w:val="13"/>
                <w:szCs w:val="13"/>
                <w:color w:val="auto"/>
              </w:rPr>
            </w:pPr>
          </w:p>
        </w:tc>
        <w:tc>
          <w:tcPr>
            <w:tcW w:w="7640" w:type="dxa"/>
            <w:vAlign w:val="bottom"/>
            <w:vMerge w:val="continue"/>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 xml:space="preserve">Cash </w:t>
            </w:r>
            <w:r>
              <w:rPr>
                <w:rFonts w:ascii="Arial" w:cs="Arial" w:eastAsia="Arial" w:hAnsi="Arial"/>
                <w:sz w:val="13"/>
                <w:szCs w:val="13"/>
                <w:b w:val="1"/>
                <w:bCs w:val="1"/>
                <w:u w:val="single" w:color="auto"/>
                <w:color w:val="auto"/>
                <w:w w:val="93"/>
              </w:rPr>
              <w:t>($</w:t>
            </w:r>
            <w:r>
              <w:rPr>
                <w:rFonts w:ascii="Arial" w:cs="Arial" w:eastAsia="Arial" w:hAnsi="Arial"/>
                <w:sz w:val="13"/>
                <w:szCs w:val="13"/>
                <w:b w:val="1"/>
                <w:bCs w:val="1"/>
                <w:color w:val="auto"/>
                <w:w w:val="93"/>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9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Robert Langer Sc.D.</w:t>
            </w:r>
          </w:p>
        </w:tc>
        <w:tc>
          <w:tcPr>
            <w:tcW w:w="700" w:type="dxa"/>
            <w:vAlign w:val="bottom"/>
            <w:gridSpan w:val="3"/>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w w:val="84"/>
              </w:rPr>
              <w:t>$ 25,000</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$ 25,000</w:t>
            </w:r>
          </w:p>
        </w:tc>
        <w:tc>
          <w:tcPr>
            <w:tcW w:w="0" w:type="dxa"/>
            <w:vAlign w:val="bottom"/>
          </w:tcPr>
          <w:p>
            <w:pPr>
              <w:spacing w:after="0"/>
              <w:rPr>
                <w:sz w:val="1"/>
                <w:szCs w:val="1"/>
                <w:color w:val="auto"/>
              </w:rPr>
            </w:pPr>
          </w:p>
        </w:tc>
      </w:tr>
      <w:tr>
        <w:trPr>
          <w:trHeight w:val="201"/>
        </w:trPr>
        <w:tc>
          <w:tcPr>
            <w:tcW w:w="7980" w:type="dxa"/>
            <w:vAlign w:val="bottom"/>
            <w:gridSpan w:val="2"/>
          </w:tcPr>
          <w:p>
            <w:pPr>
              <w:spacing w:after="0"/>
              <w:rPr>
                <w:sz w:val="20"/>
                <w:szCs w:val="20"/>
                <w:color w:val="auto"/>
              </w:rPr>
            </w:pPr>
            <w:r>
              <w:rPr>
                <w:rFonts w:ascii="Arial" w:cs="Arial" w:eastAsia="Arial" w:hAnsi="Arial"/>
                <w:sz w:val="17"/>
                <w:szCs w:val="17"/>
                <w:color w:val="auto"/>
              </w:rPr>
              <w:t>George Whitesides Ph.D.</w:t>
            </w:r>
          </w:p>
        </w:tc>
        <w:tc>
          <w:tcPr>
            <w:tcW w:w="700" w:type="dxa"/>
            <w:vAlign w:val="bottom"/>
            <w:gridSpan w:val="3"/>
          </w:tcPr>
          <w:p>
            <w:pPr>
              <w:jc w:val="right"/>
              <w:ind w:right="120"/>
              <w:spacing w:after="0"/>
              <w:rPr>
                <w:sz w:val="20"/>
                <w:szCs w:val="20"/>
                <w:color w:val="auto"/>
              </w:rPr>
            </w:pPr>
            <w:r>
              <w:rPr>
                <w:rFonts w:ascii="Arial" w:cs="Arial" w:eastAsia="Arial" w:hAnsi="Arial"/>
                <w:sz w:val="17"/>
                <w:szCs w:val="17"/>
                <w:color w:val="auto"/>
                <w:w w:val="84"/>
              </w:rPr>
              <w:t>$ 25,000</w:t>
            </w:r>
          </w:p>
        </w:tc>
        <w:tc>
          <w:tcPr>
            <w:tcW w:w="1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84"/>
              </w:rPr>
              <w:t>$ 25,000</w:t>
            </w:r>
          </w:p>
        </w:tc>
        <w:tc>
          <w:tcPr>
            <w:tcW w:w="0" w:type="dxa"/>
            <w:vAlign w:val="bottom"/>
          </w:tcPr>
          <w:p>
            <w:pPr>
              <w:spacing w:after="0"/>
              <w:rPr>
                <w:sz w:val="1"/>
                <w:szCs w:val="1"/>
                <w:color w:val="auto"/>
              </w:rPr>
            </w:pPr>
          </w:p>
        </w:tc>
      </w:tr>
      <w:tr>
        <w:trPr>
          <w:trHeight w:val="201"/>
        </w:trPr>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Altman</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7980" w:type="dxa"/>
            <w:vAlign w:val="bottom"/>
            <w:gridSpan w:val="2"/>
          </w:tcPr>
          <w:p>
            <w:pPr>
              <w:spacing w:after="0"/>
              <w:rPr>
                <w:sz w:val="20"/>
                <w:szCs w:val="20"/>
                <w:color w:val="auto"/>
              </w:rPr>
            </w:pPr>
            <w:r>
              <w:rPr>
                <w:rFonts w:ascii="Arial" w:cs="Arial" w:eastAsia="Arial" w:hAnsi="Arial"/>
                <w:sz w:val="17"/>
                <w:szCs w:val="17"/>
                <w:color w:val="auto"/>
              </w:rPr>
              <w:t>C. Ann Merrifield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6,904</w:t>
            </w: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w w:val="99"/>
              </w:rPr>
              <w:t>$ 22,911</w:t>
            </w:r>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84"/>
              </w:rPr>
              <w:t>$ 29,815</w:t>
            </w:r>
          </w:p>
        </w:tc>
        <w:tc>
          <w:tcPr>
            <w:tcW w:w="0" w:type="dxa"/>
            <w:vAlign w:val="bottom"/>
          </w:tcPr>
          <w:p>
            <w:pPr>
              <w:spacing w:after="0"/>
              <w:rPr>
                <w:sz w:val="1"/>
                <w:szCs w:val="1"/>
                <w:color w:val="auto"/>
              </w:rPr>
            </w:pPr>
          </w:p>
        </w:tc>
      </w:tr>
      <w:tr>
        <w:trPr>
          <w:trHeight w:val="201"/>
        </w:trPr>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Edward Anderson</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7980" w:type="dxa"/>
            <w:vAlign w:val="bottom"/>
            <w:gridSpan w:val="2"/>
          </w:tcPr>
          <w:p>
            <w:pPr>
              <w:spacing w:after="0"/>
              <w:rPr>
                <w:sz w:val="20"/>
                <w:szCs w:val="20"/>
                <w:color w:val="auto"/>
              </w:rPr>
            </w:pPr>
            <w:r>
              <w:rPr>
                <w:rFonts w:ascii="Arial" w:cs="Arial" w:eastAsia="Arial" w:hAnsi="Arial"/>
                <w:sz w:val="17"/>
                <w:szCs w:val="17"/>
                <w:color w:val="auto"/>
              </w:rPr>
              <w:t>W. Bradford Smith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2,356</w:t>
            </w:r>
          </w:p>
        </w:tc>
        <w:tc>
          <w:tcPr>
            <w:tcW w:w="1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8"/>
              </w:rPr>
              <w:t>$ 2,356</w:t>
            </w:r>
          </w:p>
        </w:tc>
        <w:tc>
          <w:tcPr>
            <w:tcW w:w="0" w:type="dxa"/>
            <w:vAlign w:val="bottom"/>
          </w:tcPr>
          <w:p>
            <w:pPr>
              <w:spacing w:after="0"/>
              <w:rPr>
                <w:sz w:val="1"/>
                <w:szCs w:val="1"/>
                <w:color w:val="auto"/>
              </w:rPr>
            </w:pPr>
          </w:p>
        </w:tc>
      </w:tr>
      <w:tr>
        <w:trPr>
          <w:trHeight w:val="201"/>
        </w:trPr>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Konstantin Poukalov</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80010</wp:posOffset>
            </wp:positionV>
            <wp:extent cx="7175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43" w:lineRule="exact"/>
        <w:rPr>
          <w:sz w:val="20"/>
          <w:szCs w:val="20"/>
          <w:color w:val="auto"/>
        </w:rPr>
      </w:pPr>
    </w:p>
    <w:p>
      <w:pPr>
        <w:jc w:val="both"/>
        <w:ind w:left="900" w:hanging="397"/>
        <w:spacing w:after="0" w:line="307" w:lineRule="auto"/>
        <w:tabs>
          <w:tab w:leader="none" w:pos="9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Amounts reflect the full grant-date fair value of stock awards and stock options granted during 2019 computed in accordance with ASC Topic 718, rather than the amounts paid to or realized by the named individual. We provide information regarding the assumptions used to calculate the value of all stock awards and option awards made to our directors in Note 8 to the consolidated financial statements included in this prospectus.</w:t>
      </w:r>
    </w:p>
    <w:p>
      <w:pPr>
        <w:spacing w:after="0" w:line="141" w:lineRule="exact"/>
        <w:rPr>
          <w:sz w:val="20"/>
          <w:szCs w:val="20"/>
          <w:color w:val="auto"/>
        </w:rPr>
      </w:pPr>
    </w:p>
    <w:p>
      <w:pPr>
        <w:ind w:left="500" w:right="100" w:firstLine="819"/>
        <w:spacing w:after="0" w:line="257" w:lineRule="auto"/>
        <w:rPr>
          <w:sz w:val="20"/>
          <w:szCs w:val="20"/>
          <w:color w:val="auto"/>
        </w:rPr>
      </w:pPr>
      <w:r>
        <w:rPr>
          <w:rFonts w:ascii="Arial" w:cs="Arial" w:eastAsia="Arial" w:hAnsi="Arial"/>
          <w:sz w:val="17"/>
          <w:szCs w:val="17"/>
          <w:color w:val="auto"/>
        </w:rPr>
        <w:t>The table below shows the aggregate numbers of option awards (exercisable and unexercisable) held as of December 31, 2019 by each non-employee director who was serving as of December 31, 2019. None of our non-employee directors held unvested stock awards as of December 31, 2019.</w:t>
      </w:r>
    </w:p>
    <w:p>
      <w:pPr>
        <w:spacing w:after="0" w:line="181"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Options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20" w:type="dxa"/>
            <w:vAlign w:val="bottom"/>
            <w:gridSpan w:val="3"/>
          </w:tcPr>
          <w:p>
            <w:pPr>
              <w:jc w:val="center"/>
              <w:ind w:left="2301"/>
              <w:spacing w:after="0" w:line="138" w:lineRule="exact"/>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38"/>
        </w:trPr>
        <w:tc>
          <w:tcPr>
            <w:tcW w:w="41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2440" w:type="dxa"/>
            <w:vAlign w:val="bottom"/>
          </w:tcPr>
          <w:p>
            <w:pPr>
              <w:spacing w:after="0"/>
              <w:rPr>
                <w:sz w:val="12"/>
                <w:szCs w:val="12"/>
                <w:color w:val="auto"/>
              </w:rPr>
            </w:pPr>
          </w:p>
        </w:tc>
        <w:tc>
          <w:tcPr>
            <w:tcW w:w="78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2"/>
              </w:rPr>
              <w:t>at Fiscal</w:t>
            </w:r>
          </w:p>
        </w:tc>
        <w:tc>
          <w:tcPr>
            <w:tcW w:w="0" w:type="dxa"/>
            <w:vAlign w:val="bottom"/>
          </w:tcPr>
          <w:p>
            <w:pPr>
              <w:spacing w:after="0"/>
              <w:rPr>
                <w:sz w:val="1"/>
                <w:szCs w:val="1"/>
                <w:color w:val="auto"/>
              </w:rPr>
            </w:pPr>
          </w:p>
        </w:tc>
      </w:tr>
      <w:tr>
        <w:trPr>
          <w:trHeight w:val="158"/>
        </w:trPr>
        <w:tc>
          <w:tcPr>
            <w:tcW w:w="41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Year 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41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Robert Langer Sc.D.</w:t>
            </w:r>
          </w:p>
        </w:tc>
        <w:tc>
          <w:tcPr>
            <w:tcW w:w="3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107,084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George Whitesides Ph.D.</w:t>
            </w:r>
          </w:p>
        </w:tc>
        <w:tc>
          <w:tcPr>
            <w:tcW w:w="3160" w:type="dxa"/>
            <w:vAlign w:val="bottom"/>
            <w:gridSpan w:val="2"/>
          </w:tcPr>
          <w:p>
            <w:pPr>
              <w:jc w:val="right"/>
              <w:spacing w:after="0"/>
              <w:rPr>
                <w:sz w:val="20"/>
                <w:szCs w:val="20"/>
                <w:color w:val="auto"/>
              </w:rPr>
            </w:pPr>
            <w:r>
              <w:rPr>
                <w:rFonts w:ascii="Arial" w:cs="Arial" w:eastAsia="Arial" w:hAnsi="Arial"/>
                <w:sz w:val="17"/>
                <w:szCs w:val="17"/>
                <w:color w:val="auto"/>
              </w:rPr>
              <w:t>92,585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Altman</w:t>
            </w:r>
          </w:p>
        </w:tc>
        <w:tc>
          <w:tcPr>
            <w:tcW w:w="2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C. Ann Merrifield</w:t>
            </w:r>
          </w:p>
        </w:tc>
        <w:tc>
          <w:tcPr>
            <w:tcW w:w="3160" w:type="dxa"/>
            <w:vAlign w:val="bottom"/>
            <w:gridSpan w:val="2"/>
          </w:tcPr>
          <w:p>
            <w:pPr>
              <w:jc w:val="right"/>
              <w:spacing w:after="0"/>
              <w:rPr>
                <w:sz w:val="20"/>
                <w:szCs w:val="20"/>
                <w:color w:val="auto"/>
              </w:rPr>
            </w:pPr>
            <w:r>
              <w:rPr>
                <w:rFonts w:ascii="Arial" w:cs="Arial" w:eastAsia="Arial" w:hAnsi="Arial"/>
                <w:sz w:val="17"/>
                <w:szCs w:val="17"/>
                <w:color w:val="auto"/>
              </w:rPr>
              <w:t>3,479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Edward Anderson</w:t>
            </w:r>
          </w:p>
        </w:tc>
        <w:tc>
          <w:tcPr>
            <w:tcW w:w="2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W. Bradford Smith</w:t>
            </w:r>
          </w:p>
        </w:tc>
        <w:tc>
          <w:tcPr>
            <w:tcW w:w="24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Konstantin Poukalov</w:t>
            </w:r>
          </w:p>
        </w:tc>
        <w:tc>
          <w:tcPr>
            <w:tcW w:w="2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Non-Employee Director Compensation Program</w:t>
      </w:r>
    </w:p>
    <w:p>
      <w:pPr>
        <w:spacing w:after="0" w:line="206"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Effective on the effectiveness of the registration statement of which this prospectus forms a part, we adopted, and our stockholders approved, a compensation program for our non-employee directors under which each non-employee director will receive the following amounts for their services on our board of directors:</w:t>
      </w:r>
    </w:p>
    <w:p>
      <w:pPr>
        <w:spacing w:after="0" w:line="201" w:lineRule="exact"/>
        <w:rPr>
          <w:sz w:val="20"/>
          <w:szCs w:val="20"/>
          <w:color w:val="auto"/>
        </w:rPr>
      </w:pPr>
    </w:p>
    <w:p>
      <w:pPr>
        <w:ind w:left="1720" w:right="260" w:hanging="301"/>
        <w:spacing w:after="0" w:line="268" w:lineRule="auto"/>
        <w:tabs>
          <w:tab w:leader="none" w:pos="17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Upon the director’s initial election or appointment to our board of directors that occurs after our initial public offering, an option to purchase 14,500 shares of our common stock;</w:t>
      </w:r>
    </w:p>
    <w:p>
      <w:pPr>
        <w:spacing w:after="0" w:line="191" w:lineRule="exact"/>
        <w:rPr>
          <w:rFonts w:ascii="Arial" w:cs="Arial" w:eastAsia="Arial" w:hAnsi="Arial"/>
          <w:sz w:val="17"/>
          <w:szCs w:val="17"/>
          <w:color w:val="auto"/>
        </w:rPr>
      </w:pPr>
    </w:p>
    <w:p>
      <w:pPr>
        <w:ind w:left="1720" w:right="100" w:hanging="301"/>
        <w:spacing w:after="0" w:line="257" w:lineRule="auto"/>
        <w:tabs>
          <w:tab w:leader="none" w:pos="17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director has served on our board of directors for at least six months as of the date of an annual meeting of stockholders and will continue to serve as a director immediately following such meeting, an option to purchase 7,250 shares of our common stock on the date of the annual meeting;</w:t>
      </w:r>
    </w:p>
    <w:p>
      <w:pPr>
        <w:spacing w:after="0" w:line="200" w:lineRule="exact"/>
        <w:rPr>
          <w:rFonts w:ascii="Arial" w:cs="Arial" w:eastAsia="Arial" w:hAnsi="Arial"/>
          <w:sz w:val="17"/>
          <w:szCs w:val="17"/>
          <w:color w:val="auto"/>
        </w:rPr>
      </w:pPr>
    </w:p>
    <w:p>
      <w:pPr>
        <w:ind w:left="1720" w:hanging="301"/>
        <w:spacing w:after="0"/>
        <w:tabs>
          <w:tab w:leader="none" w:pos="17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 annual director fee of $40,000;</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740"/>
          </w:cols>
          <w:pgMar w:left="320" w:top="438" w:right="8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360" w:hanging="301"/>
        <w:spacing w:after="0" w:line="268" w:lineRule="auto"/>
        <w:tabs>
          <w:tab w:leader="none" w:pos="17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the director serves as lead independent director or chair or on a committee of our board of directors, an additional annual fee as follows:</w:t>
      </w:r>
    </w:p>
    <w:p>
      <w:pPr>
        <w:spacing w:after="0" w:line="191" w:lineRule="exact"/>
        <w:rPr>
          <w:rFonts w:ascii="Arial" w:cs="Arial" w:eastAsia="Arial" w:hAnsi="Arial"/>
          <w:sz w:val="17"/>
          <w:szCs w:val="17"/>
          <w:color w:val="auto"/>
        </w:rPr>
      </w:pPr>
    </w:p>
    <w:p>
      <w:pPr>
        <w:ind w:left="2020" w:hanging="300"/>
        <w:spacing w:after="0"/>
        <w:tabs>
          <w:tab w:leader="none" w:pos="20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Chair of the board or lead independent director: $25,000;</w:t>
      </w:r>
    </w:p>
    <w:p>
      <w:pPr>
        <w:spacing w:after="0" w:line="231" w:lineRule="exact"/>
        <w:rPr>
          <w:rFonts w:ascii="Arial" w:cs="Arial" w:eastAsia="Arial" w:hAnsi="Arial"/>
          <w:sz w:val="17"/>
          <w:szCs w:val="17"/>
          <w:color w:val="auto"/>
        </w:rPr>
      </w:pPr>
    </w:p>
    <w:p>
      <w:pPr>
        <w:ind w:left="2020" w:hanging="300"/>
        <w:spacing w:after="0"/>
        <w:tabs>
          <w:tab w:leader="none" w:pos="20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Chair of the audit committee: $20,000;</w:t>
      </w:r>
    </w:p>
    <w:p>
      <w:pPr>
        <w:spacing w:after="0" w:line="231" w:lineRule="exact"/>
        <w:rPr>
          <w:rFonts w:ascii="Arial" w:cs="Arial" w:eastAsia="Arial" w:hAnsi="Arial"/>
          <w:sz w:val="17"/>
          <w:szCs w:val="17"/>
          <w:color w:val="auto"/>
        </w:rPr>
      </w:pPr>
    </w:p>
    <w:p>
      <w:pPr>
        <w:ind w:left="2020" w:hanging="300"/>
        <w:spacing w:after="0"/>
        <w:tabs>
          <w:tab w:leader="none" w:pos="20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Audit committee member other than the chair, $7,500;</w:t>
      </w:r>
    </w:p>
    <w:p>
      <w:pPr>
        <w:spacing w:after="0" w:line="231" w:lineRule="exact"/>
        <w:rPr>
          <w:rFonts w:ascii="Arial" w:cs="Arial" w:eastAsia="Arial" w:hAnsi="Arial"/>
          <w:sz w:val="17"/>
          <w:szCs w:val="17"/>
          <w:color w:val="auto"/>
        </w:rPr>
      </w:pPr>
    </w:p>
    <w:p>
      <w:pPr>
        <w:ind w:left="2020" w:hanging="300"/>
        <w:spacing w:after="0"/>
        <w:tabs>
          <w:tab w:leader="none" w:pos="20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Chair of the compensation committee, $15,000;</w:t>
      </w:r>
    </w:p>
    <w:p>
      <w:pPr>
        <w:spacing w:after="0" w:line="231" w:lineRule="exact"/>
        <w:rPr>
          <w:rFonts w:ascii="Arial" w:cs="Arial" w:eastAsia="Arial" w:hAnsi="Arial"/>
          <w:sz w:val="17"/>
          <w:szCs w:val="17"/>
          <w:color w:val="auto"/>
        </w:rPr>
      </w:pPr>
    </w:p>
    <w:p>
      <w:pPr>
        <w:ind w:left="2020" w:hanging="300"/>
        <w:spacing w:after="0"/>
        <w:tabs>
          <w:tab w:leader="none" w:pos="20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Compensation committee member other than the chair, $5,000;</w:t>
      </w:r>
    </w:p>
    <w:p>
      <w:pPr>
        <w:spacing w:after="0" w:line="231" w:lineRule="exact"/>
        <w:rPr>
          <w:rFonts w:ascii="Arial" w:cs="Arial" w:eastAsia="Arial" w:hAnsi="Arial"/>
          <w:sz w:val="17"/>
          <w:szCs w:val="17"/>
          <w:color w:val="auto"/>
        </w:rPr>
      </w:pPr>
    </w:p>
    <w:p>
      <w:pPr>
        <w:ind w:left="2020" w:hanging="300"/>
        <w:spacing w:after="0"/>
        <w:tabs>
          <w:tab w:leader="none" w:pos="20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Chair of the nominating and corporate governance committee, $8,000; and</w:t>
      </w:r>
    </w:p>
    <w:p>
      <w:pPr>
        <w:spacing w:after="0" w:line="231" w:lineRule="exact"/>
        <w:rPr>
          <w:rFonts w:ascii="Arial" w:cs="Arial" w:eastAsia="Arial" w:hAnsi="Arial"/>
          <w:sz w:val="17"/>
          <w:szCs w:val="17"/>
          <w:color w:val="auto"/>
        </w:rPr>
      </w:pPr>
    </w:p>
    <w:p>
      <w:pPr>
        <w:ind w:left="2020" w:hanging="300"/>
        <w:spacing w:after="0"/>
        <w:tabs>
          <w:tab w:leader="none" w:pos="20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Nominating and corporate governance committee member other than the chair, $4,000.</w:t>
      </w:r>
    </w:p>
    <w:p>
      <w:pPr>
        <w:spacing w:after="0" w:line="206" w:lineRule="exact"/>
        <w:rPr>
          <w:sz w:val="20"/>
          <w:szCs w:val="20"/>
          <w:color w:val="auto"/>
        </w:rPr>
      </w:pPr>
    </w:p>
    <w:p>
      <w:pPr>
        <w:ind w:left="500" w:firstLine="819"/>
        <w:spacing w:after="0" w:line="307" w:lineRule="auto"/>
        <w:rPr>
          <w:sz w:val="20"/>
          <w:szCs w:val="20"/>
          <w:color w:val="auto"/>
        </w:rPr>
      </w:pPr>
      <w:r>
        <w:rPr>
          <w:rFonts w:ascii="Arial" w:cs="Arial" w:eastAsia="Arial" w:hAnsi="Arial"/>
          <w:sz w:val="15"/>
          <w:szCs w:val="15"/>
          <w:color w:val="auto"/>
        </w:rPr>
        <w:t>Director fees under the program will be payable in arrears in four equal quarterly installments not later than the fifteenth day following the final day of each calendar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41" w:lineRule="exact"/>
        <w:rPr>
          <w:sz w:val="20"/>
          <w:szCs w:val="20"/>
          <w:color w:val="auto"/>
        </w:rPr>
      </w:pPr>
    </w:p>
    <w:p>
      <w:pPr>
        <w:ind w:left="500" w:right="40" w:firstLine="819"/>
        <w:spacing w:after="0" w:line="271" w:lineRule="auto"/>
        <w:rPr>
          <w:sz w:val="20"/>
          <w:szCs w:val="20"/>
          <w:color w:val="auto"/>
        </w:rPr>
      </w:pPr>
      <w:r>
        <w:rPr>
          <w:rFonts w:ascii="Arial" w:cs="Arial" w:eastAsia="Arial" w:hAnsi="Arial"/>
          <w:sz w:val="16"/>
          <w:szCs w:val="16"/>
          <w:color w:val="auto"/>
        </w:rPr>
        <w:t>Stock options granted to our non-employee directors under the program will have an exercise price equal to the fair market value of our common stock on the date of grant and will expire not later than ten years after the date of grant. The stock options granted upon a director’s initial election or appointment will vest in 36 substantially equal monthly installments following the date of grant. The stock options granted annually to directors will vest in a single installment on the earlier of the day before the next annual meeting or the first anniversary of the date of grant. In addition, all unvested stock options will vest in full upon the occurrence of a change in control.</w:t>
      </w:r>
    </w:p>
    <w:p>
      <w:pPr>
        <w:spacing w:after="0" w:line="166"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IPO Grants to Non-Employee Directors under the 2020 Plan</w:t>
      </w:r>
    </w:p>
    <w:p>
      <w:pPr>
        <w:spacing w:after="0" w:line="206" w:lineRule="exact"/>
        <w:rPr>
          <w:sz w:val="20"/>
          <w:szCs w:val="20"/>
          <w:color w:val="auto"/>
        </w:rPr>
      </w:pPr>
    </w:p>
    <w:p>
      <w:pPr>
        <w:jc w:val="both"/>
        <w:ind w:left="500" w:firstLine="819"/>
        <w:spacing w:after="0" w:line="285" w:lineRule="auto"/>
        <w:rPr>
          <w:sz w:val="20"/>
          <w:szCs w:val="20"/>
          <w:color w:val="auto"/>
        </w:rPr>
      </w:pPr>
      <w:r>
        <w:rPr>
          <w:rFonts w:ascii="Arial" w:cs="Arial" w:eastAsia="Arial" w:hAnsi="Arial"/>
          <w:sz w:val="15"/>
          <w:szCs w:val="15"/>
          <w:color w:val="auto"/>
        </w:rPr>
        <w:t>Effective on the effectiveness of the registration statement of which this prospectus forms a part, our board of directors approved the grant to each of Michael Altman, Edward Anderson, Robert Langer, Sc.D., Konstantin Poukalov and George Whitesides, Ph.D. of an option under the 2020 Plan to purchase 14,500 shares of our common stock at an exercise price per share equal to the initial public offering price per share of our common stock.</w:t>
      </w:r>
    </w:p>
    <w:p>
      <w:pPr>
        <w:ind w:left="500" w:right="340"/>
        <w:spacing w:after="0" w:line="253" w:lineRule="auto"/>
        <w:rPr>
          <w:sz w:val="20"/>
          <w:szCs w:val="20"/>
          <w:color w:val="auto"/>
        </w:rPr>
      </w:pPr>
      <w:r>
        <w:rPr>
          <w:rFonts w:ascii="Arial" w:cs="Arial" w:eastAsia="Arial" w:hAnsi="Arial"/>
          <w:sz w:val="17"/>
          <w:szCs w:val="17"/>
          <w:color w:val="auto"/>
        </w:rPr>
        <w:t>Each option will vest in 36 substantially equal monthly installments following the date of grant, subject to such director’s continued service through each applicable vesting date and accelerated vesting upon a change in control.</w:t>
      </w:r>
    </w:p>
    <w:p>
      <w:pPr>
        <w:spacing w:after="0" w:line="178"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auto"/>
        </w:rPr>
        <w:t>Whitesides Stock Award</w:t>
      </w:r>
    </w:p>
    <w:p>
      <w:pPr>
        <w:spacing w:after="0" w:line="206"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In connection with this offering, our board of directors granted to George Whitesides an award of such number of fully vested shares of common stock equal to $314,580 divided by the initial public offering price per share, which, based on an assumed initial public offering price of $15.00 per share, the midpoint of the price range set forth on the cover of this prospectus, would result in the issuance of 20,972 shares of our common stock upon the closing of this offering. The grant of the award will be effective as of the effectiveness of the registration statement on Form S-8 registering the issuance of the shares subject to the award.</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Incentive Compensation Plans</w:t>
      </w:r>
    </w:p>
    <w:p>
      <w:pPr>
        <w:spacing w:after="0" w:line="210" w:lineRule="exact"/>
        <w:rPr>
          <w:sz w:val="20"/>
          <w:szCs w:val="20"/>
          <w:color w:val="auto"/>
        </w:rPr>
      </w:pPr>
    </w:p>
    <w:p>
      <w:pPr>
        <w:ind w:left="500" w:right="500" w:firstLine="819"/>
        <w:spacing w:after="0" w:line="257" w:lineRule="auto"/>
        <w:rPr>
          <w:sz w:val="20"/>
          <w:szCs w:val="20"/>
          <w:color w:val="auto"/>
        </w:rPr>
      </w:pPr>
      <w:r>
        <w:rPr>
          <w:rFonts w:ascii="Arial" w:cs="Arial" w:eastAsia="Arial" w:hAnsi="Arial"/>
          <w:sz w:val="17"/>
          <w:szCs w:val="17"/>
          <w:color w:val="auto"/>
        </w:rPr>
        <w:t>The following summarizes the material terms of 2020 Plan and the 2020 Employee Stock Purchase Plan, which will be the long-term incentive compensation plans in which our directors and named executive officers are eligible to participate following the consummation of this offering, and the 2016 Plan, under which</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740"/>
          </w:cols>
          <w:pgMar w:left="320" w:top="437" w:right="8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previously made periodic grants of equity and equity-based awards to our directors and named executive officers.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2020 Incentive Award Plan</w:t>
      </w:r>
    </w:p>
    <w:p>
      <w:pPr>
        <w:spacing w:after="0" w:line="210" w:lineRule="exact"/>
        <w:rPr>
          <w:sz w:val="20"/>
          <w:szCs w:val="20"/>
          <w:color w:val="auto"/>
        </w:rPr>
      </w:pPr>
    </w:p>
    <w:p>
      <w:pPr>
        <w:ind w:left="500" w:right="20" w:firstLine="819"/>
        <w:spacing w:after="0" w:line="280" w:lineRule="auto"/>
        <w:rPr>
          <w:sz w:val="20"/>
          <w:szCs w:val="20"/>
          <w:color w:val="auto"/>
        </w:rPr>
      </w:pPr>
      <w:r>
        <w:rPr>
          <w:rFonts w:ascii="Arial" w:cs="Arial" w:eastAsia="Arial" w:hAnsi="Arial"/>
          <w:sz w:val="16"/>
          <w:szCs w:val="16"/>
          <w:color w:val="auto"/>
        </w:rPr>
        <w:t>Effective the day prior to the first public trading date of our common stock, we intend to adopt and ask our stockholders to approve the 2020 Plan, under which we may grant cash and equity-based incentive awards to eligible service providers in order to attract, retain and motivate the persons who make important contributions to our company. The material terms of the 2020 Plan are summarized below.</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Eligibility and Administration</w:t>
      </w:r>
    </w:p>
    <w:p>
      <w:pPr>
        <w:spacing w:after="0" w:line="206" w:lineRule="exact"/>
        <w:rPr>
          <w:sz w:val="20"/>
          <w:szCs w:val="20"/>
          <w:color w:val="auto"/>
        </w:rPr>
      </w:pPr>
    </w:p>
    <w:p>
      <w:pPr>
        <w:ind w:left="500" w:right="160" w:firstLine="819"/>
        <w:spacing w:after="0" w:line="267" w:lineRule="auto"/>
        <w:rPr>
          <w:sz w:val="20"/>
          <w:szCs w:val="20"/>
          <w:color w:val="auto"/>
        </w:rPr>
      </w:pPr>
      <w:r>
        <w:rPr>
          <w:rFonts w:ascii="Arial" w:cs="Arial" w:eastAsia="Arial" w:hAnsi="Arial"/>
          <w:sz w:val="16"/>
          <w:szCs w:val="16"/>
          <w:color w:val="auto"/>
        </w:rPr>
        <w:t>Our employees, consultants and directors, and employees and consultants of our subsidiaries, will be eligible to receive awards under the 2020 Plan. The 2020 Plan will be administered by our board of directors, which may delegate its duties and responsibilities to one or more committees of our directors and/or officers (referred to collectively as the plan administrator below), subject to the limitations imposed under the 2020 Plan, Section 16 of the Exchange Act, stock exchange rules and other applicable laws. The plan administrator will have the authority to take all actions and make all determinations under the 2020 Plan, to interpret the 2020 Plan and award agreements and to adopt, amend and repeal rules for the administration of the 2020 Plan as it deems advisable. The plan administrator will also have the authority to grant awards, determine which eligible service providers receive awards and set the terms and conditions of all awards under the 2020 Plan, including any vesting and vesting acceleration provisions, subject to the conditions and limitations in the 2020 Plan.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Shares Available for Awards</w:t>
      </w:r>
    </w:p>
    <w:p>
      <w:pPr>
        <w:spacing w:after="0" w:line="206" w:lineRule="exact"/>
        <w:rPr>
          <w:sz w:val="20"/>
          <w:szCs w:val="20"/>
          <w:color w:val="auto"/>
        </w:rPr>
      </w:pPr>
    </w:p>
    <w:p>
      <w:pPr>
        <w:ind w:left="500" w:right="40" w:firstLine="819"/>
        <w:spacing w:after="0" w:line="250" w:lineRule="auto"/>
        <w:rPr>
          <w:sz w:val="20"/>
          <w:szCs w:val="20"/>
          <w:color w:val="auto"/>
        </w:rPr>
      </w:pPr>
      <w:r>
        <w:rPr>
          <w:rFonts w:ascii="Arial" w:cs="Arial" w:eastAsia="Arial" w:hAnsi="Arial"/>
          <w:sz w:val="17"/>
          <w:szCs w:val="17"/>
          <w:color w:val="auto"/>
        </w:rPr>
        <w:t>An aggregate of 2,100,000 shares of our common stock will initially be available for issuance under the 2020 Plan. The number of shares initially available for issuance will be increased by an annual increase on January 1 of each calendar year beginning in 2021 and ending in and including 2030, equal to the lesser of (A) 4% of the shares of common stock outstanding on the final day of the immediately preceding calendar year and (B) a smaller number of shares determined by our board of directors. No more than 8,800,000 shares of common stock may be issued under the 2020 Plan upon the exercise of incentive stock options. Shares issued under the 2020 Plan may be authorized but unissued shares, shares purchased on the open market or treasury shares.</w:t>
      </w:r>
    </w:p>
    <w:p>
      <w:pPr>
        <w:spacing w:after="0" w:line="184" w:lineRule="exact"/>
        <w:rPr>
          <w:sz w:val="20"/>
          <w:szCs w:val="20"/>
          <w:color w:val="auto"/>
        </w:rPr>
      </w:pPr>
    </w:p>
    <w:p>
      <w:pPr>
        <w:ind w:left="500" w:right="60" w:firstLine="819"/>
        <w:spacing w:after="0" w:line="293" w:lineRule="auto"/>
        <w:rPr>
          <w:sz w:val="20"/>
          <w:szCs w:val="20"/>
          <w:color w:val="auto"/>
        </w:rPr>
      </w:pPr>
      <w:r>
        <w:rPr>
          <w:rFonts w:ascii="Arial" w:cs="Arial" w:eastAsia="Arial" w:hAnsi="Arial"/>
          <w:sz w:val="15"/>
          <w:szCs w:val="15"/>
          <w:color w:val="auto"/>
        </w:rPr>
        <w:t>If an award under the 2020 Plan or the 2016 Plan, expires, lapses or is terminated, exchanged for cash, surrendered, repurchased, canceled without having been fully exercised or forfeited, any unused shares subject to the award will, as applicable, become or again be available for new grants under the 2020 Plan. Awards granted under the 2020 Plan in substitution for any options or other stock or stock-based awards granted by an entity before the entity’s merger or consolidation with us or our acquisition of the entity’s property or stock will not reduce the shares available for grant under the 2020 Plan, but may count against the maximum number of shares that may be issued upon the exercise of incentive stock options, or ISOs.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Awards</w:t>
      </w:r>
    </w:p>
    <w:p>
      <w:pPr>
        <w:spacing w:after="0" w:line="206"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The 2020 Plan provides for the grant of stock options, including ISOs, and nonqualified stock options, or NSOs, stock appreciation rights, or SARs, restricted stock, dividend equivalents, restricted stock units, or RSUs, and other stock or cash based awards. Certain awards under the 2020 Plan may constitute or provide for payment of “nonqualified deferred compensation” under Section 409A of the Code. All awards under the 2020 Plan will be set forth in award agreements, which will detail the terms and conditions of awards, including any applicable vesting and payment terms and post-termination exercise limitations. A brief description of each award type follows.</w:t>
      </w:r>
    </w:p>
    <w:p>
      <w:pPr>
        <w:spacing w:after="0" w:line="191" w:lineRule="exact"/>
        <w:rPr>
          <w:sz w:val="20"/>
          <w:szCs w:val="20"/>
          <w:color w:val="auto"/>
        </w:rPr>
      </w:pPr>
    </w:p>
    <w:p>
      <w:pPr>
        <w:ind w:left="1720" w:right="160" w:hanging="301"/>
        <w:spacing w:after="0" w:line="257" w:lineRule="auto"/>
        <w:tabs>
          <w:tab w:leader="none" w:pos="17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Stock Options and SARs. Stock options provide for the purchase of shares of our common stock in the future at an exercise price set on the grant date. ISOs, by contrast to NSOs, may provide tax deferral beyond exercise and favorable capital gains tax treatment to their holders if certain holding</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740"/>
          </w:cols>
          <w:pgMar w:left="320" w:top="437" w:right="8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right="60"/>
        <w:spacing w:after="0" w:line="288" w:lineRule="auto"/>
        <w:rPr>
          <w:sz w:val="20"/>
          <w:szCs w:val="20"/>
          <w:color w:val="auto"/>
        </w:rPr>
      </w:pPr>
      <w:r>
        <w:rPr>
          <w:rFonts w:ascii="Arial" w:cs="Arial" w:eastAsia="Arial" w:hAnsi="Arial"/>
          <w:sz w:val="15"/>
          <w:szCs w:val="15"/>
          <w:color w:val="auto"/>
        </w:rPr>
        <w:t>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183" w:lineRule="exact"/>
        <w:rPr>
          <w:sz w:val="20"/>
          <w:szCs w:val="20"/>
          <w:color w:val="auto"/>
        </w:rPr>
      </w:pPr>
    </w:p>
    <w:p>
      <w:pPr>
        <w:ind w:left="1720" w:right="40" w:hanging="301"/>
        <w:spacing w:after="0" w:line="288" w:lineRule="auto"/>
        <w:tabs>
          <w:tab w:leader="none" w:pos="172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Restricted Stock and RSUs.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2020 Plan.</w:t>
      </w:r>
    </w:p>
    <w:p>
      <w:pPr>
        <w:spacing w:after="0" w:line="182" w:lineRule="exact"/>
        <w:rPr>
          <w:rFonts w:ascii="Arial" w:cs="Arial" w:eastAsia="Arial" w:hAnsi="Arial"/>
          <w:sz w:val="15"/>
          <w:szCs w:val="15"/>
          <w:color w:val="auto"/>
        </w:rPr>
      </w:pPr>
    </w:p>
    <w:p>
      <w:pPr>
        <w:ind w:left="1720" w:right="220" w:hanging="301"/>
        <w:spacing w:after="0" w:line="269" w:lineRule="auto"/>
        <w:tabs>
          <w:tab w:leader="none" w:pos="17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Other Stock or Cash Based Awards. Other stock or cash based awards are awards of cash, fully vested shares of our common stock and other awards valued wholly or partially by referring to, or otherwise based on, shares of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Performance Criteria</w:t>
      </w:r>
    </w:p>
    <w:p>
      <w:pPr>
        <w:spacing w:after="0" w:line="206" w:lineRule="exact"/>
        <w:rPr>
          <w:sz w:val="20"/>
          <w:szCs w:val="20"/>
          <w:color w:val="auto"/>
        </w:rPr>
      </w:pPr>
    </w:p>
    <w:p>
      <w:pPr>
        <w:ind w:left="500" w:firstLine="819"/>
        <w:spacing w:after="0" w:line="282" w:lineRule="auto"/>
        <w:rPr>
          <w:sz w:val="20"/>
          <w:szCs w:val="20"/>
          <w:color w:val="auto"/>
        </w:rPr>
      </w:pPr>
      <w:r>
        <w:rPr>
          <w:rFonts w:ascii="Arial" w:cs="Arial" w:eastAsia="Arial" w:hAnsi="Arial"/>
          <w:sz w:val="15"/>
          <w:szCs w:val="15"/>
          <w:color w:val="auto"/>
        </w:rPr>
        <w:t>The plan administrator may select performance criteria for an award to establish performance goals for a performance period. Performance criteria under the 2020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0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720"/>
          </w:cols>
          <w:pgMar w:left="320" w:top="437" w:right="85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00"/>
        <w:spacing w:after="0" w:line="253" w:lineRule="auto"/>
        <w:rPr>
          <w:sz w:val="20"/>
          <w:szCs w:val="20"/>
          <w:color w:val="auto"/>
        </w:rPr>
      </w:pPr>
      <w:r>
        <w:rPr>
          <w:rFonts w:ascii="Arial" w:cs="Arial" w:eastAsia="Arial" w:hAnsi="Arial"/>
          <w:sz w:val="17"/>
          <w:szCs w:val="17"/>
          <w:color w:val="auto"/>
        </w:rPr>
        <w:t>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Certain Transactions</w:t>
      </w:r>
    </w:p>
    <w:p>
      <w:pPr>
        <w:spacing w:after="0" w:line="206" w:lineRule="exact"/>
        <w:rPr>
          <w:sz w:val="20"/>
          <w:szCs w:val="20"/>
          <w:color w:val="auto"/>
        </w:rPr>
      </w:pPr>
    </w:p>
    <w:p>
      <w:pPr>
        <w:ind w:left="500" w:right="20" w:firstLine="819"/>
        <w:spacing w:after="0" w:line="288" w:lineRule="auto"/>
        <w:rPr>
          <w:sz w:val="20"/>
          <w:szCs w:val="20"/>
          <w:color w:val="auto"/>
        </w:rPr>
      </w:pPr>
      <w:r>
        <w:rPr>
          <w:rFonts w:ascii="Arial" w:cs="Arial" w:eastAsia="Arial" w:hAnsi="Arial"/>
          <w:sz w:val="15"/>
          <w:szCs w:val="15"/>
          <w:color w:val="auto"/>
        </w:rPr>
        <w:t>In connection with certain corporate transactions and events affecting our common stock, including a change in control, or change in any applicable laws or accounting principles, the plan administrator has broad discretion to take action under the 2020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2020 Plan and replacing or terminating awards under the 2020 Plan. In addition, in the event of certain non-reciprocal transactions with our stockholders, the plan administrator will make equitable adjustments to awards outstanding under the 2020 Plan as it deems appropriate to reflect the transaction.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Provisions of the 2020 Plan Relating to Director Compensation.</w:t>
      </w:r>
    </w:p>
    <w:p>
      <w:pPr>
        <w:spacing w:after="0" w:line="206"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The 2020 Plan provides that the plan administrator may establish compensation for non-employee directors from time to time subject to the 2020 Plan’s limitations. Prior to commencing this offering, we intend to approve and implement a compensation program for our non-employee directors, which is described above under the heading “Director Compensation.” Our board of directors or its authorized committee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of any equity awards granted under the 2020 Plan as compensation for services as a non-employee director during any fiscal year may not exceed $600,000, increased to $900,000 in 2020 or in the fiscal year of the non-employee director’s initial service. The plan administrator may make exceptions to this limit for individual non-employee directors in extraordinary circumstances, as the plan administrator may determine in its discretion, subject to the limitations in the 2020 Plan.</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Plan Amendment and Termination</w:t>
      </w:r>
    </w:p>
    <w:p>
      <w:pPr>
        <w:spacing w:after="0" w:line="206" w:lineRule="exact"/>
        <w:rPr>
          <w:sz w:val="20"/>
          <w:szCs w:val="20"/>
          <w:color w:val="auto"/>
        </w:rPr>
      </w:pPr>
    </w:p>
    <w:p>
      <w:pPr>
        <w:ind w:left="500" w:right="20" w:firstLine="819"/>
        <w:spacing w:after="0" w:line="290" w:lineRule="auto"/>
        <w:rPr>
          <w:sz w:val="20"/>
          <w:szCs w:val="20"/>
          <w:color w:val="auto"/>
        </w:rPr>
      </w:pPr>
      <w:r>
        <w:rPr>
          <w:rFonts w:ascii="Arial" w:cs="Arial" w:eastAsia="Arial" w:hAnsi="Arial"/>
          <w:sz w:val="15"/>
          <w:szCs w:val="15"/>
          <w:color w:val="auto"/>
        </w:rPr>
        <w:t>Our board of directors may amend or terminate the 2020 Plan at any time; however, no amendment, other than an amendment that increases the number of shares available under the 2020 Plan, may materially and adversely affect an award outstanding under the 2020 Plan without the consent of the affected participant and stockholder approval will be obtained for any amendment to the extent necessary to comply with applicable laws. Further, the plan administrator may, without the approval of our stockholders, amend any outstanding stock option or SAR to reduce its price per share, other than in the context of corporate transactions or equity restructurings, as described above. The 2020 Plan will remain in effect until the tenth anniversary of its effective date, unless earlier terminated by our board of directors. No awards may be granted under the 2020 Plan after its termination.</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Foreign Participants, Claw-Back Provisions, Transferability and Participant Payments</w:t>
      </w:r>
    </w:p>
    <w:p>
      <w:pPr>
        <w:spacing w:after="0" w:line="206" w:lineRule="exact"/>
        <w:rPr>
          <w:sz w:val="20"/>
          <w:szCs w:val="20"/>
          <w:color w:val="auto"/>
        </w:rPr>
      </w:pPr>
    </w:p>
    <w:p>
      <w:pPr>
        <w:ind w:left="500" w:right="120" w:firstLine="819"/>
        <w:spacing w:after="0" w:line="307" w:lineRule="auto"/>
        <w:rPr>
          <w:sz w:val="20"/>
          <w:szCs w:val="20"/>
          <w:color w:val="auto"/>
        </w:rPr>
      </w:pPr>
      <w:r>
        <w:rPr>
          <w:rFonts w:ascii="Arial" w:cs="Arial" w:eastAsia="Arial" w:hAnsi="Arial"/>
          <w:sz w:val="15"/>
          <w:szCs w:val="15"/>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w:t>
      </w:r>
    </w:p>
    <w:p>
      <w:pPr>
        <w:spacing w:after="0" w:line="7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740"/>
          </w:cols>
          <w:pgMar w:left="320" w:top="437" w:right="8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50" w:lineRule="auto"/>
        <w:rPr>
          <w:sz w:val="20"/>
          <w:szCs w:val="20"/>
          <w:color w:val="auto"/>
        </w:rPr>
      </w:pPr>
      <w:r>
        <w:rPr>
          <w:rFonts w:ascii="Arial" w:cs="Arial" w:eastAsia="Arial" w:hAnsi="Arial"/>
          <w:sz w:val="17"/>
          <w:szCs w:val="17"/>
          <w:color w:val="auto"/>
        </w:rPr>
        <w:t>determine or provide in an award agreement, awards under the 2020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2020 Plan and exercise price obligations arising in connection with the exercise of stock options under the 2020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2020 Employee Stock Purchase Plan</w:t>
      </w:r>
    </w:p>
    <w:p>
      <w:pPr>
        <w:spacing w:after="0" w:line="210" w:lineRule="exact"/>
        <w:rPr>
          <w:sz w:val="20"/>
          <w:szCs w:val="20"/>
          <w:color w:val="auto"/>
        </w:rPr>
      </w:pPr>
    </w:p>
    <w:p>
      <w:pPr>
        <w:ind w:left="500" w:right="20" w:firstLine="819"/>
        <w:spacing w:after="0" w:line="268" w:lineRule="auto"/>
        <w:rPr>
          <w:sz w:val="20"/>
          <w:szCs w:val="20"/>
          <w:color w:val="auto"/>
        </w:rPr>
      </w:pPr>
      <w:r>
        <w:rPr>
          <w:rFonts w:ascii="Arial" w:cs="Arial" w:eastAsia="Arial" w:hAnsi="Arial"/>
          <w:sz w:val="17"/>
          <w:szCs w:val="17"/>
          <w:color w:val="auto"/>
        </w:rPr>
        <w:t>Effective the day prior to the first public trading date of our common stock, we intend to adopt and ask our stockholders to approve the 2020 Employee Stock Purchase Plan, or the 2020 ESPP, the material terms of which are summarized below.</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Shares Available for Awards; Administration</w:t>
      </w:r>
    </w:p>
    <w:p>
      <w:pPr>
        <w:spacing w:after="0" w:line="206"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A total of 150,000 shares of our common stock will initially be reserved for issuance under the 2020 ESPP. In addition, the number of shares available for issuance under the 2020 ESPP will be annually increased on January 1 of each calendar year beginning in 2021 and ending in and including 2030, by an amount equal to the lesser of (A) 0.5% of the shares outstanding on the final day of the immediately preceding calendar year and</w:t>
      </w:r>
    </w:p>
    <w:p>
      <w:pPr>
        <w:ind w:left="500" w:right="160" w:firstLine="3"/>
        <w:spacing w:after="0" w:line="248" w:lineRule="auto"/>
        <w:tabs>
          <w:tab w:leader="none" w:pos="76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such smaller number of shares as is determined by our board of directors, provided that no more than 987,500 shares of our common stock may be issued under the 2020 ESPP. Our board of directors or a committee of our board of directors will administer and will have authority to interpret the terms of the 2020 ESPP and determine eligibility of participants. We expect that the compensation committee will be the initial administrator of the 2020 ESPP.</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Eligibility</w:t>
      </w:r>
    </w:p>
    <w:p>
      <w:pPr>
        <w:spacing w:after="0" w:line="206" w:lineRule="exact"/>
        <w:rPr>
          <w:sz w:val="20"/>
          <w:szCs w:val="20"/>
          <w:color w:val="auto"/>
        </w:rPr>
      </w:pPr>
    </w:p>
    <w:p>
      <w:pPr>
        <w:ind w:left="500" w:right="100" w:firstLine="819"/>
        <w:spacing w:after="0" w:line="257" w:lineRule="auto"/>
        <w:rPr>
          <w:sz w:val="20"/>
          <w:szCs w:val="20"/>
          <w:color w:val="auto"/>
        </w:rPr>
      </w:pPr>
      <w:r>
        <w:rPr>
          <w:rFonts w:ascii="Arial" w:cs="Arial" w:eastAsia="Arial" w:hAnsi="Arial"/>
          <w:sz w:val="17"/>
          <w:szCs w:val="17"/>
          <w:color w:val="auto"/>
        </w:rPr>
        <w:t>All of our employees are eligible to participate in the 2020 ESPP. However, an employee may not be granted rights to purchase stock under our 2020 ESPP if the employee, immediately after the grant, would own (directly or through attribution) stock possessing 5% or more of the total combined voting power or value of all classes of our stock.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Grant of Rights</w:t>
      </w:r>
    </w:p>
    <w:p>
      <w:pPr>
        <w:spacing w:after="0" w:line="206" w:lineRule="exact"/>
        <w:rPr>
          <w:sz w:val="20"/>
          <w:szCs w:val="20"/>
          <w:color w:val="auto"/>
        </w:rPr>
      </w:pPr>
    </w:p>
    <w:p>
      <w:pPr>
        <w:ind w:left="500" w:right="20" w:firstLine="819"/>
        <w:spacing w:after="0" w:line="271" w:lineRule="auto"/>
        <w:rPr>
          <w:sz w:val="20"/>
          <w:szCs w:val="20"/>
          <w:color w:val="auto"/>
        </w:rPr>
      </w:pPr>
      <w:r>
        <w:rPr>
          <w:rFonts w:ascii="Arial" w:cs="Arial" w:eastAsia="Arial" w:hAnsi="Arial"/>
          <w:sz w:val="16"/>
          <w:szCs w:val="16"/>
          <w:color w:val="auto"/>
        </w:rPr>
        <w:t>The 2020 ESPP is intended to qualify under Section 423 of the Code and stock will be offered under the 2020 ESPP during offering periods. The length of the offering periods under the 2020 ESPP will be 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Offering periods under the 2020 ESPP will commence when determined by the plan administrator. The plan administrator may, in its discretion, modify the terms of future offering periods.</w:t>
      </w:r>
    </w:p>
    <w:p>
      <w:pPr>
        <w:spacing w:after="0" w:line="166" w:lineRule="exact"/>
        <w:rPr>
          <w:sz w:val="20"/>
          <w:szCs w:val="20"/>
          <w:color w:val="auto"/>
        </w:rPr>
      </w:pPr>
    </w:p>
    <w:p>
      <w:pPr>
        <w:jc w:val="both"/>
        <w:ind w:left="500" w:right="80" w:firstLine="819"/>
        <w:spacing w:after="0" w:line="251" w:lineRule="auto"/>
        <w:rPr>
          <w:sz w:val="20"/>
          <w:szCs w:val="20"/>
          <w:color w:val="auto"/>
        </w:rPr>
      </w:pPr>
      <w:r>
        <w:rPr>
          <w:rFonts w:ascii="Arial" w:cs="Arial" w:eastAsia="Arial" w:hAnsi="Arial"/>
          <w:sz w:val="17"/>
          <w:szCs w:val="17"/>
          <w:color w:val="auto"/>
        </w:rPr>
        <w:t>The 2020 ESPP permits participants to purchase common stock through payroll deductions of up to a specified percentage of their eligible compensation. The plan administrator will establish a maximum number of shares that may be purchased by a participant during any offering period. In addition, no employee will be permitted to accrue the right to purchase stock under the 2020 ESPP at a rate in excess of $25,000 worth of shares during any calendar year during which such a purchase right is outstanding (based on the fair market value per share of our common stock as of the first day of the offering period).</w:t>
      </w:r>
    </w:p>
    <w:p>
      <w:pPr>
        <w:spacing w:after="0" w:line="183" w:lineRule="exact"/>
        <w:rPr>
          <w:sz w:val="20"/>
          <w:szCs w:val="20"/>
          <w:color w:val="auto"/>
        </w:rPr>
      </w:pPr>
    </w:p>
    <w:p>
      <w:pPr>
        <w:ind w:left="500" w:right="120" w:firstLine="819"/>
        <w:spacing w:after="0" w:line="268" w:lineRule="auto"/>
        <w:rPr>
          <w:sz w:val="20"/>
          <w:szCs w:val="20"/>
          <w:color w:val="auto"/>
        </w:rPr>
      </w:pPr>
      <w:r>
        <w:rPr>
          <w:rFonts w:ascii="Arial" w:cs="Arial" w:eastAsia="Arial" w:hAnsi="Arial"/>
          <w:sz w:val="17"/>
          <w:szCs w:val="17"/>
          <w:color w:val="auto"/>
        </w:rPr>
        <w:t>On the first trading day of each offering period, each participant will automatically be granted an option to purchase shares of our common stock. The option will expire at the end of the applicable offering period, and</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740"/>
          </w:cols>
          <w:pgMar w:left="320" w:top="437" w:right="8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20"/>
        <w:spacing w:after="0" w:line="271" w:lineRule="auto"/>
        <w:rPr>
          <w:sz w:val="20"/>
          <w:szCs w:val="20"/>
          <w:color w:val="auto"/>
        </w:rPr>
      </w:pPr>
      <w:r>
        <w:rPr>
          <w:rFonts w:ascii="Arial" w:cs="Arial" w:eastAsia="Arial" w:hAnsi="Arial"/>
          <w:sz w:val="16"/>
          <w:szCs w:val="16"/>
          <w:color w:val="auto"/>
        </w:rPr>
        <w:t>will 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2020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66" w:lineRule="exact"/>
        <w:rPr>
          <w:sz w:val="20"/>
          <w:szCs w:val="20"/>
          <w:color w:val="auto"/>
        </w:rPr>
      </w:pPr>
    </w:p>
    <w:p>
      <w:pPr>
        <w:ind w:left="500" w:right="560" w:firstLine="819"/>
        <w:spacing w:after="0" w:line="268" w:lineRule="auto"/>
        <w:rPr>
          <w:sz w:val="20"/>
          <w:szCs w:val="20"/>
          <w:color w:val="auto"/>
        </w:rPr>
      </w:pPr>
      <w:r>
        <w:rPr>
          <w:rFonts w:ascii="Arial" w:cs="Arial" w:eastAsia="Arial" w:hAnsi="Arial"/>
          <w:sz w:val="17"/>
          <w:szCs w:val="17"/>
          <w:color w:val="auto"/>
        </w:rPr>
        <w:t>A participant may not transfer rights granted under the 2020 ESPP other than by will or the laws of descent and distribution, and are generally exercisable only by the participant.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Certain Transactions</w:t>
      </w:r>
    </w:p>
    <w:p>
      <w:pPr>
        <w:spacing w:after="0" w:line="206" w:lineRule="exact"/>
        <w:rPr>
          <w:sz w:val="20"/>
          <w:szCs w:val="20"/>
          <w:color w:val="auto"/>
        </w:rPr>
      </w:pPr>
    </w:p>
    <w:p>
      <w:pPr>
        <w:ind w:left="500" w:right="100" w:firstLine="819"/>
        <w:spacing w:after="0" w:line="268" w:lineRule="auto"/>
        <w:rPr>
          <w:sz w:val="20"/>
          <w:szCs w:val="20"/>
          <w:color w:val="auto"/>
        </w:rPr>
      </w:pPr>
      <w:r>
        <w:rPr>
          <w:rFonts w:ascii="Arial" w:cs="Arial" w:eastAsia="Arial" w:hAnsi="Arial"/>
          <w:sz w:val="16"/>
          <w:szCs w:val="16"/>
          <w:color w:val="auto"/>
        </w:rPr>
        <w:t>In the event of certain non-reciprocal transactions or events affecting our common stock, the plan administrator will make equitable adjustments to the 2020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Plan Amendment</w:t>
      </w:r>
    </w:p>
    <w:p>
      <w:pPr>
        <w:spacing w:after="0" w:line="206" w:lineRule="exact"/>
        <w:rPr>
          <w:sz w:val="20"/>
          <w:szCs w:val="20"/>
          <w:color w:val="auto"/>
        </w:rPr>
      </w:pPr>
    </w:p>
    <w:p>
      <w:pPr>
        <w:ind w:left="500" w:right="60" w:firstLine="819"/>
        <w:spacing w:after="0" w:line="298" w:lineRule="auto"/>
        <w:rPr>
          <w:sz w:val="20"/>
          <w:szCs w:val="20"/>
          <w:color w:val="auto"/>
        </w:rPr>
      </w:pPr>
      <w:r>
        <w:rPr>
          <w:rFonts w:ascii="Arial" w:cs="Arial" w:eastAsia="Arial" w:hAnsi="Arial"/>
          <w:sz w:val="15"/>
          <w:szCs w:val="15"/>
          <w:color w:val="auto"/>
        </w:rPr>
        <w:t>The plan administrator may amend, suspend or terminate the 2020 ESPP at any time. However, stockholder approval will be obtained for any amendment that increases the aggregate number or changes the type of shares that may be sold pursuant to rights under the 2020 ESPP, changes the corporations or classes of corporations whose employees are eligible to participate in the 2020 ESPP or changes the 2020 ESPP in any manner that would cause the 2020 ESPP to no longer be an employee stock purchase plan within the meaning of Section 423(b) of the Code.</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2016 Plan</w:t>
      </w:r>
    </w:p>
    <w:p>
      <w:pPr>
        <w:spacing w:after="0" w:line="210"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Our board of directors adopted our 2016 Plan in February 2016, and our stockholders approved our 2016 Plan in June 2016. Following the effectiveness of the 2020 Plan, we will cease granting additional awards under our 2016 Plan. However, our 2016 Plan will continue to govern the terms and conditions of the outstanding stock option awards previously granted thereunder.</w:t>
      </w:r>
    </w:p>
    <w:p>
      <w:pPr>
        <w:spacing w:after="0" w:line="175" w:lineRule="exact"/>
        <w:rPr>
          <w:sz w:val="20"/>
          <w:szCs w:val="20"/>
          <w:color w:val="auto"/>
        </w:rPr>
      </w:pPr>
    </w:p>
    <w:p>
      <w:pPr>
        <w:ind w:left="500" w:right="60" w:firstLine="819"/>
        <w:spacing w:after="0" w:line="251"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March 31, 2020, stock options covering 682,218 shares with a weighted-average exercise price of $3.70 per share and</w:t>
      </w:r>
      <w:r>
        <w:rPr>
          <w:rFonts w:ascii="Arial" w:cs="Arial" w:eastAsia="Arial" w:hAnsi="Arial"/>
          <w:sz w:val="17"/>
          <w:szCs w:val="17"/>
          <w:i w:val="1"/>
          <w:iCs w:val="1"/>
          <w:color w:val="auto"/>
        </w:rPr>
        <w:t xml:space="preserve"> </w:t>
      </w:r>
      <w:r>
        <w:rPr>
          <w:rFonts w:ascii="Arial" w:cs="Arial" w:eastAsia="Arial" w:hAnsi="Arial"/>
          <w:sz w:val="17"/>
          <w:szCs w:val="17"/>
          <w:color w:val="auto"/>
        </w:rPr>
        <w:t>no shares of restricted stock were outstanding under our 2016 Plan, and 274,971 shares of our common stock remained available for the future grant of awards under our 2016 Plan. If an option granted under our 2016 Plan expires, lapses or is terminated, exchanged for cash, surrendered, repurchased, canceled without having been fully exercised or forfeited, in each case after effectiveness of the 2020 Plan, any unused shares subject to the option will become available for issuance under our 2020 Plan.</w:t>
      </w:r>
    </w:p>
    <w:p>
      <w:pPr>
        <w:spacing w:after="0" w:line="183" w:lineRule="exact"/>
        <w:rPr>
          <w:sz w:val="20"/>
          <w:szCs w:val="20"/>
          <w:color w:val="auto"/>
        </w:rPr>
      </w:pPr>
    </w:p>
    <w:p>
      <w:pPr>
        <w:ind w:left="500" w:firstLine="819"/>
        <w:spacing w:after="0" w:line="27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delegated by our board of directors administers our 2016 Plan. Subject to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2016 Plan, the administrator has the power to, among other things, determine who will be granted awards, to determine the terms and conditions of each award (including the number of shares, exercise price, if any, and any vesting conditions), to accelerate the time(s) when an award may vest or be exercised and to construe and interpret the terms of our 2016 Plan and awards granted thereunder.</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720"/>
          </w:cols>
          <w:pgMar w:left="320" w:top="438" w:right="85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380" w:firstLine="819"/>
        <w:spacing w:after="0" w:line="299" w:lineRule="auto"/>
        <w:rPr>
          <w:sz w:val="20"/>
          <w:szCs w:val="20"/>
          <w:color w:val="auto"/>
        </w:rPr>
      </w:pPr>
      <w:r>
        <w:rPr>
          <w:rFonts w:ascii="Arial" w:cs="Arial" w:eastAsia="Arial" w:hAnsi="Arial"/>
          <w:sz w:val="16"/>
          <w:szCs w:val="16"/>
          <w:i w:val="1"/>
          <w:iCs w:val="1"/>
          <w:color w:val="auto"/>
        </w:rPr>
        <w:t>Options and Restricted Stock</w:t>
      </w:r>
      <w:r>
        <w:rPr>
          <w:rFonts w:ascii="Arial" w:cs="Arial" w:eastAsia="Arial" w:hAnsi="Arial"/>
          <w:sz w:val="16"/>
          <w:szCs w:val="16"/>
          <w:color w:val="auto"/>
        </w:rPr>
        <w:t>. Options and restricted stock granted under our 2016 Plan may be granted subject to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similar to those described above with respect to options and restricted stock that may be granted under our 2020 Plan.</w:t>
      </w:r>
    </w:p>
    <w:p>
      <w:pPr>
        <w:spacing w:after="0" w:line="144" w:lineRule="exact"/>
        <w:rPr>
          <w:sz w:val="20"/>
          <w:szCs w:val="20"/>
          <w:color w:val="auto"/>
        </w:rPr>
      </w:pPr>
    </w:p>
    <w:p>
      <w:pPr>
        <w:ind w:left="500" w:right="60" w:firstLine="819"/>
        <w:spacing w:after="0" w:line="268"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of any dividend or other distribution, reorganization, merger, consolidation,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recapitalization, liquidation, dissolution, or sale, transfer, exchange or other disposition of assets of the Company, or sale or exchange of our common stock or other securities of the Company, issuance of warrants or other rights to purchase our common stock or other securities of the Company, or other similar corporate transaction or event affecting our shares, the plan administrator may adjust the number and kind of shares that may be delivered under the 2016 Plan, the number, kind and price of shares covered by each outstanding award and/or the terms and conditions of any outstanding award (including any performance “targets”) in order to prevent to prevent dilution or enlargement of the benefits or potential benefits intended by the Company under the 2016 Plan.</w:t>
      </w:r>
    </w:p>
    <w:p>
      <w:pPr>
        <w:spacing w:after="0" w:line="169"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Additionally, in the event of any of the transactions described above or any other unusual or nonrecurring transaction or event , affecting the Company or the financial statements or financial condition of the Company, or any change in any applicable laws or accounting principles, the plan administrator is authorized to take any one or more of the following actions whenever the plan administrator determines that such action is appropriate in order to (x) prevent dilution or enlargement of the benefits or potential benefits intended by the Company to be made available under the 2016 Plan or with respect to any award granted or issued under the 2016 Plan, (y) to facilitate such transaction or event or (z) give effect to such changes in applicable laws or accounting principles:</w:t>
      </w:r>
    </w:p>
    <w:p>
      <w:pPr>
        <w:spacing w:after="0" w:line="209" w:lineRule="exact"/>
        <w:rPr>
          <w:sz w:val="20"/>
          <w:szCs w:val="20"/>
          <w:color w:val="auto"/>
        </w:rPr>
      </w:pPr>
    </w:p>
    <w:p>
      <w:pPr>
        <w:ind w:left="1720" w:right="100" w:hanging="301"/>
        <w:spacing w:after="0" w:line="268" w:lineRule="auto"/>
        <w:tabs>
          <w:tab w:leader="none" w:pos="1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provide for the cancellation of awards in exchange for either an amount of cash or other property with a value equal to the amount that could have been obtained upon the exercise or settlement of the vested portion of such award;</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provide that awards shall vest and be fully exercisable;</w:t>
      </w:r>
    </w:p>
    <w:p>
      <w:pPr>
        <w:spacing w:after="0" w:line="231" w:lineRule="exact"/>
        <w:rPr>
          <w:rFonts w:ascii="Arial" w:cs="Arial" w:eastAsia="Arial" w:hAnsi="Arial"/>
          <w:sz w:val="17"/>
          <w:szCs w:val="17"/>
          <w:color w:val="auto"/>
        </w:rPr>
      </w:pPr>
    </w:p>
    <w:p>
      <w:pPr>
        <w:ind w:left="1720" w:right="40" w:hanging="301"/>
        <w:spacing w:after="0" w:line="268" w:lineRule="auto"/>
        <w:tabs>
          <w:tab w:leader="none" w:pos="1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make adjustments in the number and type of shares subject to outstanding awards, and/or in the terms and conditions of (including, without limitation, the grant or exercise price), and the criteria included in, outstanding awards;</w:t>
      </w:r>
    </w:p>
    <w:p>
      <w:pPr>
        <w:spacing w:after="0" w:line="191" w:lineRule="exact"/>
        <w:rPr>
          <w:rFonts w:ascii="Arial" w:cs="Arial" w:eastAsia="Arial" w:hAnsi="Arial"/>
          <w:sz w:val="17"/>
          <w:szCs w:val="17"/>
          <w:color w:val="auto"/>
        </w:rPr>
      </w:pPr>
    </w:p>
    <w:p>
      <w:pPr>
        <w:ind w:left="1720" w:right="160" w:hanging="301"/>
        <w:spacing w:after="0" w:line="299" w:lineRule="auto"/>
        <w:tabs>
          <w:tab w:leader="none" w:pos="17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provide that awards be assumed by the successor or survivor corporation, or a parent or subsidiary thereof, or shall be substituted for by awards covering the stock of the successor or survivor corporation, or a parent or subsidiary thereof;</w:t>
      </w:r>
    </w:p>
    <w:p>
      <w:pPr>
        <w:spacing w:after="0" w:line="169" w:lineRule="exact"/>
        <w:rPr>
          <w:rFonts w:ascii="Arial" w:cs="Arial" w:eastAsia="Arial" w:hAnsi="Arial"/>
          <w:sz w:val="16"/>
          <w:szCs w:val="16"/>
          <w:color w:val="auto"/>
        </w:rPr>
      </w:pPr>
    </w:p>
    <w:p>
      <w:pPr>
        <w:ind w:left="1720" w:hanging="301"/>
        <w:spacing w:after="0"/>
        <w:tabs>
          <w:tab w:leader="none" w:pos="1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replace awards with other rights or property selected by the plan administrator; and/or</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provide that awards will terminate and cannot vest, be exercised or become payable after the applicable event.</w:t>
      </w:r>
    </w:p>
    <w:p>
      <w:pPr>
        <w:spacing w:after="0" w:line="206" w:lineRule="exact"/>
        <w:rPr>
          <w:sz w:val="20"/>
          <w:szCs w:val="20"/>
          <w:color w:val="auto"/>
        </w:rPr>
      </w:pPr>
    </w:p>
    <w:p>
      <w:pPr>
        <w:ind w:left="500" w:right="340" w:firstLine="819"/>
        <w:spacing w:after="0" w:line="274"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of directors may amend, alter, suspend or terminate our 2016 Plan at any time,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to the extent required by applicable law. No amendment to our 2016 Plan may materially and adversely affect any outstanding award outstanding without the consent of the affected award holder. As discussed above, we will terminate our 2016 Plan prior to the closing of this offering and no new awards will be granted thereunder following such termination.</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2005 Plan</w:t>
      </w:r>
    </w:p>
    <w:p>
      <w:pPr>
        <w:spacing w:after="0" w:line="210"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7"/>
          <w:szCs w:val="17"/>
          <w:color w:val="auto"/>
        </w:rPr>
        <w:t>Our board of directors adopted our 2005 Equity Incentive Plan which we refer to as the 2005 Plan, and our stockholders approved our 2005 Plan in November 2005. No additional awards under our 2005 Plan can be</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740"/>
          </w:cols>
          <w:pgMar w:left="320" w:top="438" w:right="8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80"/>
        <w:spacing w:after="0" w:line="268" w:lineRule="auto"/>
        <w:rPr>
          <w:sz w:val="20"/>
          <w:szCs w:val="20"/>
          <w:color w:val="auto"/>
        </w:rPr>
      </w:pPr>
      <w:r>
        <w:rPr>
          <w:rFonts w:ascii="Arial" w:cs="Arial" w:eastAsia="Arial" w:hAnsi="Arial"/>
          <w:sz w:val="17"/>
          <w:szCs w:val="17"/>
          <w:color w:val="auto"/>
        </w:rPr>
        <w:t>made. However, our 2005 Plan continues to govern the terms and conditions of the outstanding awards previously granted thereunder, which include options.</w:t>
      </w:r>
    </w:p>
    <w:p>
      <w:pPr>
        <w:spacing w:after="0" w:line="166" w:lineRule="exact"/>
        <w:rPr>
          <w:sz w:val="20"/>
          <w:szCs w:val="20"/>
          <w:color w:val="auto"/>
        </w:rPr>
      </w:pPr>
    </w:p>
    <w:p>
      <w:pPr>
        <w:ind w:left="500" w:right="280" w:firstLine="819"/>
        <w:spacing w:after="0" w:line="268"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March 31, 2020, stock options covering 219,460 shares with a weighted-average exercise price of $16.60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were outstanding under our 2005 Plan.</w:t>
      </w:r>
    </w:p>
    <w:p>
      <w:pPr>
        <w:spacing w:after="0" w:line="166"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committee delegated by our board of directors administers our 2005 Plan. Subject to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2005 Plan, the administrator has the power to, among other things, determine who will be granted awards, to determine the terms and conditions of each awards, to accelerate the time(s) when an award may vest or be exercised and to construe and interpret the terms of our 2005 Plan and awards granted thereunder.</w:t>
      </w:r>
    </w:p>
    <w:p>
      <w:pPr>
        <w:spacing w:after="0" w:line="180"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Options granted under our 2005 Plan are subject to terms and conditions generally similar to those described above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that may be granted under our 2020 Plan.</w:t>
      </w:r>
    </w:p>
    <w:p>
      <w:pPr>
        <w:spacing w:after="0" w:line="166" w:lineRule="exact"/>
        <w:rPr>
          <w:sz w:val="20"/>
          <w:szCs w:val="20"/>
          <w:color w:val="auto"/>
        </w:rPr>
      </w:pPr>
    </w:p>
    <w:p>
      <w:pPr>
        <w:ind w:left="500" w:right="100" w:firstLine="819"/>
        <w:spacing w:after="0" w:line="253"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of stock dividend, extraordinary cash dividend, recapitalization, reorganization,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split-up, spin-off, combination, exchange of shares or other transaction affects the common stock such that an adjustment is required in order to preserve the benefits intended to be provided by the 2005 Plan, the plan administrator shall adjust the number, kind and price of shares covered by each outstanding award.</w:t>
      </w:r>
    </w:p>
    <w:p>
      <w:pPr>
        <w:spacing w:after="0" w:line="180"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order to preserve a holder’s rights under an award in the event of a change in control (as defined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in its discretion may take one or more of the following actions: (i) provide for the acceleration of any time period relating to the exercise or payment of the award, (ii) provide for payment to the holder of cash or other property equal to the amount that would have been received upon the exercise or payment of the award had the award been exercised or paid upon the change in control, (iii) adjust the terms of the award in a manner determined by the plan administrator to reflect the change in control, (iv) cause the award to be assumed, or new rights substituted therefor, by another entity, or (v) make such other provision as the plan administrator may consider equitable to award holders and in the best interests of the Company.</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740"/>
          </w:cols>
          <w:pgMar w:left="320" w:top="437" w:right="8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0" w:lineRule="exact"/>
        <w:rPr>
          <w:sz w:val="20"/>
          <w:szCs w:val="20"/>
          <w:color w:val="auto"/>
        </w:rPr>
      </w:pPr>
    </w:p>
    <w:p>
      <w:pPr>
        <w:ind w:left="500" w:right="80" w:firstLine="819"/>
        <w:spacing w:after="0" w:line="293" w:lineRule="auto"/>
        <w:rPr>
          <w:sz w:val="20"/>
          <w:szCs w:val="20"/>
          <w:color w:val="auto"/>
        </w:rPr>
      </w:pPr>
      <w:r>
        <w:rPr>
          <w:rFonts w:ascii="Arial" w:cs="Arial" w:eastAsia="Arial" w:hAnsi="Arial"/>
          <w:sz w:val="15"/>
          <w:szCs w:val="15"/>
          <w:color w:val="auto"/>
        </w:rPr>
        <w:t>The following includes a summary of transactions since January 1, 2017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Promissory Notes</w:t>
      </w:r>
    </w:p>
    <w:p>
      <w:pPr>
        <w:spacing w:after="0" w:line="210" w:lineRule="exact"/>
        <w:rPr>
          <w:sz w:val="20"/>
          <w:szCs w:val="20"/>
          <w:color w:val="auto"/>
        </w:rPr>
      </w:pPr>
    </w:p>
    <w:p>
      <w:pPr>
        <w:ind w:left="500" w:right="20" w:firstLine="819"/>
        <w:spacing w:after="0" w:line="271" w:lineRule="auto"/>
        <w:rPr>
          <w:sz w:val="20"/>
          <w:szCs w:val="20"/>
          <w:color w:val="auto"/>
        </w:rPr>
      </w:pPr>
      <w:r>
        <w:rPr>
          <w:rFonts w:ascii="Arial" w:cs="Arial" w:eastAsia="Arial" w:hAnsi="Arial"/>
          <w:sz w:val="16"/>
          <w:szCs w:val="16"/>
          <w:color w:val="auto"/>
        </w:rPr>
        <w:t>On March 14, 2018, we issued $0.5 million in aggregate principal amount of convertible promissory notes to various investors pursuant to a convertible note purchase agreement. Certain of our officers and/or directors, including Carmichael Roberts, Terrance McGuire, Dennis Dougherty and Guido Neels participated in the convertible notes financing either personally or through affiliated trusts or funds. Certain holders of 5% or more of our common stock, on an as-converted basis, including entities affiliated with Polaris Venture Partners, entities affiliated with North Bridge Venture Partners and Intersouth Partners VII, L.P., participated in the convertible notes financing.</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Preferred Stock Financings</w:t>
      </w:r>
    </w:p>
    <w:p>
      <w:pPr>
        <w:spacing w:after="0" w:line="210"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i w:val="1"/>
          <w:iCs w:val="1"/>
          <w:color w:val="auto"/>
        </w:rPr>
        <w:t xml:space="preserve">Series B Preferred Stock Financing. </w:t>
      </w:r>
      <w:r>
        <w:rPr>
          <w:rFonts w:ascii="Arial" w:cs="Arial" w:eastAsia="Arial" w:hAnsi="Arial"/>
          <w:sz w:val="15"/>
          <w:szCs w:val="15"/>
          <w:color w:val="auto"/>
        </w:rPr>
        <w:t>On June 5, 2018, we issued and sold to investors 41,685,292 shares of our Series B preferred stock at a</w:t>
      </w:r>
      <w:r>
        <w:rPr>
          <w:rFonts w:ascii="Arial" w:cs="Arial" w:eastAsia="Arial" w:hAnsi="Arial"/>
          <w:sz w:val="15"/>
          <w:szCs w:val="15"/>
          <w:i w:val="1"/>
          <w:iCs w:val="1"/>
          <w:color w:val="auto"/>
        </w:rPr>
        <w:t xml:space="preserve"> </w:t>
      </w:r>
      <w:r>
        <w:rPr>
          <w:rFonts w:ascii="Arial" w:cs="Arial" w:eastAsia="Arial" w:hAnsi="Arial"/>
          <w:sz w:val="15"/>
          <w:szCs w:val="15"/>
          <w:color w:val="auto"/>
        </w:rPr>
        <w:t>price per share of $0.30, for aggregate consideration of approximately $12.5 million, consisting of approximately $12.0 million in cash proceeds plus the conversion of certain convertible notes in an aggregate amount of approximately $0.5 million. On July 30, 2018, we issued and sold to investors an additional 16,666,667 shares of our Series B preferred stock for aggregate consideration of approximately $5.0 million. On September 14, 2018, we issued and sold to investors an additional 11,666,666 shares of our Series B preferred stock for aggregate consideration of approximately $3.5 million. On October 12, 2018, we issued and sold to investors an additional 28,333,328 shares of our Series B preferred stock for aggregate consideration of approximately $8.5 million. Certain of our officers and/or directors, including Michael Altman, Carmichael Roberts, Terrance McGuire, Dennis Dougherty and Guido Neels participated in the Series B preferred stock financing either personally or through affiliated trusts or funds. Certain holders of 5% or more of our common stock, on an as-converted basis, including entities affiliated with Polaris Venture Partners, entities affiliated with North Bridge Venture Partners, Intersouth Partners VII, L.P., Perceptive Life Sciences Master Fund, Ltd., RA Capital Healthcare Fund, L.P., entities affiliated with ArrowMark Partners and Soleus Private Equity Fund I, L.P., participated in the Series B preferred stock financing.</w:t>
      </w:r>
    </w:p>
    <w:p>
      <w:pPr>
        <w:spacing w:after="0" w:line="157" w:lineRule="exact"/>
        <w:rPr>
          <w:sz w:val="20"/>
          <w:szCs w:val="20"/>
          <w:color w:val="auto"/>
        </w:rPr>
      </w:pPr>
    </w:p>
    <w:p>
      <w:pPr>
        <w:ind w:left="500" w:right="40" w:firstLine="819"/>
        <w:spacing w:after="0" w:line="265" w:lineRule="auto"/>
        <w:rPr>
          <w:sz w:val="20"/>
          <w:szCs w:val="20"/>
          <w:color w:val="auto"/>
        </w:rPr>
      </w:pPr>
      <w:r>
        <w:rPr>
          <w:rFonts w:ascii="Arial" w:cs="Arial" w:eastAsia="Arial" w:hAnsi="Arial"/>
          <w:sz w:val="16"/>
          <w:szCs w:val="16"/>
          <w:i w:val="1"/>
          <w:iCs w:val="1"/>
          <w:color w:val="auto"/>
        </w:rPr>
        <w:t xml:space="preserve">Series C Preferred Stock Financing. </w:t>
      </w:r>
      <w:r>
        <w:rPr>
          <w:rFonts w:ascii="Arial" w:cs="Arial" w:eastAsia="Arial" w:hAnsi="Arial"/>
          <w:sz w:val="16"/>
          <w:szCs w:val="16"/>
          <w:color w:val="auto"/>
        </w:rPr>
        <w:t>At various closings between January 10, 2020 and January 31, 2020, we issued and sold to investors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78,306,611 shares of our Series C preferred stock at a price per share of $0.38811, for aggregate consideration of approximately $30.4 million. We also issued to such investors warrants to purchase up to an aggregate of 681,256 shares of common stock, at an exercise price per share equal to the fair market value of our common stock following January 10, 2020 (as determined by our board of directors, in good faith, based on the most recent independent third party valuation of our company available following January 10, 2020 performed pursuant to Section 409A of the Internal Revenue Code, and taking into account any changes to our business between the date of such third party valuation and January 10, 2020). In accordance with such terms, on February 6, 2020, our board of directors determined such fair market value of our common stock to be $8.63 per share. Certain holders of 5% or more of our common stock, on an as-converted basis, including entities affiliated with Polaris Venture Partners, entities affiliated with North Bridge Venture Partners, Intersouth Partners VII, L.P., entities affiliated with Perceptive Advisors, LLC, RA Capital Healthcare Fund, L.P., entities affiliated with ArrowMark Partners and Soleus Private Equity Fund I, L.P., participated in the Series C preferred stock financing, including the issuance of the warrants to purchase common stock.</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740"/>
          </w:cols>
          <w:pgMar w:left="320" w:top="437" w:right="8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40" w:firstLine="819"/>
        <w:spacing w:after="0" w:line="307" w:lineRule="auto"/>
        <w:rPr>
          <w:sz w:val="20"/>
          <w:szCs w:val="20"/>
          <w:color w:val="auto"/>
        </w:rPr>
      </w:pPr>
      <w:r>
        <w:rPr>
          <w:rFonts w:ascii="Arial" w:cs="Arial" w:eastAsia="Arial" w:hAnsi="Arial"/>
          <w:sz w:val="15"/>
          <w:szCs w:val="15"/>
          <w:color w:val="auto"/>
        </w:rPr>
        <w:t>The following table sets forth the aggregate number of shares of our capital stock acquired by beneficial owners of more than 5% of our common stock, on an as-converted basis, in the financing transactions described above. Each share of our Series B preferred stock and Series C preferred stock identified in the following table will convert into 0.0289998 shares of common stock immediately prior to the closing of this offering.</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3"/>
                <w:szCs w:val="13"/>
                <w:b w:val="1"/>
                <w:bCs w:val="1"/>
                <w:color w:val="auto"/>
              </w:rPr>
              <w:t>Series B</w:t>
            </w:r>
          </w:p>
        </w:tc>
        <w:tc>
          <w:tcPr>
            <w:tcW w:w="136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88"/>
              </w:rPr>
              <w:t>Series C</w:t>
            </w:r>
          </w:p>
        </w:tc>
        <w:tc>
          <w:tcPr>
            <w:tcW w:w="9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Warrants to</w:t>
            </w:r>
          </w:p>
        </w:tc>
        <w:tc>
          <w:tcPr>
            <w:tcW w:w="0" w:type="dxa"/>
            <w:vAlign w:val="bottom"/>
          </w:tcPr>
          <w:p>
            <w:pPr>
              <w:spacing w:after="0"/>
              <w:rPr>
                <w:sz w:val="1"/>
                <w:szCs w:val="1"/>
                <w:color w:val="auto"/>
              </w:rPr>
            </w:pPr>
          </w:p>
        </w:tc>
      </w:tr>
      <w:tr>
        <w:trPr>
          <w:trHeight w:val="138"/>
        </w:trPr>
        <w:tc>
          <w:tcPr>
            <w:tcW w:w="6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Participants</w:t>
            </w: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4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2"/>
              </w:rPr>
              <w:t>Purchase</w:t>
            </w:r>
          </w:p>
        </w:tc>
        <w:tc>
          <w:tcPr>
            <w:tcW w:w="0" w:type="dxa"/>
            <w:vAlign w:val="bottom"/>
          </w:tcPr>
          <w:p>
            <w:pPr>
              <w:spacing w:after="0"/>
              <w:rPr>
                <w:sz w:val="1"/>
                <w:szCs w:val="1"/>
                <w:color w:val="auto"/>
              </w:rPr>
            </w:pPr>
          </w:p>
        </w:tc>
      </w:tr>
      <w:tr>
        <w:trPr>
          <w:trHeight w:val="158"/>
        </w:trPr>
        <w:tc>
          <w:tcPr>
            <w:tcW w:w="6560" w:type="dxa"/>
            <w:vAlign w:val="bottom"/>
            <w:gridSpan w:val="2"/>
            <w:vMerge w:val="continue"/>
          </w:tcPr>
          <w:p>
            <w:pPr>
              <w:spacing w:after="0"/>
              <w:rPr>
                <w:sz w:val="13"/>
                <w:szCs w:val="13"/>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2"/>
              </w:rPr>
              <w:t>Preferred Stock</w:t>
            </w:r>
          </w:p>
        </w:tc>
        <w:tc>
          <w:tcPr>
            <w:tcW w:w="13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Preferred Stock</w:t>
            </w:r>
          </w:p>
        </w:tc>
        <w:tc>
          <w:tcPr>
            <w:tcW w:w="9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4"/>
              </w:rPr>
              <w:t>Common Stock</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5% or Greater Stockholders</w:t>
            </w:r>
            <w:r>
              <w:rPr>
                <w:rFonts w:ascii="Arial" w:cs="Arial" w:eastAsia="Arial" w:hAnsi="Arial"/>
                <w:sz w:val="14"/>
                <w:szCs w:val="14"/>
                <w:color w:val="auto"/>
              </w:rPr>
              <w:t>(1)</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60" w:type="dxa"/>
            <w:vAlign w:val="bottom"/>
            <w:gridSpan w:val="2"/>
          </w:tcPr>
          <w:p>
            <w:pPr>
              <w:spacing w:after="0"/>
              <w:rPr>
                <w:sz w:val="20"/>
                <w:szCs w:val="20"/>
                <w:color w:val="auto"/>
              </w:rPr>
            </w:pPr>
            <w:r>
              <w:rPr>
                <w:rFonts w:ascii="Arial" w:cs="Arial" w:eastAsia="Arial" w:hAnsi="Arial"/>
                <w:sz w:val="17"/>
                <w:szCs w:val="17"/>
                <w:color w:val="auto"/>
              </w:rPr>
              <w:t>Entities affiliated with Polaris Venture Partners</w:t>
            </w:r>
            <w:r>
              <w:rPr>
                <w:rFonts w:ascii="Arial" w:cs="Arial" w:eastAsia="Arial" w:hAnsi="Arial"/>
                <w:sz w:val="14"/>
                <w:szCs w:val="14"/>
                <w:color w:val="auto"/>
              </w:rPr>
              <w:t>(2)</w:t>
            </w: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6,651,630</w:t>
            </w:r>
          </w:p>
        </w:tc>
        <w:tc>
          <w:tcPr>
            <w:tcW w:w="1360" w:type="dxa"/>
            <w:vAlign w:val="bottom"/>
            <w:gridSpan w:val="2"/>
          </w:tcPr>
          <w:p>
            <w:pPr>
              <w:jc w:val="right"/>
              <w:ind w:right="440"/>
              <w:spacing w:after="0"/>
              <w:rPr>
                <w:sz w:val="20"/>
                <w:szCs w:val="20"/>
                <w:color w:val="auto"/>
              </w:rPr>
            </w:pPr>
            <w:r>
              <w:rPr>
                <w:rFonts w:ascii="Arial" w:cs="Arial" w:eastAsia="Arial" w:hAnsi="Arial"/>
                <w:sz w:val="17"/>
                <w:szCs w:val="17"/>
                <w:color w:val="auto"/>
              </w:rPr>
              <w:t>2,061,271</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17,932</w:t>
            </w:r>
          </w:p>
        </w:tc>
        <w:tc>
          <w:tcPr>
            <w:tcW w:w="0" w:type="dxa"/>
            <w:vAlign w:val="bottom"/>
          </w:tcPr>
          <w:p>
            <w:pPr>
              <w:spacing w:after="0"/>
              <w:rPr>
                <w:sz w:val="1"/>
                <w:szCs w:val="1"/>
                <w:color w:val="auto"/>
              </w:rPr>
            </w:pPr>
          </w:p>
        </w:tc>
      </w:tr>
      <w:tr>
        <w:trPr>
          <w:trHeight w:val="201"/>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Intersouth Partners VII, L.P.</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3,300,414</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1,030,635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8,966</w:t>
            </w:r>
          </w:p>
        </w:tc>
        <w:tc>
          <w:tcPr>
            <w:tcW w:w="0" w:type="dxa"/>
            <w:vAlign w:val="bottom"/>
          </w:tcPr>
          <w:p>
            <w:pPr>
              <w:spacing w:after="0"/>
              <w:rPr>
                <w:sz w:val="1"/>
                <w:szCs w:val="1"/>
                <w:color w:val="auto"/>
              </w:rPr>
            </w:pPr>
          </w:p>
        </w:tc>
      </w:tr>
      <w:tr>
        <w:trPr>
          <w:trHeight w:val="201"/>
        </w:trPr>
        <w:tc>
          <w:tcPr>
            <w:tcW w:w="6560" w:type="dxa"/>
            <w:vAlign w:val="bottom"/>
            <w:gridSpan w:val="2"/>
          </w:tcPr>
          <w:p>
            <w:pPr>
              <w:spacing w:after="0"/>
              <w:rPr>
                <w:sz w:val="20"/>
                <w:szCs w:val="20"/>
                <w:color w:val="auto"/>
              </w:rPr>
            </w:pPr>
            <w:r>
              <w:rPr>
                <w:rFonts w:ascii="Arial" w:cs="Arial" w:eastAsia="Arial" w:hAnsi="Arial"/>
                <w:sz w:val="17"/>
                <w:szCs w:val="17"/>
                <w:color w:val="auto"/>
              </w:rPr>
              <w:t>Entities affiliated with North Bridge Venture Partners</w:t>
            </w:r>
            <w:r>
              <w:rPr>
                <w:rFonts w:ascii="Arial" w:cs="Arial" w:eastAsia="Arial" w:hAnsi="Arial"/>
                <w:sz w:val="14"/>
                <w:szCs w:val="14"/>
                <w:color w:val="auto"/>
              </w:rPr>
              <w:t>(3)</w:t>
            </w: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6,651,629</w:t>
            </w:r>
          </w:p>
        </w:tc>
        <w:tc>
          <w:tcPr>
            <w:tcW w:w="1360" w:type="dxa"/>
            <w:vAlign w:val="bottom"/>
            <w:gridSpan w:val="2"/>
          </w:tcPr>
          <w:p>
            <w:pPr>
              <w:jc w:val="right"/>
              <w:ind w:right="440"/>
              <w:spacing w:after="0"/>
              <w:rPr>
                <w:sz w:val="20"/>
                <w:szCs w:val="20"/>
                <w:color w:val="auto"/>
              </w:rPr>
            </w:pPr>
            <w:r>
              <w:rPr>
                <w:rFonts w:ascii="Arial" w:cs="Arial" w:eastAsia="Arial" w:hAnsi="Arial"/>
                <w:sz w:val="17"/>
                <w:szCs w:val="17"/>
                <w:color w:val="auto"/>
              </w:rPr>
              <w:t>5,153,178</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44,831</w:t>
            </w:r>
          </w:p>
        </w:tc>
        <w:tc>
          <w:tcPr>
            <w:tcW w:w="0" w:type="dxa"/>
            <w:vAlign w:val="bottom"/>
          </w:tcPr>
          <w:p>
            <w:pPr>
              <w:spacing w:after="0"/>
              <w:rPr>
                <w:sz w:val="1"/>
                <w:szCs w:val="1"/>
                <w:color w:val="auto"/>
              </w:rPr>
            </w:pPr>
          </w:p>
        </w:tc>
      </w:tr>
      <w:tr>
        <w:trPr>
          <w:trHeight w:val="201"/>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Perceptive Advisors, LLC</w:t>
            </w:r>
            <w:r>
              <w:rPr>
                <w:rFonts w:ascii="Arial" w:cs="Arial" w:eastAsia="Arial" w:hAnsi="Arial"/>
                <w:sz w:val="14"/>
                <w:szCs w:val="14"/>
                <w:color w:val="auto"/>
              </w:rPr>
              <w:t>(4)</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26,666,666</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55,267,836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480,825</w:t>
            </w:r>
          </w:p>
        </w:tc>
        <w:tc>
          <w:tcPr>
            <w:tcW w:w="0" w:type="dxa"/>
            <w:vAlign w:val="bottom"/>
          </w:tcPr>
          <w:p>
            <w:pPr>
              <w:spacing w:after="0"/>
              <w:rPr>
                <w:sz w:val="1"/>
                <w:szCs w:val="1"/>
                <w:color w:val="auto"/>
              </w:rPr>
            </w:pPr>
          </w:p>
        </w:tc>
      </w:tr>
      <w:tr>
        <w:trPr>
          <w:trHeight w:val="201"/>
        </w:trPr>
        <w:tc>
          <w:tcPr>
            <w:tcW w:w="6560" w:type="dxa"/>
            <w:vAlign w:val="bottom"/>
            <w:gridSpan w:val="2"/>
          </w:tcPr>
          <w:p>
            <w:pPr>
              <w:spacing w:after="0"/>
              <w:rPr>
                <w:sz w:val="20"/>
                <w:szCs w:val="20"/>
                <w:color w:val="auto"/>
              </w:rPr>
            </w:pPr>
            <w:r>
              <w:rPr>
                <w:rFonts w:ascii="Arial" w:cs="Arial" w:eastAsia="Arial" w:hAnsi="Arial"/>
                <w:sz w:val="17"/>
                <w:szCs w:val="17"/>
                <w:color w:val="auto"/>
              </w:rPr>
              <w:t>RA Capital Healthcare Fund, L.P.</w:t>
            </w: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26,666,666</w:t>
            </w:r>
          </w:p>
        </w:tc>
        <w:tc>
          <w:tcPr>
            <w:tcW w:w="1360" w:type="dxa"/>
            <w:vAlign w:val="bottom"/>
            <w:gridSpan w:val="2"/>
          </w:tcPr>
          <w:p>
            <w:pPr>
              <w:jc w:val="right"/>
              <w:ind w:right="440"/>
              <w:spacing w:after="0"/>
              <w:rPr>
                <w:sz w:val="20"/>
                <w:szCs w:val="20"/>
                <w:color w:val="auto"/>
              </w:rPr>
            </w:pPr>
            <w:r>
              <w:rPr>
                <w:rFonts w:ascii="Arial" w:cs="Arial" w:eastAsia="Arial" w:hAnsi="Arial"/>
                <w:sz w:val="17"/>
                <w:szCs w:val="17"/>
                <w:color w:val="auto"/>
              </w:rPr>
              <w:t>1,288,294</w:t>
            </w:r>
          </w:p>
        </w:tc>
        <w:tc>
          <w:tcPr>
            <w:tcW w:w="900" w:type="dxa"/>
            <w:vAlign w:val="bottom"/>
          </w:tcPr>
          <w:p>
            <w:pPr>
              <w:jc w:val="right"/>
              <w:spacing w:after="0"/>
              <w:rPr>
                <w:sz w:val="20"/>
                <w:szCs w:val="20"/>
                <w:color w:val="auto"/>
              </w:rPr>
            </w:pPr>
            <w:r>
              <w:rPr>
                <w:rFonts w:ascii="Arial" w:cs="Arial" w:eastAsia="Arial" w:hAnsi="Arial"/>
                <w:sz w:val="17"/>
                <w:szCs w:val="17"/>
                <w:color w:val="auto"/>
              </w:rPr>
              <w:t>11,208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ArrowMark Partners</w:t>
            </w:r>
            <w:r>
              <w:rPr>
                <w:rFonts w:ascii="Arial" w:cs="Arial" w:eastAsia="Arial" w:hAnsi="Arial"/>
                <w:sz w:val="14"/>
                <w:szCs w:val="14"/>
                <w:color w:val="auto"/>
              </w:rPr>
              <w:t>(5)</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16,666,667</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3,864,883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33,624</w:t>
            </w:r>
          </w:p>
        </w:tc>
        <w:tc>
          <w:tcPr>
            <w:tcW w:w="0" w:type="dxa"/>
            <w:vAlign w:val="bottom"/>
          </w:tcPr>
          <w:p>
            <w:pPr>
              <w:spacing w:after="0"/>
              <w:rPr>
                <w:sz w:val="1"/>
                <w:szCs w:val="1"/>
                <w:color w:val="auto"/>
              </w:rPr>
            </w:pPr>
          </w:p>
        </w:tc>
      </w:tr>
      <w:tr>
        <w:trPr>
          <w:trHeight w:val="213"/>
        </w:trPr>
        <w:tc>
          <w:tcPr>
            <w:tcW w:w="6560" w:type="dxa"/>
            <w:vAlign w:val="bottom"/>
            <w:gridSpan w:val="2"/>
          </w:tcPr>
          <w:p>
            <w:pPr>
              <w:spacing w:after="0"/>
              <w:rPr>
                <w:sz w:val="20"/>
                <w:szCs w:val="20"/>
                <w:color w:val="auto"/>
              </w:rPr>
            </w:pPr>
            <w:r>
              <w:rPr>
                <w:rFonts w:ascii="Arial" w:cs="Arial" w:eastAsia="Arial" w:hAnsi="Arial"/>
                <w:sz w:val="17"/>
                <w:szCs w:val="17"/>
                <w:color w:val="auto"/>
              </w:rPr>
              <w:t>Soleus Private Equity Fund I, L.P.</w:t>
            </w: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11,666,666</w:t>
            </w:r>
          </w:p>
        </w:tc>
        <w:tc>
          <w:tcPr>
            <w:tcW w:w="1360" w:type="dxa"/>
            <w:vAlign w:val="bottom"/>
            <w:gridSpan w:val="2"/>
          </w:tcPr>
          <w:p>
            <w:pPr>
              <w:jc w:val="right"/>
              <w:ind w:right="440"/>
              <w:spacing w:after="0"/>
              <w:rPr>
                <w:sz w:val="20"/>
                <w:szCs w:val="20"/>
                <w:color w:val="auto"/>
              </w:rPr>
            </w:pPr>
            <w:r>
              <w:rPr>
                <w:rFonts w:ascii="Arial" w:cs="Arial" w:eastAsia="Arial" w:hAnsi="Arial"/>
                <w:sz w:val="17"/>
                <w:szCs w:val="17"/>
                <w:color w:val="auto"/>
              </w:rPr>
              <w:t>3,607,224</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31,382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71755</wp:posOffset>
            </wp:positionV>
            <wp:extent cx="7175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31" w:lineRule="exact"/>
        <w:rPr>
          <w:sz w:val="20"/>
          <w:szCs w:val="20"/>
          <w:color w:val="auto"/>
        </w:rPr>
      </w:pPr>
    </w:p>
    <w:p>
      <w:pPr>
        <w:ind w:left="900" w:right="960" w:hanging="397"/>
        <w:spacing w:after="0" w:line="268"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Additional details regarding these stockholders and their equity holdings are provided in this prospectus under the caption “Principal Stockholders.”</w:t>
      </w:r>
    </w:p>
    <w:p>
      <w:pPr>
        <w:spacing w:after="0" w:line="191" w:lineRule="exact"/>
        <w:rPr>
          <w:rFonts w:ascii="Arial" w:cs="Arial" w:eastAsia="Arial" w:hAnsi="Arial"/>
          <w:sz w:val="17"/>
          <w:szCs w:val="17"/>
          <w:color w:val="auto"/>
        </w:rPr>
      </w:pPr>
    </w:p>
    <w:p>
      <w:pPr>
        <w:ind w:left="900" w:hanging="397"/>
        <w:spacing w:after="0" w:line="268"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Represents securities acquired by (i) Polaris Venture Partners Entrepreneurs’ Fund V, L.P., (ii) Polaris Venture Partners V, L.P., (iii) Polaris Venture Partners Founders’ Fund V, L.P. and (iv) Polaris Venture Partners Special Founders’ Fund V, L.P.</w:t>
      </w:r>
    </w:p>
    <w:p>
      <w:pPr>
        <w:spacing w:after="0" w:line="191" w:lineRule="exact"/>
        <w:rPr>
          <w:rFonts w:ascii="Arial" w:cs="Arial" w:eastAsia="Arial" w:hAnsi="Arial"/>
          <w:sz w:val="17"/>
          <w:szCs w:val="17"/>
          <w:color w:val="auto"/>
        </w:rPr>
      </w:pPr>
    </w:p>
    <w:p>
      <w:pPr>
        <w:ind w:left="900" w:right="120" w:hanging="397"/>
        <w:spacing w:after="0" w:line="268"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Represents securities acquired by (i) North Bridge Venture Partners V-A, L.P., (ii) North Bridge Venture Partners V-B, L.P. and (iii) North Bridge Venture Partners VI, L.P.</w:t>
      </w:r>
    </w:p>
    <w:p>
      <w:pPr>
        <w:spacing w:after="0" w:line="191" w:lineRule="exact"/>
        <w:rPr>
          <w:rFonts w:ascii="Arial" w:cs="Arial" w:eastAsia="Arial" w:hAnsi="Arial"/>
          <w:sz w:val="17"/>
          <w:szCs w:val="17"/>
          <w:color w:val="auto"/>
        </w:rPr>
      </w:pPr>
    </w:p>
    <w:p>
      <w:pPr>
        <w:ind w:left="900" w:hanging="397"/>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Represents securities acquired by (i) Perceptive Life Sciences Master Fund, Ltd. and (ii) Perceptive LS (A), LLC.</w:t>
      </w:r>
    </w:p>
    <w:p>
      <w:pPr>
        <w:spacing w:after="0" w:line="231" w:lineRule="exact"/>
        <w:rPr>
          <w:rFonts w:ascii="Arial" w:cs="Arial" w:eastAsia="Arial" w:hAnsi="Arial"/>
          <w:sz w:val="17"/>
          <w:szCs w:val="17"/>
          <w:color w:val="auto"/>
        </w:rPr>
      </w:pPr>
    </w:p>
    <w:p>
      <w:pPr>
        <w:ind w:left="900" w:hanging="397"/>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Represents securities acquired by (i) ArrowMark Fundamental Opportunity Fund, L.P. and (ii) Meridian Small Cap Growth Fund.</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Some of our directors are associated with our principal stockholders as indicated in the table below:</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158"/>
        </w:trPr>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Director</w:t>
            </w:r>
          </w:p>
        </w:tc>
        <w:tc>
          <w:tcPr>
            <w:tcW w:w="22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Principal Stockholder</w:t>
            </w:r>
          </w:p>
        </w:tc>
        <w:tc>
          <w:tcPr>
            <w:tcW w:w="500" w:type="dxa"/>
            <w:vAlign w:val="bottom"/>
          </w:tcPr>
          <w:p>
            <w:pPr>
              <w:spacing w:after="0"/>
              <w:rPr>
                <w:sz w:val="13"/>
                <w:szCs w:val="13"/>
                <w:color w:val="auto"/>
              </w:rPr>
            </w:pPr>
          </w:p>
        </w:tc>
      </w:tr>
      <w:tr>
        <w:trPr>
          <w:trHeight w:val="181"/>
        </w:trPr>
        <w:tc>
          <w:tcPr>
            <w:tcW w:w="500" w:type="dxa"/>
            <w:vAlign w:val="bottom"/>
          </w:tcPr>
          <w:p>
            <w:pPr>
              <w:spacing w:after="0" w:line="181" w:lineRule="exact"/>
              <w:rPr>
                <w:sz w:val="20"/>
                <w:szCs w:val="20"/>
                <w:color w:val="auto"/>
              </w:rPr>
            </w:pPr>
            <w:r>
              <w:rPr>
                <w:rFonts w:ascii="Arial" w:cs="Arial" w:eastAsia="Arial" w:hAnsi="Arial"/>
                <w:sz w:val="17"/>
                <w:szCs w:val="17"/>
                <w:color w:val="auto"/>
                <w:w w:val="81"/>
              </w:rPr>
              <w:t>Michael</w:t>
            </w:r>
          </w:p>
        </w:tc>
        <w:tc>
          <w:tcPr>
            <w:tcW w:w="2220" w:type="dxa"/>
            <w:vAlign w:val="bottom"/>
          </w:tcPr>
          <w:p>
            <w:pPr>
              <w:ind w:left="100"/>
              <w:spacing w:after="0" w:line="181" w:lineRule="exact"/>
              <w:rPr>
                <w:sz w:val="20"/>
                <w:szCs w:val="20"/>
                <w:color w:val="auto"/>
              </w:rPr>
            </w:pPr>
            <w:r>
              <w:rPr>
                <w:rFonts w:ascii="Arial" w:cs="Arial" w:eastAsia="Arial" w:hAnsi="Arial"/>
                <w:sz w:val="17"/>
                <w:szCs w:val="17"/>
                <w:color w:val="auto"/>
              </w:rPr>
              <w:t>Altman</w:t>
            </w:r>
          </w:p>
        </w:tc>
        <w:tc>
          <w:tcPr>
            <w:tcW w:w="4720" w:type="dxa"/>
            <w:vAlign w:val="bottom"/>
            <w:gridSpan w:val="3"/>
          </w:tcPr>
          <w:p>
            <w:pPr>
              <w:ind w:left="1140"/>
              <w:spacing w:after="0" w:line="181" w:lineRule="exact"/>
              <w:rPr>
                <w:sz w:val="20"/>
                <w:szCs w:val="20"/>
                <w:color w:val="auto"/>
              </w:rPr>
            </w:pPr>
            <w:r>
              <w:rPr>
                <w:rFonts w:ascii="Arial" w:cs="Arial" w:eastAsia="Arial" w:hAnsi="Arial"/>
                <w:sz w:val="17"/>
                <w:szCs w:val="17"/>
                <w:color w:val="auto"/>
              </w:rPr>
              <w:t>Entities affiliated with Perceptive Advisors, LLC</w:t>
            </w:r>
          </w:p>
        </w:tc>
      </w:tr>
      <w:tr>
        <w:trPr>
          <w:trHeight w:val="201"/>
        </w:trPr>
        <w:tc>
          <w:tcPr>
            <w:tcW w:w="2720" w:type="dxa"/>
            <w:vAlign w:val="bottom"/>
            <w:gridSpan w:val="2"/>
          </w:tcPr>
          <w:p>
            <w:pPr>
              <w:spacing w:after="0"/>
              <w:rPr>
                <w:sz w:val="20"/>
                <w:szCs w:val="20"/>
                <w:color w:val="auto"/>
              </w:rPr>
            </w:pPr>
            <w:r>
              <w:rPr>
                <w:rFonts w:ascii="Arial" w:cs="Arial" w:eastAsia="Arial" w:hAnsi="Arial"/>
                <w:sz w:val="17"/>
                <w:szCs w:val="17"/>
                <w:color w:val="auto"/>
              </w:rPr>
              <w:t>Edward Anderson</w:t>
            </w:r>
          </w:p>
        </w:tc>
        <w:tc>
          <w:tcPr>
            <w:tcW w:w="4720" w:type="dxa"/>
            <w:vAlign w:val="bottom"/>
            <w:gridSpan w:val="3"/>
          </w:tcPr>
          <w:p>
            <w:pPr>
              <w:ind w:left="1140"/>
              <w:spacing w:after="0"/>
              <w:rPr>
                <w:sz w:val="20"/>
                <w:szCs w:val="20"/>
                <w:color w:val="auto"/>
              </w:rPr>
            </w:pPr>
            <w:r>
              <w:rPr>
                <w:rFonts w:ascii="Arial" w:cs="Arial" w:eastAsia="Arial" w:hAnsi="Arial"/>
                <w:sz w:val="17"/>
                <w:szCs w:val="17"/>
                <w:color w:val="auto"/>
                <w:w w:val="90"/>
              </w:rPr>
              <w:t>Entities affiliated with North Bridge Venture Partners</w:t>
            </w:r>
          </w:p>
        </w:tc>
      </w:tr>
      <w:tr>
        <w:trPr>
          <w:trHeight w:val="201"/>
        </w:trPr>
        <w:tc>
          <w:tcPr>
            <w:tcW w:w="2720" w:type="dxa"/>
            <w:vAlign w:val="bottom"/>
            <w:gridSpan w:val="2"/>
          </w:tcPr>
          <w:p>
            <w:pPr>
              <w:spacing w:after="0"/>
              <w:rPr>
                <w:sz w:val="20"/>
                <w:szCs w:val="20"/>
                <w:color w:val="auto"/>
              </w:rPr>
            </w:pPr>
            <w:r>
              <w:rPr>
                <w:rFonts w:ascii="Arial" w:cs="Arial" w:eastAsia="Arial" w:hAnsi="Arial"/>
                <w:sz w:val="17"/>
                <w:szCs w:val="17"/>
                <w:color w:val="auto"/>
              </w:rPr>
              <w:t>Robert S. Langer Sc.D.</w:t>
            </w:r>
          </w:p>
        </w:tc>
        <w:tc>
          <w:tcPr>
            <w:tcW w:w="4720" w:type="dxa"/>
            <w:vAlign w:val="bottom"/>
            <w:gridSpan w:val="3"/>
          </w:tcPr>
          <w:p>
            <w:pPr>
              <w:ind w:left="1140"/>
              <w:spacing w:after="0"/>
              <w:rPr>
                <w:sz w:val="20"/>
                <w:szCs w:val="20"/>
                <w:color w:val="auto"/>
              </w:rPr>
            </w:pPr>
            <w:r>
              <w:rPr>
                <w:rFonts w:ascii="Arial" w:cs="Arial" w:eastAsia="Arial" w:hAnsi="Arial"/>
                <w:sz w:val="17"/>
                <w:szCs w:val="17"/>
                <w:color w:val="auto"/>
              </w:rPr>
              <w:t>Entities affiliated with Polaris Venture Partners</w:t>
            </w:r>
          </w:p>
        </w:tc>
      </w:tr>
      <w:tr>
        <w:trPr>
          <w:trHeight w:val="213"/>
        </w:trPr>
        <w:tc>
          <w:tcPr>
            <w:tcW w:w="2720" w:type="dxa"/>
            <w:vAlign w:val="bottom"/>
            <w:gridSpan w:val="2"/>
          </w:tcPr>
          <w:p>
            <w:pPr>
              <w:spacing w:after="0"/>
              <w:rPr>
                <w:sz w:val="20"/>
                <w:szCs w:val="20"/>
                <w:color w:val="auto"/>
              </w:rPr>
            </w:pPr>
            <w:r>
              <w:rPr>
                <w:rFonts w:ascii="Arial" w:cs="Arial" w:eastAsia="Arial" w:hAnsi="Arial"/>
                <w:sz w:val="17"/>
                <w:szCs w:val="17"/>
                <w:color w:val="auto"/>
              </w:rPr>
              <w:t>Konstantin Poukalov</w:t>
            </w:r>
          </w:p>
        </w:tc>
        <w:tc>
          <w:tcPr>
            <w:tcW w:w="4720" w:type="dxa"/>
            <w:vAlign w:val="bottom"/>
            <w:gridSpan w:val="3"/>
          </w:tcPr>
          <w:p>
            <w:pPr>
              <w:ind w:left="1140"/>
              <w:spacing w:after="0"/>
              <w:rPr>
                <w:sz w:val="20"/>
                <w:szCs w:val="20"/>
                <w:color w:val="auto"/>
              </w:rPr>
            </w:pPr>
            <w:r>
              <w:rPr>
                <w:rFonts w:ascii="Arial" w:cs="Arial" w:eastAsia="Arial" w:hAnsi="Arial"/>
                <w:sz w:val="17"/>
                <w:szCs w:val="17"/>
                <w:color w:val="auto"/>
              </w:rPr>
              <w:t>Entities affiliated with Perceptive Advisors, LLC</w:t>
            </w:r>
          </w:p>
        </w:tc>
      </w:tr>
    </w:tbl>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Agreements with Arsenal</w:t>
      </w:r>
    </w:p>
    <w:p>
      <w:pPr>
        <w:spacing w:after="0" w:line="210" w:lineRule="exact"/>
        <w:rPr>
          <w:sz w:val="20"/>
          <w:szCs w:val="20"/>
          <w:color w:val="auto"/>
        </w:rPr>
      </w:pPr>
    </w:p>
    <w:p>
      <w:pPr>
        <w:ind w:left="500" w:right="20" w:firstLine="819"/>
        <w:spacing w:after="0" w:line="267" w:lineRule="auto"/>
        <w:rPr>
          <w:sz w:val="20"/>
          <w:szCs w:val="20"/>
          <w:color w:val="auto"/>
        </w:rPr>
      </w:pPr>
      <w:r>
        <w:rPr>
          <w:rFonts w:ascii="Arial" w:cs="Arial" w:eastAsia="Arial" w:hAnsi="Arial"/>
          <w:sz w:val="16"/>
          <w:szCs w:val="16"/>
          <w:color w:val="auto"/>
        </w:rPr>
        <w:t>In 2011, we entered into a Collaboration Agreement, a Technology License Agreement, a Trademark Coexistence Agreement and a Transition Services Agreement with Arsenal Medical, Inc., or Arsenal, a company in which certain of our principal stockholders are stockholders. During the year ended December 31, 2017 and 2018, we invoiced Arsenal for an aggregate of approximately $2.1 million and $1.2 million, respectively, for various costs and other obligations under these agreements. In October 2018, we entered an Acknowledgment and Release Agreement with Arsenal with respect to the expiration of the Collaboration Agreement and certain other intellectual property matters. In November 2019, we entered into an amendment to the Acknowledgement and Release Agreement, which clarifies our and Arsenal’s rights to each of our and Arsenal’s respective patents and patent applications, including patents and patent applications existing as of the effective date of the Collaboration Agreement, the Technology License Agreement, the Trademark Coexistence Agreement and the</w:t>
      </w:r>
    </w:p>
    <w:p>
      <w:pPr>
        <w:spacing w:after="0" w:line="10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740"/>
          </w:cols>
          <w:pgMar w:left="320" w:top="437" w:right="8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spacing w:after="0" w:line="293" w:lineRule="auto"/>
        <w:rPr>
          <w:sz w:val="20"/>
          <w:szCs w:val="20"/>
          <w:color w:val="auto"/>
        </w:rPr>
      </w:pPr>
      <w:r>
        <w:rPr>
          <w:rFonts w:ascii="Arial" w:cs="Arial" w:eastAsia="Arial" w:hAnsi="Arial"/>
          <w:sz w:val="15"/>
          <w:szCs w:val="15"/>
          <w:color w:val="auto"/>
        </w:rPr>
        <w:t>Transition Services Agreement. The amendment to the Acknowledgment and Release Agreement also provides for a mutual release of all claims arising under such patents and patent applications. The Technology License Agreement is a non-exclusive in-license agreement covering certain intellectual property regarding in situ forming foam and nanofiber, which is unrelated to our current and future expected product candidates. The Technology License Agreement provides for no future payments by us and remains in effect. In addition, the Trademark Coexistence Agreement relates to certain trademarks around our previous corporate name, which we no longer use. Finally, the Transition Services Agreement expired in June 2019.</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Consulting Agreement with George Whitesides, Ph.D.</w:t>
      </w:r>
    </w:p>
    <w:p>
      <w:pPr>
        <w:spacing w:after="0" w:line="210" w:lineRule="exact"/>
        <w:rPr>
          <w:sz w:val="20"/>
          <w:szCs w:val="20"/>
          <w:color w:val="auto"/>
        </w:rPr>
      </w:pPr>
    </w:p>
    <w:p>
      <w:pPr>
        <w:ind w:left="500" w:firstLine="819"/>
        <w:spacing w:after="0" w:line="288" w:lineRule="auto"/>
        <w:rPr>
          <w:sz w:val="20"/>
          <w:szCs w:val="20"/>
          <w:color w:val="auto"/>
        </w:rPr>
      </w:pPr>
      <w:r>
        <w:rPr>
          <w:rFonts w:ascii="Arial" w:cs="Arial" w:eastAsia="Arial" w:hAnsi="Arial"/>
          <w:sz w:val="15"/>
          <w:szCs w:val="15"/>
          <w:color w:val="auto"/>
        </w:rPr>
        <w:t>In October 2005, we entered into a consulting agreement with George Whitesides, Ph.D., who is one of our directors, which agreement was subsequently amended in March 2006, February 2012, January 2015 and January 2017, pursuant to which agreement Dr. Whitesides agreed to provide us certain consulting and advisory services. Pursuant to the terms of the agreement, the agreement expired on January 1, 2019. In lieu of all compensation payable by us under the agreement, we have agreed to grant to Dr. Whitesides an award of such number of fully vested shares of common stock equal to $314,580 divided by the initial public offering price per share (which, based on an assumed initial public offering price of $15.00 per share, the midpoint of the price range set forth on the cover of this prospectus, would result in the issuance of 20,972 shares of our common stock upon the closing of this offering) under our 2020 Plan, subject to certain customary conditions.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Investor Rights Agreement</w:t>
      </w:r>
    </w:p>
    <w:p>
      <w:pPr>
        <w:spacing w:after="0" w:line="210" w:lineRule="exact"/>
        <w:rPr>
          <w:sz w:val="20"/>
          <w:szCs w:val="20"/>
          <w:color w:val="auto"/>
        </w:rPr>
      </w:pPr>
    </w:p>
    <w:p>
      <w:pPr>
        <w:ind w:left="500" w:right="180" w:firstLine="819"/>
        <w:spacing w:after="0" w:line="253" w:lineRule="auto"/>
        <w:rPr>
          <w:sz w:val="20"/>
          <w:szCs w:val="20"/>
          <w:color w:val="auto"/>
        </w:rPr>
      </w:pPr>
      <w:r>
        <w:rPr>
          <w:rFonts w:ascii="Arial" w:cs="Arial" w:eastAsia="Arial" w:hAnsi="Arial"/>
          <w:sz w:val="17"/>
          <w:szCs w:val="17"/>
          <w:color w:val="auto"/>
        </w:rPr>
        <w:t>We entered into an Eighth Amended and Restated Investor Rights Agreement in January 2020 with the holders of our preferred stock, including entities with which certain of our directors are related.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Voting Agreement</w:t>
      </w:r>
    </w:p>
    <w:p>
      <w:pPr>
        <w:spacing w:after="0" w:line="210"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We entered into a Ninth Amended and Restated Stockholders’ Voting Agreement by and among us and certain of our stockholders, pursuant to which the following directors were elected to serve as members on our board of directors and, as of the date of this prospectus, continue to so serve: Maria Palasis, Ph.D., Michael Altman, Edward Anderson, Robert S. Langer and Konstantin Poukalov. Ms. Palasis was selected to serve on our board of directors in her capacity as our chief executive officer. Messrs. Altman, Anderson Langer and Poukalov were selected to serve on our board of directors as representatives of holders of our preferred stock. Messrs. Altman and Poukalov were designated by entities affiliated with Perceptive Advisors, LLC. Messrs. Anderson and Langer were designated by entities affiliated with North Bridge Venture Partners and entities affiliated with Polaris Venture Partners, respectively.</w:t>
      </w:r>
    </w:p>
    <w:p>
      <w:pPr>
        <w:spacing w:after="0" w:line="181"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The voting agreement will terminate upon the closing of this offering, and members previously elected to our board of directors pursuant to this agreement will continue to serve as directors until they resign, are removed or their successors are duly elected by the holders of our common stock. The composition of our board of directors after this offering is described in more detail under “Management—Board Composition and Election of Directors.”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Employment Agreements</w:t>
      </w:r>
    </w:p>
    <w:p>
      <w:pPr>
        <w:spacing w:after="0" w:line="210"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7"/>
          <w:szCs w:val="17"/>
          <w:color w:val="auto"/>
        </w:rPr>
        <w:t>We have entered into employment agreements with our named executive officers. For more information regarding the agreements with our named executive officers, see “Executive and Director Compensation—Executive Compensation Arrangements.”</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700"/>
          </w:cols>
          <w:pgMar w:left="320" w:top="437" w:right="87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Indemnification Agreements</w:t>
      </w:r>
    </w:p>
    <w:p>
      <w:pPr>
        <w:spacing w:after="0" w:line="210"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Stock Option Grants to Executive Officers and Directors</w:t>
      </w:r>
    </w:p>
    <w:p>
      <w:pPr>
        <w:spacing w:after="0" w:line="210" w:lineRule="exact"/>
        <w:rPr>
          <w:sz w:val="20"/>
          <w:szCs w:val="20"/>
          <w:color w:val="auto"/>
        </w:rPr>
      </w:pPr>
    </w:p>
    <w:p>
      <w:pPr>
        <w:ind w:left="500" w:right="760" w:firstLine="819"/>
        <w:spacing w:after="0" w:line="268" w:lineRule="auto"/>
        <w:rPr>
          <w:sz w:val="20"/>
          <w:szCs w:val="20"/>
          <w:color w:val="auto"/>
        </w:rPr>
      </w:pPr>
      <w:r>
        <w:rPr>
          <w:rFonts w:ascii="Arial" w:cs="Arial" w:eastAsia="Arial" w:hAnsi="Arial"/>
          <w:sz w:val="17"/>
          <w:szCs w:val="17"/>
          <w:color w:val="auto"/>
        </w:rPr>
        <w:t>We have granted stock options to our executive officers and certain of our directors as more fully described in the section entitled “Executive and Director Compensation.”</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740"/>
          </w:cols>
          <w:pgMar w:left="320" w:top="437" w:right="8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PRINCIPAL STOCKHOLDERS</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following table sets forth information with respect to the beneficial ownership of our common stock, as of March 31, 2020 by:</w:t>
      </w:r>
    </w:p>
    <w:p>
      <w:pPr>
        <w:spacing w:after="0" w:line="243" w:lineRule="exact"/>
        <w:rPr>
          <w:sz w:val="20"/>
          <w:szCs w:val="20"/>
          <w:color w:val="auto"/>
        </w:rPr>
      </w:pPr>
    </w:p>
    <w:p>
      <w:pPr>
        <w:ind w:left="1720" w:hanging="301"/>
        <w:spacing w:after="0"/>
        <w:tabs>
          <w:tab w:leader="none" w:pos="17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common stock;</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all of our current executive officers and directors as a group.</w:t>
      </w:r>
    </w:p>
    <w:p>
      <w:pPr>
        <w:spacing w:after="0" w:line="206" w:lineRule="exact"/>
        <w:rPr>
          <w:sz w:val="20"/>
          <w:szCs w:val="20"/>
          <w:color w:val="auto"/>
        </w:rPr>
      </w:pPr>
    </w:p>
    <w:p>
      <w:pPr>
        <w:ind w:left="500" w:firstLine="819"/>
        <w:spacing w:after="0" w:line="284" w:lineRule="auto"/>
        <w:rPr>
          <w:sz w:val="20"/>
          <w:szCs w:val="20"/>
          <w:color w:val="auto"/>
        </w:rPr>
      </w:pPr>
      <w:r>
        <w:rPr>
          <w:rFonts w:ascii="Arial" w:cs="Arial" w:eastAsia="Arial" w:hAnsi="Arial"/>
          <w:sz w:val="15"/>
          <w:szCs w:val="15"/>
          <w:color w:val="auto"/>
        </w:rPr>
        <w:t>The number of shares beneficially owned by each stockholder is determined under rules issued by the Securities and Exchange Commission. Under these rules, beneficial ownership includes any shares as to which the individual or entity has sole or shared voting power or investment power. Applicable percentage ownership before this offering is based on 8,566,108 shares of common stock outstanding as of March 31, 2020, assuming the conversion of all outstanding shares of preferred stock into common stock. Applicable percentage ownership after this offering is based on 8,566,108 shares of common stock outstanding as of March 31, 2020, assuming the conversion of all outstanding shares of preferred stock into common stock, and, subject to the following sentence, further gives effect to the automatic cashless exercise of outstanding warrants to purchase shares of common stock upon the closing of this offering. In computing the number of shares beneficially owned by an individual or entity and the percentage ownership of that person, the maximum number of shares of common stock subject to options, warrants or other rights held by such person that are currently exercisable or will become exercisable within 60 days of March 31, 2020 are considered outstanding, although these shares are not considered outstanding for purposes of computing the percentage ownership of any other person. Unless noted otherwise, the address of all listed stockholders is 480 Arsenal Way, Watertown, MA 02472. Each of the stockholders listed has sole voting and investment power with respect to the shares beneficially owned by the stockholder unless noted otherwise, subject to community property laws where applicable.</w:t>
      </w:r>
    </w:p>
    <w:p>
      <w:pPr>
        <w:spacing w:after="0" w:line="9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740"/>
          </w:cols>
          <w:pgMar w:left="320" w:top="437" w:right="8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00" w:firstLine="819"/>
        <w:spacing w:after="0" w:line="298" w:lineRule="auto"/>
        <w:rPr>
          <w:sz w:val="20"/>
          <w:szCs w:val="20"/>
          <w:color w:val="auto"/>
        </w:rPr>
      </w:pPr>
      <w:r>
        <w:rPr>
          <w:rFonts w:ascii="Arial" w:cs="Arial" w:eastAsia="Arial" w:hAnsi="Arial"/>
          <w:sz w:val="15"/>
          <w:szCs w:val="15"/>
          <w:color w:val="auto"/>
        </w:rPr>
        <w:t>The following table does not reflect any potential purchases by our executive officers, directors, their affiliated entities or holders of more than 5% of our common stock in this offering or any equity awards granted to our executive officers or directors contingent on this offering. If any shares are purchased by and to the extent any such equity awards have been granted to these persons or entities, the number and percentage of shares of our common stock beneficially owned by them after this offering will differ from the amounts set forth in the following table.</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5"/>
          </w:tcPr>
          <w:p>
            <w:pPr>
              <w:jc w:val="center"/>
              <w:ind w:right="640"/>
              <w:spacing w:after="0"/>
              <w:rPr>
                <w:sz w:val="20"/>
                <w:szCs w:val="20"/>
                <w:color w:val="auto"/>
              </w:rPr>
            </w:pPr>
            <w:r>
              <w:rPr>
                <w:rFonts w:ascii="Arial" w:cs="Arial" w:eastAsia="Arial" w:hAnsi="Arial"/>
                <w:sz w:val="13"/>
                <w:szCs w:val="13"/>
                <w:b w:val="1"/>
                <w:bCs w:val="1"/>
                <w:color w:val="auto"/>
                <w:w w:val="90"/>
              </w:rPr>
              <w:t>Percentage of</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580" w:type="dxa"/>
            <w:vAlign w:val="bottom"/>
          </w:tcPr>
          <w:p>
            <w:pPr>
              <w:jc w:val="center"/>
              <w:ind w:left="600"/>
              <w:spacing w:after="0" w:line="146" w:lineRule="exact"/>
              <w:rPr>
                <w:sz w:val="20"/>
                <w:szCs w:val="20"/>
                <w:color w:val="auto"/>
              </w:rPr>
            </w:pPr>
            <w:r>
              <w:rPr>
                <w:rFonts w:ascii="Arial" w:cs="Arial" w:eastAsia="Arial" w:hAnsi="Arial"/>
                <w:sz w:val="13"/>
                <w:szCs w:val="13"/>
                <w:b w:val="1"/>
                <w:bCs w:val="1"/>
                <w:color w:val="auto"/>
                <w:w w:val="91"/>
              </w:rPr>
              <w:t>Shares of</w:t>
            </w:r>
          </w:p>
        </w:tc>
        <w:tc>
          <w:tcPr>
            <w:tcW w:w="460" w:type="dxa"/>
            <w:vAlign w:val="bottom"/>
          </w:tcPr>
          <w:p>
            <w:pPr>
              <w:spacing w:after="0"/>
              <w:rPr>
                <w:sz w:val="12"/>
                <w:szCs w:val="12"/>
                <w:color w:val="auto"/>
              </w:rPr>
            </w:pPr>
          </w:p>
        </w:tc>
        <w:tc>
          <w:tcPr>
            <w:tcW w:w="1540" w:type="dxa"/>
            <w:vAlign w:val="bottom"/>
            <w:gridSpan w:val="5"/>
          </w:tcPr>
          <w:p>
            <w:pPr>
              <w:jc w:val="center"/>
              <w:ind w:right="660"/>
              <w:spacing w:after="0" w:line="146" w:lineRule="exact"/>
              <w:rPr>
                <w:sz w:val="20"/>
                <w:szCs w:val="20"/>
                <w:color w:val="auto"/>
              </w:rPr>
            </w:pPr>
            <w:r>
              <w:rPr>
                <w:rFonts w:ascii="Arial" w:cs="Arial" w:eastAsia="Arial" w:hAnsi="Arial"/>
                <w:sz w:val="13"/>
                <w:szCs w:val="13"/>
                <w:b w:val="1"/>
                <w:bCs w:val="1"/>
                <w:color w:val="auto"/>
                <w:w w:val="92"/>
              </w:rPr>
              <w:t>Common Stock</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580" w:type="dxa"/>
            <w:vAlign w:val="bottom"/>
          </w:tcPr>
          <w:p>
            <w:pPr>
              <w:jc w:val="center"/>
              <w:ind w:left="580"/>
              <w:spacing w:after="0"/>
              <w:rPr>
                <w:sz w:val="20"/>
                <w:szCs w:val="20"/>
                <w:color w:val="auto"/>
              </w:rPr>
            </w:pPr>
            <w:r>
              <w:rPr>
                <w:rFonts w:ascii="Arial" w:cs="Arial" w:eastAsia="Arial" w:hAnsi="Arial"/>
                <w:sz w:val="13"/>
                <w:szCs w:val="13"/>
                <w:b w:val="1"/>
                <w:bCs w:val="1"/>
                <w:color w:val="auto"/>
                <w:w w:val="92"/>
              </w:rPr>
              <w:t>Common Stock</w:t>
            </w:r>
          </w:p>
        </w:tc>
        <w:tc>
          <w:tcPr>
            <w:tcW w:w="460" w:type="dxa"/>
            <w:vAlign w:val="bottom"/>
          </w:tcPr>
          <w:p>
            <w:pPr>
              <w:spacing w:after="0"/>
              <w:rPr>
                <w:sz w:val="13"/>
                <w:szCs w:val="13"/>
                <w:color w:val="auto"/>
              </w:rPr>
            </w:pPr>
          </w:p>
        </w:tc>
        <w:tc>
          <w:tcPr>
            <w:tcW w:w="800" w:type="dxa"/>
            <w:vAlign w:val="bottom"/>
            <w:tcBorders>
              <w:bottom w:val="single" w:sz="8" w:color="auto"/>
            </w:tcBorders>
            <w:gridSpan w:val="2"/>
          </w:tcPr>
          <w:p>
            <w:pPr>
              <w:jc w:val="center"/>
              <w:ind w:left="36"/>
              <w:spacing w:after="0"/>
              <w:rPr>
                <w:sz w:val="20"/>
                <w:szCs w:val="20"/>
                <w:color w:val="auto"/>
              </w:rPr>
            </w:pPr>
            <w:r>
              <w:rPr>
                <w:rFonts w:ascii="Arial" w:cs="Arial" w:eastAsia="Arial" w:hAnsi="Arial"/>
                <w:sz w:val="13"/>
                <w:szCs w:val="13"/>
                <w:b w:val="1"/>
                <w:bCs w:val="1"/>
                <w:color w:val="auto"/>
                <w:w w:val="91"/>
              </w:rPr>
              <w:t>Beneficially</w:t>
            </w:r>
          </w:p>
        </w:tc>
        <w:tc>
          <w:tcPr>
            <w:tcW w:w="1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2580" w:type="dxa"/>
            <w:vAlign w:val="bottom"/>
          </w:tcPr>
          <w:p>
            <w:pPr>
              <w:jc w:val="center"/>
              <w:ind w:left="600"/>
              <w:spacing w:after="0" w:line="110"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line="110" w:lineRule="exact"/>
              <w:rPr>
                <w:sz w:val="20"/>
                <w:szCs w:val="20"/>
                <w:color w:val="auto"/>
              </w:rPr>
            </w:pPr>
            <w:r>
              <w:rPr>
                <w:rFonts w:ascii="Arial" w:cs="Arial" w:eastAsia="Arial" w:hAnsi="Arial"/>
                <w:sz w:val="12"/>
                <w:szCs w:val="12"/>
                <w:b w:val="1"/>
                <w:bCs w:val="1"/>
                <w:color w:val="auto"/>
              </w:rPr>
              <w:t>Before</w:t>
            </w:r>
          </w:p>
        </w:tc>
        <w:tc>
          <w:tcPr>
            <w:tcW w:w="800" w:type="dxa"/>
            <w:vAlign w:val="bottom"/>
            <w:gridSpan w:val="2"/>
          </w:tcPr>
          <w:p>
            <w:pPr>
              <w:jc w:val="right"/>
              <w:ind w:right="640"/>
              <w:spacing w:after="0" w:line="111" w:lineRule="exact"/>
              <w:rPr>
                <w:sz w:val="20"/>
                <w:szCs w:val="20"/>
                <w:color w:val="auto"/>
              </w:rPr>
            </w:pPr>
            <w:r>
              <w:rPr>
                <w:rFonts w:ascii="Arial" w:cs="Arial" w:eastAsia="Arial" w:hAnsi="Arial"/>
                <w:sz w:val="11"/>
                <w:szCs w:val="11"/>
                <w:b w:val="1"/>
                <w:bCs w:val="1"/>
                <w:color w:val="auto"/>
                <w:w w:val="71"/>
              </w:rPr>
              <w:t>this</w:t>
            </w:r>
          </w:p>
        </w:tc>
        <w:tc>
          <w:tcPr>
            <w:tcW w:w="740" w:type="dxa"/>
            <w:vAlign w:val="bottom"/>
            <w:gridSpan w:val="3"/>
          </w:tcPr>
          <w:p>
            <w:pPr>
              <w:jc w:val="right"/>
              <w:ind w:right="180"/>
              <w:spacing w:after="0" w:line="110" w:lineRule="exact"/>
              <w:rPr>
                <w:sz w:val="20"/>
                <w:szCs w:val="20"/>
                <w:color w:val="auto"/>
              </w:rPr>
            </w:pPr>
            <w:r>
              <w:rPr>
                <w:rFonts w:ascii="Arial" w:cs="Arial" w:eastAsia="Arial" w:hAnsi="Arial"/>
                <w:sz w:val="12"/>
                <w:szCs w:val="12"/>
                <w:b w:val="1"/>
                <w:bCs w:val="1"/>
                <w:color w:val="auto"/>
              </w:rPr>
              <w:t>After this</w:t>
            </w:r>
          </w:p>
        </w:tc>
        <w:tc>
          <w:tcPr>
            <w:tcW w:w="0" w:type="dxa"/>
            <w:vAlign w:val="bottom"/>
          </w:tcPr>
          <w:p>
            <w:pPr>
              <w:spacing w:after="0"/>
              <w:rPr>
                <w:sz w:val="1"/>
                <w:szCs w:val="1"/>
                <w:color w:val="auto"/>
              </w:rPr>
            </w:pPr>
          </w:p>
        </w:tc>
      </w:tr>
      <w:tr>
        <w:trPr>
          <w:trHeight w:val="158"/>
        </w:trPr>
        <w:tc>
          <w:tcPr>
            <w:tcW w:w="5660" w:type="dxa"/>
            <w:vAlign w:val="bottom"/>
            <w:gridSpan w:val="2"/>
            <w:vMerge w:val="continue"/>
          </w:tcPr>
          <w:p>
            <w:pPr>
              <w:spacing w:after="0"/>
              <w:rPr>
                <w:sz w:val="13"/>
                <w:szCs w:val="13"/>
                <w:color w:val="auto"/>
              </w:rPr>
            </w:pPr>
          </w:p>
        </w:tc>
        <w:tc>
          <w:tcPr>
            <w:tcW w:w="2580" w:type="dxa"/>
            <w:vAlign w:val="bottom"/>
          </w:tcPr>
          <w:p>
            <w:pPr>
              <w:jc w:val="center"/>
              <w:ind w:left="600"/>
              <w:spacing w:after="0"/>
              <w:rPr>
                <w:sz w:val="20"/>
                <w:szCs w:val="20"/>
                <w:color w:val="auto"/>
              </w:rPr>
            </w:pPr>
            <w:r>
              <w:rPr>
                <w:rFonts w:ascii="Arial" w:cs="Arial" w:eastAsia="Arial" w:hAnsi="Arial"/>
                <w:sz w:val="13"/>
                <w:szCs w:val="13"/>
                <w:b w:val="1"/>
                <w:bCs w:val="1"/>
                <w:color w:val="auto"/>
                <w:w w:val="96"/>
              </w:rPr>
              <w:t>Owned</w:t>
            </w:r>
          </w:p>
        </w:tc>
        <w:tc>
          <w:tcPr>
            <w:tcW w:w="1260" w:type="dxa"/>
            <w:vAlign w:val="bottom"/>
            <w:gridSpan w:val="3"/>
          </w:tcPr>
          <w:p>
            <w:pPr>
              <w:jc w:val="right"/>
              <w:ind w:right="700"/>
              <w:spacing w:after="0"/>
              <w:rPr>
                <w:sz w:val="20"/>
                <w:szCs w:val="20"/>
                <w:color w:val="auto"/>
              </w:rPr>
            </w:pPr>
            <w:r>
              <w:rPr>
                <w:rFonts w:ascii="Arial" w:cs="Arial" w:eastAsia="Arial" w:hAnsi="Arial"/>
                <w:sz w:val="13"/>
                <w:szCs w:val="13"/>
                <w:b w:val="1"/>
                <w:bCs w:val="1"/>
                <w:color w:val="auto"/>
              </w:rPr>
              <w:t>Offering</w:t>
            </w:r>
          </w:p>
        </w:tc>
        <w:tc>
          <w:tcPr>
            <w:tcW w:w="7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8"/>
              </w:rPr>
              <w:t>Offering</w:t>
            </w: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i w:val="1"/>
                <w:iCs w:val="1"/>
                <w:color w:val="auto"/>
              </w:rPr>
              <w:t>5% or Greater Stockholders</w:t>
            </w:r>
          </w:p>
        </w:tc>
        <w:tc>
          <w:tcPr>
            <w:tcW w:w="2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Entities Affiliated with Perceptive Advisors, LLC</w:t>
            </w:r>
            <w:r>
              <w:rPr>
                <w:rFonts w:ascii="Arial" w:cs="Arial" w:eastAsia="Arial" w:hAnsi="Arial"/>
                <w:sz w:val="14"/>
                <w:szCs w:val="14"/>
                <w:color w:val="auto"/>
              </w:rPr>
              <w:t>(1)</w:t>
            </w:r>
          </w:p>
        </w:tc>
        <w:tc>
          <w:tcPr>
            <w:tcW w:w="2580" w:type="dxa"/>
            <w:vAlign w:val="bottom"/>
          </w:tcPr>
          <w:p>
            <w:pPr>
              <w:jc w:val="right"/>
              <w:ind w:right="420"/>
              <w:spacing w:after="0"/>
              <w:rPr>
                <w:sz w:val="20"/>
                <w:szCs w:val="20"/>
                <w:color w:val="auto"/>
              </w:rPr>
            </w:pPr>
            <w:r>
              <w:rPr>
                <w:rFonts w:ascii="Arial" w:cs="Arial" w:eastAsia="Arial" w:hAnsi="Arial"/>
                <w:sz w:val="17"/>
                <w:szCs w:val="17"/>
                <w:color w:val="auto"/>
              </w:rPr>
              <w:t>2,856,907</w:t>
            </w:r>
          </w:p>
        </w:tc>
        <w:tc>
          <w:tcPr>
            <w:tcW w:w="1260" w:type="dxa"/>
            <w:vAlign w:val="bottom"/>
            <w:gridSpan w:val="3"/>
          </w:tcPr>
          <w:p>
            <w:pPr>
              <w:jc w:val="right"/>
              <w:ind w:right="500"/>
              <w:spacing w:after="0"/>
              <w:rPr>
                <w:sz w:val="20"/>
                <w:szCs w:val="20"/>
                <w:color w:val="auto"/>
              </w:rPr>
            </w:pPr>
            <w:r>
              <w:rPr>
                <w:rFonts w:ascii="Arial" w:cs="Arial" w:eastAsia="Arial" w:hAnsi="Arial"/>
                <w:sz w:val="17"/>
                <w:szCs w:val="17"/>
                <w:color w:val="auto"/>
              </w:rPr>
              <w:t>32.4%</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North Bridge Venture Partners</w:t>
            </w:r>
            <w:r>
              <w:rPr>
                <w:rFonts w:ascii="Arial" w:cs="Arial" w:eastAsia="Arial" w:hAnsi="Arial"/>
                <w:sz w:val="14"/>
                <w:szCs w:val="14"/>
                <w:color w:val="auto"/>
              </w:rPr>
              <w:t>(2)</w:t>
            </w:r>
          </w:p>
        </w:tc>
        <w:tc>
          <w:tcPr>
            <w:tcW w:w="258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1,487,516</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17.3%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Entities Affiliated with Polaris Venture Partners</w:t>
            </w:r>
            <w:r>
              <w:rPr>
                <w:rFonts w:ascii="Arial" w:cs="Arial" w:eastAsia="Arial" w:hAnsi="Arial"/>
                <w:sz w:val="14"/>
                <w:szCs w:val="14"/>
                <w:color w:val="auto"/>
              </w:rPr>
              <w:t>(3)</w:t>
            </w:r>
          </w:p>
        </w:tc>
        <w:tc>
          <w:tcPr>
            <w:tcW w:w="2580" w:type="dxa"/>
            <w:vAlign w:val="bottom"/>
          </w:tcPr>
          <w:p>
            <w:pPr>
              <w:jc w:val="right"/>
              <w:ind w:right="420"/>
              <w:spacing w:after="0"/>
              <w:rPr>
                <w:sz w:val="20"/>
                <w:szCs w:val="20"/>
                <w:color w:val="auto"/>
              </w:rPr>
            </w:pPr>
            <w:r>
              <w:rPr>
                <w:rFonts w:ascii="Arial" w:cs="Arial" w:eastAsia="Arial" w:hAnsi="Arial"/>
                <w:sz w:val="17"/>
                <w:szCs w:val="17"/>
                <w:color w:val="auto"/>
              </w:rPr>
              <w:t>1,370,946</w:t>
            </w:r>
          </w:p>
        </w:tc>
        <w:tc>
          <w:tcPr>
            <w:tcW w:w="1260" w:type="dxa"/>
            <w:vAlign w:val="bottom"/>
            <w:gridSpan w:val="3"/>
          </w:tcPr>
          <w:p>
            <w:pPr>
              <w:jc w:val="right"/>
              <w:ind w:right="500"/>
              <w:spacing w:after="0"/>
              <w:rPr>
                <w:sz w:val="20"/>
                <w:szCs w:val="20"/>
                <w:color w:val="auto"/>
              </w:rPr>
            </w:pPr>
            <w:r>
              <w:rPr>
                <w:rFonts w:ascii="Arial" w:cs="Arial" w:eastAsia="Arial" w:hAnsi="Arial"/>
                <w:sz w:val="17"/>
                <w:szCs w:val="17"/>
                <w:color w:val="auto"/>
              </w:rPr>
              <w:t>16.0%</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 Capital Healthcare Fund, L.P.</w:t>
            </w:r>
            <w:r>
              <w:rPr>
                <w:rFonts w:ascii="Arial" w:cs="Arial" w:eastAsia="Arial" w:hAnsi="Arial"/>
                <w:sz w:val="14"/>
                <w:szCs w:val="14"/>
                <w:color w:val="auto"/>
              </w:rPr>
              <w:t>(4)</w:t>
            </w:r>
          </w:p>
        </w:tc>
        <w:tc>
          <w:tcPr>
            <w:tcW w:w="258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821,895</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9.6%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Intersouth Partners VII, L.P.</w:t>
            </w:r>
            <w:r>
              <w:rPr>
                <w:rFonts w:ascii="Arial" w:cs="Arial" w:eastAsia="Arial" w:hAnsi="Arial"/>
                <w:sz w:val="14"/>
                <w:szCs w:val="14"/>
                <w:color w:val="auto"/>
              </w:rPr>
              <w:t>(5)</w:t>
            </w:r>
          </w:p>
        </w:tc>
        <w:tc>
          <w:tcPr>
            <w:tcW w:w="2580" w:type="dxa"/>
            <w:vAlign w:val="bottom"/>
          </w:tcPr>
          <w:p>
            <w:pPr>
              <w:jc w:val="right"/>
              <w:ind w:right="420"/>
              <w:spacing w:after="0"/>
              <w:rPr>
                <w:sz w:val="20"/>
                <w:szCs w:val="20"/>
                <w:color w:val="auto"/>
              </w:rPr>
            </w:pPr>
            <w:r>
              <w:rPr>
                <w:rFonts w:ascii="Arial" w:cs="Arial" w:eastAsia="Arial" w:hAnsi="Arial"/>
                <w:sz w:val="17"/>
                <w:szCs w:val="17"/>
                <w:color w:val="auto"/>
              </w:rPr>
              <w:t>680,540</w:t>
            </w:r>
          </w:p>
        </w:tc>
        <w:tc>
          <w:tcPr>
            <w:tcW w:w="1260" w:type="dxa"/>
            <w:vAlign w:val="bottom"/>
            <w:gridSpan w:val="3"/>
          </w:tcPr>
          <w:p>
            <w:pPr>
              <w:jc w:val="right"/>
              <w:ind w:right="500"/>
              <w:spacing w:after="0"/>
              <w:rPr>
                <w:sz w:val="20"/>
                <w:szCs w:val="20"/>
                <w:color w:val="auto"/>
              </w:rPr>
            </w:pPr>
            <w:r>
              <w:rPr>
                <w:rFonts w:ascii="Arial" w:cs="Arial" w:eastAsia="Arial" w:hAnsi="Arial"/>
                <w:sz w:val="17"/>
                <w:szCs w:val="17"/>
                <w:color w:val="auto"/>
              </w:rPr>
              <w:t>7.9%</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ArrowMark Partners</w:t>
            </w:r>
            <w:r>
              <w:rPr>
                <w:rFonts w:ascii="Arial" w:cs="Arial" w:eastAsia="Arial" w:hAnsi="Arial"/>
                <w:sz w:val="14"/>
                <w:szCs w:val="14"/>
                <w:color w:val="auto"/>
              </w:rPr>
              <w:t>(6)</w:t>
            </w:r>
          </w:p>
        </w:tc>
        <w:tc>
          <w:tcPr>
            <w:tcW w:w="258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629,032</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7.3%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Soleus Private Equity Fund I, L.P.</w:t>
            </w:r>
            <w:r>
              <w:rPr>
                <w:rFonts w:ascii="Arial" w:cs="Arial" w:eastAsia="Arial" w:hAnsi="Arial"/>
                <w:sz w:val="14"/>
                <w:szCs w:val="14"/>
                <w:color w:val="auto"/>
              </w:rPr>
              <w:t>(7)</w:t>
            </w:r>
          </w:p>
        </w:tc>
        <w:tc>
          <w:tcPr>
            <w:tcW w:w="2580" w:type="dxa"/>
            <w:vAlign w:val="bottom"/>
          </w:tcPr>
          <w:p>
            <w:pPr>
              <w:jc w:val="right"/>
              <w:ind w:right="420"/>
              <w:spacing w:after="0"/>
              <w:rPr>
                <w:sz w:val="20"/>
                <w:szCs w:val="20"/>
                <w:color w:val="auto"/>
              </w:rPr>
            </w:pPr>
            <w:r>
              <w:rPr>
                <w:rFonts w:ascii="Arial" w:cs="Arial" w:eastAsia="Arial" w:hAnsi="Arial"/>
                <w:sz w:val="17"/>
                <w:szCs w:val="17"/>
                <w:color w:val="auto"/>
              </w:rPr>
              <w:t>474,320</w:t>
            </w:r>
          </w:p>
        </w:tc>
        <w:tc>
          <w:tcPr>
            <w:tcW w:w="1260" w:type="dxa"/>
            <w:vAlign w:val="bottom"/>
            <w:gridSpan w:val="3"/>
          </w:tcPr>
          <w:p>
            <w:pPr>
              <w:jc w:val="right"/>
              <w:ind w:right="500"/>
              <w:spacing w:after="0"/>
              <w:rPr>
                <w:sz w:val="20"/>
                <w:szCs w:val="20"/>
                <w:color w:val="auto"/>
              </w:rPr>
            </w:pPr>
            <w:r>
              <w:rPr>
                <w:rFonts w:ascii="Arial" w:cs="Arial" w:eastAsia="Arial" w:hAnsi="Arial"/>
                <w:sz w:val="17"/>
                <w:szCs w:val="17"/>
                <w:color w:val="auto"/>
              </w:rPr>
              <w:t>5.5%</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Named Executive Officers and Directors</w:t>
            </w:r>
          </w:p>
        </w:tc>
        <w:tc>
          <w:tcPr>
            <w:tcW w:w="2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Maria Palasis, Ph.D.</w:t>
            </w:r>
            <w:r>
              <w:rPr>
                <w:rFonts w:ascii="Arial" w:cs="Arial" w:eastAsia="Arial" w:hAnsi="Arial"/>
                <w:sz w:val="14"/>
                <w:szCs w:val="14"/>
                <w:color w:val="auto"/>
              </w:rPr>
              <w:t>(8)</w:t>
            </w:r>
          </w:p>
        </w:tc>
        <w:tc>
          <w:tcPr>
            <w:tcW w:w="2580" w:type="dxa"/>
            <w:vAlign w:val="bottom"/>
          </w:tcPr>
          <w:p>
            <w:pPr>
              <w:jc w:val="right"/>
              <w:ind w:right="420"/>
              <w:spacing w:after="0"/>
              <w:rPr>
                <w:sz w:val="20"/>
                <w:szCs w:val="20"/>
                <w:color w:val="auto"/>
              </w:rPr>
            </w:pPr>
            <w:r>
              <w:rPr>
                <w:rFonts w:ascii="Arial" w:cs="Arial" w:eastAsia="Arial" w:hAnsi="Arial"/>
                <w:sz w:val="17"/>
                <w:szCs w:val="17"/>
                <w:color w:val="auto"/>
              </w:rPr>
              <w:t>222,583</w:t>
            </w:r>
          </w:p>
        </w:tc>
        <w:tc>
          <w:tcPr>
            <w:tcW w:w="1260" w:type="dxa"/>
            <w:vAlign w:val="bottom"/>
            <w:gridSpan w:val="3"/>
          </w:tcPr>
          <w:p>
            <w:pPr>
              <w:jc w:val="right"/>
              <w:ind w:right="500"/>
              <w:spacing w:after="0"/>
              <w:rPr>
                <w:sz w:val="20"/>
                <w:szCs w:val="20"/>
                <w:color w:val="auto"/>
              </w:rPr>
            </w:pPr>
            <w:r>
              <w:rPr>
                <w:rFonts w:ascii="Arial" w:cs="Arial" w:eastAsia="Arial" w:hAnsi="Arial"/>
                <w:sz w:val="17"/>
                <w:szCs w:val="17"/>
                <w:color w:val="auto"/>
              </w:rPr>
              <w:t>2.5%</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 Don Elsey</w:t>
            </w:r>
          </w:p>
        </w:tc>
        <w:tc>
          <w:tcPr>
            <w:tcW w:w="2580" w:type="dxa"/>
            <w:vAlign w:val="bottom"/>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Laura Edgerly-Pflug</w:t>
            </w:r>
          </w:p>
        </w:tc>
        <w:tc>
          <w:tcPr>
            <w:tcW w:w="2580" w:type="dxa"/>
            <w:vAlign w:val="bottom"/>
          </w:tcPr>
          <w:p>
            <w:pPr>
              <w:jc w:val="right"/>
              <w:ind w:right="50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Edward Anderson</w:t>
            </w:r>
            <w:r>
              <w:rPr>
                <w:rFonts w:ascii="Arial" w:cs="Arial" w:eastAsia="Arial" w:hAnsi="Arial"/>
                <w:sz w:val="14"/>
                <w:szCs w:val="14"/>
                <w:color w:val="auto"/>
              </w:rPr>
              <w:t>(2)</w:t>
            </w:r>
          </w:p>
        </w:tc>
        <w:tc>
          <w:tcPr>
            <w:tcW w:w="258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1,487,516</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17.3%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Michael Altman</w:t>
            </w:r>
            <w:r>
              <w:rPr>
                <w:rFonts w:ascii="Arial" w:cs="Arial" w:eastAsia="Arial" w:hAnsi="Arial"/>
                <w:sz w:val="14"/>
                <w:szCs w:val="14"/>
                <w:color w:val="auto"/>
              </w:rPr>
              <w:t>(1)</w:t>
            </w:r>
          </w:p>
        </w:tc>
        <w:tc>
          <w:tcPr>
            <w:tcW w:w="2580" w:type="dxa"/>
            <w:vAlign w:val="bottom"/>
          </w:tcPr>
          <w:p>
            <w:pPr>
              <w:jc w:val="right"/>
              <w:ind w:right="50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S. Langer Sc.D.</w:t>
            </w:r>
            <w:r>
              <w:rPr>
                <w:rFonts w:ascii="Arial" w:cs="Arial" w:eastAsia="Arial" w:hAnsi="Arial"/>
                <w:sz w:val="14"/>
                <w:szCs w:val="14"/>
                <w:color w:val="auto"/>
              </w:rPr>
              <w:t>(3)(9)</w:t>
            </w:r>
          </w:p>
        </w:tc>
        <w:tc>
          <w:tcPr>
            <w:tcW w:w="258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105,475</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1.2%</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C. Ann Merrifield</w:t>
            </w:r>
            <w:r>
              <w:rPr>
                <w:rFonts w:ascii="Arial" w:cs="Arial" w:eastAsia="Arial" w:hAnsi="Arial"/>
                <w:sz w:val="14"/>
                <w:szCs w:val="14"/>
                <w:color w:val="auto"/>
              </w:rPr>
              <w:t>(10)</w:t>
            </w:r>
          </w:p>
        </w:tc>
        <w:tc>
          <w:tcPr>
            <w:tcW w:w="2580" w:type="dxa"/>
            <w:vAlign w:val="bottom"/>
          </w:tcPr>
          <w:p>
            <w:pPr>
              <w:jc w:val="right"/>
              <w:ind w:right="420"/>
              <w:spacing w:after="0"/>
              <w:rPr>
                <w:sz w:val="20"/>
                <w:szCs w:val="20"/>
                <w:color w:val="auto"/>
              </w:rPr>
            </w:pPr>
            <w:r>
              <w:rPr>
                <w:rFonts w:ascii="Arial" w:cs="Arial" w:eastAsia="Arial" w:hAnsi="Arial"/>
                <w:sz w:val="17"/>
                <w:szCs w:val="17"/>
                <w:color w:val="auto"/>
              </w:rPr>
              <w:t>3,050</w:t>
            </w:r>
          </w:p>
        </w:tc>
        <w:tc>
          <w:tcPr>
            <w:tcW w:w="126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George Whitesides, Ph.D.</w:t>
            </w:r>
            <w:r>
              <w:rPr>
                <w:rFonts w:ascii="Arial" w:cs="Arial" w:eastAsia="Arial" w:hAnsi="Arial"/>
                <w:sz w:val="14"/>
                <w:szCs w:val="14"/>
                <w:color w:val="auto"/>
              </w:rPr>
              <w:t>(11)</w:t>
            </w:r>
          </w:p>
        </w:tc>
        <w:tc>
          <w:tcPr>
            <w:tcW w:w="258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116,122</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1.3%</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W. Bradford Smith</w:t>
            </w:r>
            <w:r>
              <w:rPr>
                <w:rFonts w:ascii="Arial" w:cs="Arial" w:eastAsia="Arial" w:hAnsi="Arial"/>
                <w:sz w:val="14"/>
                <w:szCs w:val="14"/>
                <w:color w:val="auto"/>
              </w:rPr>
              <w:t>(12)</w:t>
            </w:r>
          </w:p>
        </w:tc>
        <w:tc>
          <w:tcPr>
            <w:tcW w:w="2580" w:type="dxa"/>
            <w:vAlign w:val="bottom"/>
          </w:tcPr>
          <w:p>
            <w:pPr>
              <w:jc w:val="right"/>
              <w:ind w:right="420"/>
              <w:spacing w:after="0"/>
              <w:rPr>
                <w:sz w:val="20"/>
                <w:szCs w:val="20"/>
                <w:color w:val="auto"/>
              </w:rPr>
            </w:pPr>
            <w:r>
              <w:rPr>
                <w:rFonts w:ascii="Arial" w:cs="Arial" w:eastAsia="Arial" w:hAnsi="Arial"/>
                <w:sz w:val="17"/>
                <w:szCs w:val="17"/>
                <w:color w:val="auto"/>
              </w:rPr>
              <w:t>2,215</w:t>
            </w:r>
          </w:p>
        </w:tc>
        <w:tc>
          <w:tcPr>
            <w:tcW w:w="126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Konstantin Poukalov</w:t>
            </w:r>
            <w:r>
              <w:rPr>
                <w:rFonts w:ascii="Arial" w:cs="Arial" w:eastAsia="Arial" w:hAnsi="Arial"/>
                <w:sz w:val="14"/>
                <w:szCs w:val="14"/>
                <w:color w:val="auto"/>
              </w:rPr>
              <w:t>(1)</w:t>
            </w:r>
          </w:p>
        </w:tc>
        <w:tc>
          <w:tcPr>
            <w:tcW w:w="2580" w:type="dxa"/>
            <w:vAlign w:val="bottom"/>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660" w:type="dxa"/>
            <w:vAlign w:val="bottom"/>
            <w:gridSpan w:val="2"/>
          </w:tcPr>
          <w:p>
            <w:pPr>
              <w:spacing w:after="0"/>
              <w:rPr>
                <w:sz w:val="20"/>
                <w:szCs w:val="20"/>
                <w:color w:val="auto"/>
              </w:rPr>
            </w:pPr>
            <w:r>
              <w:rPr>
                <w:rFonts w:ascii="Arial" w:cs="Arial" w:eastAsia="Arial" w:hAnsi="Arial"/>
                <w:sz w:val="17"/>
                <w:szCs w:val="17"/>
                <w:color w:val="auto"/>
              </w:rPr>
              <w:t>All current executive officers and directors as a group (11 persons)</w:t>
            </w:r>
          </w:p>
        </w:tc>
        <w:tc>
          <w:tcPr>
            <w:tcW w:w="2580" w:type="dxa"/>
            <w:vAlign w:val="bottom"/>
          </w:tcPr>
          <w:p>
            <w:pPr>
              <w:jc w:val="right"/>
              <w:ind w:right="420"/>
              <w:spacing w:after="0"/>
              <w:rPr>
                <w:sz w:val="20"/>
                <w:szCs w:val="20"/>
                <w:color w:val="auto"/>
              </w:rPr>
            </w:pPr>
            <w:r>
              <w:rPr>
                <w:rFonts w:ascii="Arial" w:cs="Arial" w:eastAsia="Arial" w:hAnsi="Arial"/>
                <w:sz w:val="17"/>
                <w:szCs w:val="17"/>
                <w:color w:val="auto"/>
              </w:rPr>
              <w:t>1,959,207</w:t>
            </w:r>
          </w:p>
        </w:tc>
        <w:tc>
          <w:tcPr>
            <w:tcW w:w="1260" w:type="dxa"/>
            <w:vAlign w:val="bottom"/>
            <w:gridSpan w:val="3"/>
          </w:tcPr>
          <w:p>
            <w:pPr>
              <w:jc w:val="right"/>
              <w:ind w:right="500"/>
              <w:spacing w:after="0"/>
              <w:rPr>
                <w:sz w:val="20"/>
                <w:szCs w:val="20"/>
                <w:color w:val="auto"/>
              </w:rPr>
            </w:pPr>
            <w:r>
              <w:rPr>
                <w:rFonts w:ascii="Arial" w:cs="Arial" w:eastAsia="Arial" w:hAnsi="Arial"/>
                <w:sz w:val="17"/>
                <w:szCs w:val="17"/>
                <w:color w:val="auto"/>
              </w:rPr>
              <w:t>21.7%</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71755</wp:posOffset>
            </wp:positionV>
            <wp:extent cx="7175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26" w:lineRule="exact"/>
        <w:rPr>
          <w:sz w:val="20"/>
          <w:szCs w:val="20"/>
          <w:color w:val="auto"/>
        </w:rPr>
      </w:pPr>
    </w:p>
    <w:p>
      <w:pPr>
        <w:ind w:left="900" w:hanging="397"/>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17" w:lineRule="exact"/>
        <w:rPr>
          <w:sz w:val="20"/>
          <w:szCs w:val="20"/>
          <w:color w:val="auto"/>
        </w:rPr>
      </w:pPr>
    </w:p>
    <w:p>
      <w:pPr>
        <w:ind w:left="900" w:right="80" w:hanging="397"/>
        <w:spacing w:after="0" w:line="267" w:lineRule="auto"/>
        <w:tabs>
          <w:tab w:leader="none" w:pos="90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Consists of (A)(i) 1,244,066 shares of common stock issuable upon conversion of shares of convertible preferred stock held by Perceptive Life Sciences Master Fund, Ltd. (“Perceptive Life”) and (ii) 141,221 shares of common stock issuable upon exercise of warrants to purchase shares of common stock held by Perceptive Life and (B)(ii) 1,132,016 shares of common stock issuable upon conversion of shares of convertible preferred stock held by Perceptive LS (A), LLC (“Perceptive LS”) and (ii) 339,604 shares of common stock issuable upon exercise of warrants to purchase shares of common stock held by Perceptive LS. Perceptive Advisors, LLC serves as the investment advisor to Perceptive Life. Perceptive LS GP, LLC is the manager of Perceptive LS. Joseph Edelman is the managing member of Perceptive Advisors, LLC and the sole member of Perceptive LS GP, LLC. Michael Altman and Konstantin Poukalov, two of our directors, are Managing Directors at Perceptive Advisors, LLC. The address of Perceptive Life and Perceptive LS is c/o Perceptive Advisors, LLC, 51 Astor Place, 10th Floor, New York, New York 10003.</w:t>
      </w:r>
    </w:p>
    <w:p>
      <w:pPr>
        <w:spacing w:after="0" w:line="84" w:lineRule="exact"/>
        <w:rPr>
          <w:rFonts w:ascii="Arial" w:cs="Arial" w:eastAsia="Arial" w:hAnsi="Arial"/>
          <w:sz w:val="15"/>
          <w:szCs w:val="15"/>
          <w:color w:val="auto"/>
        </w:rPr>
      </w:pPr>
    </w:p>
    <w:p>
      <w:pPr>
        <w:ind w:left="900" w:right="20" w:hanging="397"/>
        <w:spacing w:after="0" w:line="268" w:lineRule="auto"/>
        <w:tabs>
          <w:tab w:leader="none" w:pos="90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Consists of (A)(i) 651,453 shares of common stock issuable upon conversion of shares of convertible preferred stock held by North Bridge Venture Partners V-A, L.P. (“NBVP V-A”) and (ii) 21,060 shares of common stock issuable upon exercise of warrants to purchase shares of common stock held by NBVP V-A, (B)(i) 319,303 shares of common stock issuable upon conversion of shares of convertible preferred stock held by North Bridge Venture Partners V-B, L.P. (“NBVP V-B”) and (ii) 10,322 shares of common stock issuable upon exercise of warrants to purchase shares of common stock held by NBVP V-B and (C)(i) 471,929 shares of common stock issuable upon conversion of shares of convertible preferred stock held by North Bridge Venture Partners VI, L.P. (“NBVP VI”) and (ii) 13,449 shares of common stock issuable upon exercise of warrants to purchase shares of common stock held by NBVP VI. North Bridge Venture Management V, L.P. (“NBVM V”), is the sole General Partner of NBVP</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740"/>
          </w:cols>
          <w:pgMar w:left="320" w:top="437" w:right="8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p>
      <w:pPr>
        <w:ind w:left="900" w:right="20"/>
        <w:spacing w:after="0" w:line="249" w:lineRule="auto"/>
        <w:rPr>
          <w:sz w:val="20"/>
          <w:szCs w:val="20"/>
          <w:color w:val="auto"/>
        </w:rPr>
      </w:pPr>
      <w:r>
        <w:rPr>
          <w:rFonts w:ascii="Arial" w:cs="Arial" w:eastAsia="Arial" w:hAnsi="Arial"/>
          <w:sz w:val="16"/>
          <w:szCs w:val="16"/>
          <w:color w:val="auto"/>
        </w:rPr>
        <w:t>V-A and NBVP V-B. NBVM GP, LLC, the General Partner of NBVM V, has ultimate voting and dispositive power over the shares held of record by NBVP VA and NBVP V-B. Shared voting and dispositive power of such shares are vested in Edward T. Anderson and Richard A. D’Amore. North Bridge Venture Management VI, L.P. (“NBVM VI”), is the sole General Partner of NBVP VI. NBVM GP, LLC, the General Partner of NBVM VI, has ultimate voting and dispositive power over the shares held of record by NBVP VI. Shared voting and dispositive power of such shares are vested in Edward T. Anderson and Richard A. D’Amore. Mr. Anderson, a member of our board of directors and a manager of NBVM GP, LLC, disclaims beneficial ownership over such shares, except to the extent of his pecuniary interest therein. The address of all entities affiliated with North Bridge Venture Partners is 60 William Street, Suite 350, Wellesley, MA 02481.</w:t>
      </w:r>
    </w:p>
    <w:p>
      <w:pPr>
        <w:spacing w:after="0" w:line="95" w:lineRule="exact"/>
        <w:rPr>
          <w:sz w:val="20"/>
          <w:szCs w:val="20"/>
          <w:color w:val="auto"/>
        </w:rPr>
      </w:pPr>
    </w:p>
    <w:p>
      <w:pPr>
        <w:ind w:left="900" w:hanging="397"/>
        <w:spacing w:after="0" w:line="264" w:lineRule="auto"/>
        <w:tabs>
          <w:tab w:leader="none" w:pos="9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Consists of (A)(i) 316,980 shares of common stock issuable upon conversion of shares of convertible preferred stock held by Polaris Venture Partners IV, L.P. (“PVP IV”); (B)(i) 5,940 shares of common stock issuable upon conversion of shares of convertible preferred stock held by Polaris Venture Partners Entrepreneurs’ Fund IV, L.P. (“PVPEF IV” and, together with PVP IV, the “Polaris IV Funds”); (C)(i) 993,981 shares of common stock issuable upon conversion of shares of convertible preferred stock held by Polaris Venture Partners V, L.P. (“PVP V”) and (ii) 17,304 shares of common stock issuable upon exercise of warrants to purchase shares of common stock held by PVP V; (D)(i) 19,370 shares of common stock issuable upon conversion of shares of convertible preferred stock held by Polaris Venture Partners Entrepreneurs’ Fund V, L.P. (“PVPEF V”) and (ii) 337 shares of common stock issuable upon exercise of warrants to purchase shares of common stock held by PVPEF V; (E)(i) 6,807 shares of common stock issuable upon conversion of shares of convertible preferred stock held by Polaris Venture Partners Founders’ Fund V, L.P. (“PVPFF V”) and (ii) 118 shares of common stock issuable upon exercise of warrants to purchase shares of common stock held by PVPFF V; and (F)(i) 9,936 shares of common stock issuable upon conversion of shares of convertible preferred stock held by Polaris Venture Partners Special Founders’ Fund V, L.P. (“PVPSFF V,” and together with PVP V, PVPEF V and PVPFF V, the “Polaris V Funds” and the Polaris V Funds, together with the Polaris IV Funds, the “Polaris Funds”) and (ii) 173 shares of common stock issuable upon exercise of warrants to purchase shares of common stock held by PVPSFF V. Polaris Venture Management Co., IV, L.L.C. (“PVM IV”) is the sole general partner of each of the Polaris IV Funds and may be deemed to have sole voting and dispositive power with respect to the shares held by each of the Polaris IV Funds. Polaris Venture Management Co. V, L.L.C. (“PVM V”) is the sole general partner of each of the Polaris V Funds and may be deemed to have sole voting and dispositive power with respect to the shares held by each of the Polaris V Funds. Jonathan A. Flint and Terrance G. McGuire are the managing members of each of PVM V and PVM IV. Each of Messrs. Flint and McGuire, as managing members of each of PVM V and PVM IV, may be deemed to have shared voting and dispositive power with respect to the shares held by each of the Polaris Funds. Each of PVM IV, PVM V and Messrs. Flint and McGuire expressly disclaim beneficial ownership of the shares held by the each of the Polaris Funds, except to the extent of their respective pecuniary interests therein, if any. The mailing address of the individuals and entities listed above is One Marina Park Drive, 10th Floor, Boston, MA 02210.</w:t>
      </w:r>
    </w:p>
    <w:p>
      <w:pPr>
        <w:spacing w:after="0" w:line="84" w:lineRule="exact"/>
        <w:rPr>
          <w:rFonts w:ascii="Arial" w:cs="Arial" w:eastAsia="Arial" w:hAnsi="Arial"/>
          <w:sz w:val="15"/>
          <w:szCs w:val="15"/>
          <w:color w:val="auto"/>
        </w:rPr>
      </w:pPr>
    </w:p>
    <w:p>
      <w:pPr>
        <w:ind w:left="900" w:right="40" w:hanging="397"/>
        <w:spacing w:after="0" w:line="250"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Consists of (i) 810,687 shares of common stock issuable upon conversion of shares of convertible preferred stock held by RA Capital Healthcare Fund, L.P. (“RA Capital”) and (ii) 11,208 shares of common stock issuable upon exercise of warrants to purchase shares of common stock held by RA Capital. RA Capital Management, L.P., is the investment advisor (“Adviser”) of RA Capital and RA Capital Management GP, LLC (“Adviser GP”) is the general partner of the Adviser. Dr. Kolchinsky and Rajeev Shah are the controlling persons of the Adviser GP. The Adviser, Dr. Kolchinsky, and Mr. Shah may be deemed to beneficially own the shares held by RA Capital. The address of RA Capital is c/o RA Capital Management, L.P., 200 Berkeley Street, 18th Floor, Boston, Massachusetts 02116.</w:t>
      </w:r>
    </w:p>
    <w:p>
      <w:pPr>
        <w:spacing w:after="0" w:line="92" w:lineRule="exact"/>
        <w:rPr>
          <w:rFonts w:ascii="Arial" w:cs="Arial" w:eastAsia="Arial" w:hAnsi="Arial"/>
          <w:sz w:val="16"/>
          <w:szCs w:val="16"/>
          <w:color w:val="auto"/>
        </w:rPr>
      </w:pPr>
    </w:p>
    <w:p>
      <w:pPr>
        <w:ind w:left="900" w:right="60" w:hanging="397"/>
        <w:spacing w:after="0" w:line="250"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Consists of (i) 671,574 shares of common stock issuable upon conversion of shares of convertible preferred stock held by Intersouth Partners VII, L.P. (“ISP VII”) and (ii) 8,966 shares of common stock issuable upon exercise of warrants to purchase shares of common stock held by ISPVII. All securities held by ISPVII are indirectly held by Intersouth Associates VII, LLC (“ISA VII”), as general partner of ISP VII, and each of the individual managing members of ISA VII. The individual managing members of ISA VI and ISA VII are Mitch Mumma and Dennis Dougherty. Member Managers may share voting and dispositive power over the shares directly held by such entities. The mailing address of the individuals and entities listed above is 4711 Hope Valley Road, Suite 4F-632, Durham NC 27707.</w:t>
      </w:r>
    </w:p>
    <w:p>
      <w:pPr>
        <w:spacing w:after="0" w:line="92" w:lineRule="exact"/>
        <w:rPr>
          <w:rFonts w:ascii="Arial" w:cs="Arial" w:eastAsia="Arial" w:hAnsi="Arial"/>
          <w:sz w:val="16"/>
          <w:szCs w:val="16"/>
          <w:color w:val="auto"/>
        </w:rPr>
      </w:pPr>
    </w:p>
    <w:p>
      <w:pPr>
        <w:ind w:left="900" w:right="40" w:hanging="397"/>
        <w:spacing w:after="0" w:line="268"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Consists of (A)(i) 461,383 shares of common stock issuable upon conversion of shares of convertible preferred stock held by Meridian Small Cap Growth Fund (“Meridian”) and (ii) 22,416 shares of common stock issuable</w:t>
      </w:r>
    </w:p>
    <w:p>
      <w:pPr>
        <w:spacing w:after="0" w:line="1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740"/>
          </w:cols>
          <w:pgMar w:left="320" w:top="437" w:right="8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p>
      <w:pPr>
        <w:ind w:left="900" w:right="80"/>
        <w:spacing w:after="0" w:line="248" w:lineRule="auto"/>
        <w:rPr>
          <w:sz w:val="20"/>
          <w:szCs w:val="20"/>
          <w:color w:val="auto"/>
        </w:rPr>
      </w:pPr>
      <w:r>
        <w:rPr>
          <w:rFonts w:ascii="Arial" w:cs="Arial" w:eastAsia="Arial" w:hAnsi="Arial"/>
          <w:sz w:val="16"/>
          <w:szCs w:val="16"/>
          <w:color w:val="auto"/>
        </w:rPr>
        <w:t>upon exercise of warrants to purchase shares of common stock held by Meridian and (B)(i) 134,025 shares of common stock issuable upon conversion of shares of convertible preferred stock held by ArrowMark Fundamental Opportunity Fund, L.P. (“ArrowMark” and, together with Meridian, the “ArrowMark Funds”) and (ii) 11,208 shares of common stock issuable upon exercise of warrants to purchase shares of common stock held by ArrowMark. ArrowMark Partners GP, LLC (“ArrowMark GP”) is the general partner of ArrowMark and David Corkins is the managing member of ArrowMark GP. ArrowMark Colorado Holdings LLC (“ArrowMark Colorado”) is investment advisor to ArrowMark Funds. Mr. Corkins is a managing member of ArrowMark Colorado and Chad Meade and Brian Schaub are portfolio managers of ArrowMark Colorado. ArrowMark Colorado may be considered the beneficial owner of the shares held by the ArrowMark Funds. The address of the ArrowMark Funds is 100 Fillmore Street, Suite 325, Denver, Colorado 80206.</w:t>
      </w:r>
    </w:p>
    <w:p>
      <w:pPr>
        <w:spacing w:after="0" w:line="98" w:lineRule="exact"/>
        <w:rPr>
          <w:sz w:val="20"/>
          <w:szCs w:val="20"/>
          <w:color w:val="auto"/>
        </w:rPr>
      </w:pPr>
    </w:p>
    <w:p>
      <w:pPr>
        <w:ind w:left="900" w:right="80" w:hanging="397"/>
        <w:spacing w:after="0" w:line="253"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Consists of (i) 442,938 shares held by Soleus Private Equity Fund I, L.P. (“Soleus PE”) and (ii) 31,382 shares of common stock issuable upon exercise of warrants to purchase shares of common stock held by Soleus PE. Soleus Private Equity GP I, LLC (“Soleus GP”) is the general partner of Soleus PE. Soleus GP holds voting and dispositive power over the shares held by Soleus PE. The address of Soleus PE is 104 Field Point Road, Second Floor, Greenwich CT 06830.</w:t>
      </w:r>
    </w:p>
    <w:p>
      <w:pPr>
        <w:spacing w:after="0" w:line="90" w:lineRule="exact"/>
        <w:rPr>
          <w:rFonts w:ascii="Arial" w:cs="Arial" w:eastAsia="Arial" w:hAnsi="Arial"/>
          <w:sz w:val="16"/>
          <w:szCs w:val="16"/>
          <w:color w:val="auto"/>
        </w:rPr>
      </w:pPr>
    </w:p>
    <w:p>
      <w:pPr>
        <w:ind w:left="900" w:hanging="397"/>
        <w:spacing w:after="0"/>
        <w:tabs>
          <w:tab w:leader="none" w:pos="9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Consists of options to purchase 222,583 shares of common stock that are or will be immediately exercisable within 60 days of March 31, 2020.</w:t>
      </w:r>
    </w:p>
    <w:p>
      <w:pPr>
        <w:spacing w:after="0" w:line="128" w:lineRule="exact"/>
        <w:rPr>
          <w:rFonts w:ascii="Arial" w:cs="Arial" w:eastAsia="Arial" w:hAnsi="Arial"/>
          <w:sz w:val="15"/>
          <w:szCs w:val="15"/>
          <w:color w:val="auto"/>
        </w:rPr>
      </w:pPr>
    </w:p>
    <w:p>
      <w:pPr>
        <w:ind w:left="900" w:right="20" w:hanging="397"/>
        <w:spacing w:after="0" w:line="268"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Includes (i) 14,499 shares of common stock, (ii) 668 shares of common stock issuable upon the conversion of preferred stock and (iii) options to purchase 90,308 shares of common stock that are or will be immediately exercisable within 60 days of March 31, 2020.</w:t>
      </w:r>
    </w:p>
    <w:p>
      <w:pPr>
        <w:spacing w:after="0" w:line="78" w:lineRule="exact"/>
        <w:rPr>
          <w:rFonts w:ascii="Arial" w:cs="Arial" w:eastAsia="Arial" w:hAnsi="Arial"/>
          <w:sz w:val="16"/>
          <w:szCs w:val="16"/>
          <w:color w:val="auto"/>
        </w:rPr>
      </w:pPr>
    </w:p>
    <w:p>
      <w:pPr>
        <w:ind w:left="900" w:hanging="397"/>
        <w:spacing w:after="0"/>
        <w:tabs>
          <w:tab w:leader="none" w:pos="9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Consists of options to purchase 3,050 shares of common stock that are or will be immediately exercisable within 60 days of March 31, 2020.</w:t>
      </w:r>
    </w:p>
    <w:p>
      <w:pPr>
        <w:spacing w:after="0" w:line="128" w:lineRule="exact"/>
        <w:rPr>
          <w:rFonts w:ascii="Arial" w:cs="Arial" w:eastAsia="Arial" w:hAnsi="Arial"/>
          <w:sz w:val="15"/>
          <w:szCs w:val="15"/>
          <w:color w:val="auto"/>
        </w:rPr>
      </w:pPr>
    </w:p>
    <w:p>
      <w:pPr>
        <w:ind w:left="900" w:hanging="397"/>
        <w:spacing w:after="0" w:line="272" w:lineRule="auto"/>
        <w:tabs>
          <w:tab w:leader="none" w:pos="9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Includes (i) 28,999 shares of common stock, (ii) 6,404 shares of common stock issuable upon conversion of preferred stock and (iii) options to purchase 80,719 shares of common stock that are or will be immediately exercisable within 60 days of March 31, 2020, but does not include an award in lieu of other compensation of such number of fully vested shares of common stock equal to $314,580 divided by the initial public offering price per share, which, based on an assumed initial public offering price of $15.00 per share, the midpoint of the price range set forth on the cover of this prospectus, would result in the issuance of 20,972 shares of our common stock upon the closing of this offering.</w:t>
      </w:r>
    </w:p>
    <w:p>
      <w:pPr>
        <w:spacing w:after="0" w:line="77" w:lineRule="exact"/>
        <w:rPr>
          <w:rFonts w:ascii="Arial" w:cs="Arial" w:eastAsia="Arial" w:hAnsi="Arial"/>
          <w:sz w:val="15"/>
          <w:szCs w:val="15"/>
          <w:color w:val="auto"/>
        </w:rPr>
      </w:pPr>
    </w:p>
    <w:p>
      <w:pPr>
        <w:ind w:left="900" w:hanging="397"/>
        <w:spacing w:after="0"/>
        <w:tabs>
          <w:tab w:leader="none" w:pos="9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Consists of options to purchase 2,215 shares of common stock that are or will be immediately exercisable within 60 days of March 31, 2020.</w:t>
      </w:r>
    </w:p>
    <w:p>
      <w:pPr>
        <w:spacing w:after="0" w:line="15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720"/>
          </w:cols>
          <w:pgMar w:left="320" w:top="438" w:right="85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DESCRIPTION OF CAPITAL STOCK</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General</w:t>
      </w:r>
    </w:p>
    <w:p>
      <w:pPr>
        <w:spacing w:after="0" w:line="210" w:lineRule="exact"/>
        <w:rPr>
          <w:sz w:val="20"/>
          <w:szCs w:val="20"/>
          <w:color w:val="auto"/>
        </w:rPr>
      </w:pPr>
    </w:p>
    <w:p>
      <w:pPr>
        <w:ind w:left="500" w:right="60" w:firstLine="819"/>
        <w:spacing w:after="0" w:line="288" w:lineRule="auto"/>
        <w:rPr>
          <w:sz w:val="20"/>
          <w:szCs w:val="20"/>
          <w:color w:val="auto"/>
        </w:rPr>
      </w:pPr>
      <w:r>
        <w:rPr>
          <w:rFonts w:ascii="Arial" w:cs="Arial" w:eastAsia="Arial" w:hAnsi="Arial"/>
          <w:sz w:val="15"/>
          <w:szCs w:val="15"/>
          <w:color w:val="auto"/>
        </w:rPr>
        <w:t>The following description summarizes some of the terms of our amended and restated certificate of incorporation and amended and restated bylaws that will become effective upon the closing of this offering, of the Eighth Amended and Restated Investor Rights Agreement, dated January 10, 2020, or investor rights agreement, and of the General Corporation Law of the State of Delaware. Because it is only a summary, it does not contain all the information that may be important to you. For a complete description, you should refer to our amended and restated certificate of incorporation, amended and restated bylaws and investor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immediately prior the closing of this offering.</w:t>
      </w:r>
    </w:p>
    <w:p>
      <w:pPr>
        <w:spacing w:after="0" w:line="158" w:lineRule="exact"/>
        <w:rPr>
          <w:sz w:val="20"/>
          <w:szCs w:val="20"/>
          <w:color w:val="auto"/>
        </w:rPr>
      </w:pPr>
    </w:p>
    <w:p>
      <w:pPr>
        <w:ind w:left="500" w:right="240" w:firstLine="819"/>
        <w:spacing w:after="0" w:line="268" w:lineRule="auto"/>
        <w:rPr>
          <w:sz w:val="20"/>
          <w:szCs w:val="20"/>
          <w:color w:val="auto"/>
        </w:rPr>
      </w:pPr>
      <w:r>
        <w:rPr>
          <w:rFonts w:ascii="Arial" w:cs="Arial" w:eastAsia="Arial" w:hAnsi="Arial"/>
          <w:sz w:val="17"/>
          <w:szCs w:val="17"/>
          <w:color w:val="auto"/>
        </w:rPr>
        <w:t>Following the closing of this offering, our authorized capital stock will consist of 200,000,000 shares of common stock, par value $0.001 per share, and 10,000,000 shares of preferred stock, par value $0.001 per share.</w:t>
      </w:r>
    </w:p>
    <w:p>
      <w:pPr>
        <w:spacing w:after="0" w:line="166" w:lineRule="exact"/>
        <w:rPr>
          <w:sz w:val="20"/>
          <w:szCs w:val="20"/>
          <w:color w:val="auto"/>
        </w:rPr>
      </w:pPr>
    </w:p>
    <w:p>
      <w:pPr>
        <w:ind w:left="500" w:right="320" w:firstLine="819"/>
        <w:spacing w:after="0" w:line="335" w:lineRule="auto"/>
        <w:rPr>
          <w:sz w:val="20"/>
          <w:szCs w:val="20"/>
          <w:color w:val="auto"/>
        </w:rPr>
      </w:pPr>
      <w:r>
        <w:rPr>
          <w:rFonts w:ascii="Arial" w:cs="Arial" w:eastAsia="Arial" w:hAnsi="Arial"/>
          <w:sz w:val="15"/>
          <w:szCs w:val="15"/>
          <w:color w:val="auto"/>
        </w:rPr>
        <w:t>As of March 31, 2020, there were 230,860 shares of our common stock outstanding and 8,335,248 shares of our common stock issuable upon the automatic conversion of all outstanding shares of our preferred stock in connection with this offering, held of record by 82 stockholders.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Common Stock</w:t>
      </w:r>
    </w:p>
    <w:p>
      <w:pPr>
        <w:spacing w:after="0" w:line="210"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“—Anti-Takeover Effects of Delaware Law and Our Certificate of Incorporation and Bylaws—Amendment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57" w:lineRule="exact"/>
        <w:rPr>
          <w:sz w:val="20"/>
          <w:szCs w:val="20"/>
          <w:color w:val="auto"/>
        </w:rPr>
      </w:pPr>
    </w:p>
    <w:p>
      <w:pPr>
        <w:ind w:left="500" w:right="40" w:firstLine="819"/>
        <w:spacing w:after="0" w:line="250" w:lineRule="auto"/>
        <w:rPr>
          <w:sz w:val="20"/>
          <w:szCs w:val="20"/>
          <w:color w:val="auto"/>
        </w:rPr>
      </w:pPr>
      <w:r>
        <w:rPr>
          <w:rFonts w:ascii="Arial" w:cs="Arial" w:eastAsia="Arial" w:hAnsi="Arial"/>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Preferred Stock</w:t>
      </w:r>
    </w:p>
    <w:p>
      <w:pPr>
        <w:spacing w:after="0" w:line="210" w:lineRule="exact"/>
        <w:rPr>
          <w:sz w:val="20"/>
          <w:szCs w:val="20"/>
          <w:color w:val="auto"/>
        </w:rPr>
      </w:pPr>
    </w:p>
    <w:p>
      <w:pPr>
        <w:ind w:left="500" w:right="300" w:firstLine="819"/>
        <w:spacing w:after="0" w:line="268" w:lineRule="auto"/>
        <w:rPr>
          <w:sz w:val="20"/>
          <w:szCs w:val="20"/>
          <w:color w:val="auto"/>
        </w:rPr>
      </w:pPr>
      <w:r>
        <w:rPr>
          <w:rFonts w:ascii="Arial" w:cs="Arial" w:eastAsia="Arial" w:hAnsi="Arial"/>
          <w:sz w:val="17"/>
          <w:szCs w:val="17"/>
          <w:color w:val="auto"/>
        </w:rPr>
        <w:t>Under the terms of our amended and restated certificate of incorporation that will become effective upon the closing of this offering, our board of directors is authorized to direct us to issue shares of preferred stock in</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740"/>
          </w:cols>
          <w:pgMar w:left="320" w:top="437" w:right="8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320"/>
        <w:spacing w:after="0" w:line="257" w:lineRule="auto"/>
        <w:rPr>
          <w:sz w:val="20"/>
          <w:szCs w:val="20"/>
          <w:color w:val="auto"/>
        </w:rPr>
      </w:pPr>
      <w:r>
        <w:rPr>
          <w:rFonts w:ascii="Arial" w:cs="Arial" w:eastAsia="Arial" w:hAnsi="Arial"/>
          <w:sz w:val="17"/>
          <w:szCs w:val="17"/>
          <w:color w:val="auto"/>
        </w:rPr>
        <w:t>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5" w:lineRule="exact"/>
        <w:rPr>
          <w:sz w:val="20"/>
          <w:szCs w:val="20"/>
          <w:color w:val="auto"/>
        </w:rPr>
      </w:pPr>
    </w:p>
    <w:p>
      <w:pPr>
        <w:ind w:left="500" w:right="80" w:firstLine="819"/>
        <w:spacing w:after="0" w:line="271" w:lineRule="auto"/>
        <w:rPr>
          <w:sz w:val="20"/>
          <w:szCs w:val="20"/>
          <w:color w:val="auto"/>
        </w:rPr>
      </w:pPr>
      <w:r>
        <w:rPr>
          <w:rFonts w:ascii="Arial" w:cs="Arial" w:eastAsia="Arial" w:hAnsi="Arial"/>
          <w:sz w:val="16"/>
          <w:szCs w:val="16"/>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Options</w:t>
      </w:r>
    </w:p>
    <w:p>
      <w:pPr>
        <w:spacing w:after="0" w:line="210" w:lineRule="exact"/>
        <w:rPr>
          <w:sz w:val="20"/>
          <w:szCs w:val="20"/>
          <w:color w:val="auto"/>
        </w:rPr>
      </w:pPr>
    </w:p>
    <w:p>
      <w:pPr>
        <w:ind w:left="500" w:right="20" w:firstLine="819"/>
        <w:spacing w:after="0" w:line="293" w:lineRule="auto"/>
        <w:rPr>
          <w:sz w:val="20"/>
          <w:szCs w:val="20"/>
          <w:color w:val="auto"/>
        </w:rPr>
      </w:pPr>
      <w:r>
        <w:rPr>
          <w:rFonts w:ascii="Arial" w:cs="Arial" w:eastAsia="Arial" w:hAnsi="Arial"/>
          <w:sz w:val="15"/>
          <w:szCs w:val="15"/>
          <w:color w:val="auto"/>
        </w:rPr>
        <w:t>As of March 31, 2020, options to purchase 219,460 shares of common stock were outstanding under our 2005 Plan (all of which were vested and exercisable as of such date) and options to purchase 682,218 shares of common stock were outstanding under our 2016 Plan (of which 219,373 shares were vested and exercisable as of such date). Additionally, 494,716 shares of common stock issuable upon the exercise of options will be granted in connection with this offering under our 2020 Plan, which will become effective in connection with this offering, to certain of our directors, executive officers and employees, at an exercise price per share equal to the initial public offering price in this offering.</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Warrants</w:t>
      </w:r>
    </w:p>
    <w:p>
      <w:pPr>
        <w:spacing w:after="0" w:line="210"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As of March 31, 2020, warrants to purchase an aggregate total of 681,256 shares of our common stock were outstanding. Pursuant to the terms thereof, these warrants were to have an exercise price per share equal to the fair market value of our common stock following January 10, 2020 (as determined by our board of directors, in good faith, based on the most recent independent third party valuation of our company available following January 10, 2020 performed pursuant to Section 409A of the Internal Revenue Code, and taking into account any changes to our business between the date of such third party valuation and January 10, 2020). In accordance with such terms, on February 6, 2020, our board of directors determined such fair market value of our common stock to be $8.63 per share.</w:t>
      </w:r>
    </w:p>
    <w:p>
      <w:pPr>
        <w:spacing w:after="0" w:line="169" w:lineRule="exact"/>
        <w:rPr>
          <w:sz w:val="20"/>
          <w:szCs w:val="20"/>
          <w:color w:val="auto"/>
        </w:rPr>
      </w:pPr>
    </w:p>
    <w:p>
      <w:pPr>
        <w:ind w:left="500" w:right="20" w:firstLine="819"/>
        <w:spacing w:after="0" w:line="285" w:lineRule="auto"/>
        <w:rPr>
          <w:sz w:val="20"/>
          <w:szCs w:val="20"/>
          <w:color w:val="auto"/>
        </w:rPr>
      </w:pPr>
      <w:r>
        <w:rPr>
          <w:rFonts w:ascii="Arial" w:cs="Arial" w:eastAsia="Arial" w:hAnsi="Arial"/>
          <w:sz w:val="15"/>
          <w:szCs w:val="15"/>
          <w:color w:val="auto"/>
        </w:rPr>
        <w:t>These warrants are exercisable immediately and expire on the earlier to occur of January 10, 2030, immediately prior to the closing of an initial public offering of shares of our common stock and the close of certain other liquidation transactions. Unless earlier exercised, these warrants will be automatically exercised, on a cashless basis, immediately prior to, and contingent upon, the closing of this offering, so long as the initial public offering price of our common stock exceeds the exercise price of the warrants. In the event the initial public offering price of our common stock would be less than the exercise price of the warrants, then the warrants will expire immediately prior to the closing of this offering. Based on an assumed initial public offering price of $15,00 per share, the midpoint of the price range set forth on the cover of this prospectus, the warrants would be exercised, on a cashless basis, for 289,298 shares of common stock immediately prior to the closing of this offering. A $1.00 increase or decrease in the assumed initial public offering price of $15.00 per share, the midpoint of the price range set forth on the cover page of this prospectus, would, in case of an increase, increase the number of shares of common stock issuable by 24,496 shares and, in case of a decrease, decrease the number of shares of common stock issuable by 27,992 shares, upon the automatic exercise, on a cashless basis, of the warrants.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Registration Rights</w:t>
      </w:r>
    </w:p>
    <w:p>
      <w:pPr>
        <w:spacing w:after="0" w:line="210" w:lineRule="exact"/>
        <w:rPr>
          <w:sz w:val="20"/>
          <w:szCs w:val="20"/>
          <w:color w:val="auto"/>
        </w:rPr>
      </w:pPr>
    </w:p>
    <w:p>
      <w:pPr>
        <w:ind w:left="500" w:right="420" w:firstLine="819"/>
        <w:spacing w:after="0" w:line="268" w:lineRule="auto"/>
        <w:rPr>
          <w:sz w:val="20"/>
          <w:szCs w:val="20"/>
          <w:color w:val="auto"/>
        </w:rPr>
      </w:pPr>
      <w:r>
        <w:rPr>
          <w:rFonts w:ascii="Arial" w:cs="Arial" w:eastAsia="Arial" w:hAnsi="Arial"/>
          <w:sz w:val="17"/>
          <w:szCs w:val="17"/>
          <w:color w:val="auto"/>
        </w:rPr>
        <w:t>Holders of 8,741,991 shares of our common stock are entitled to certain rights with respect to the registration of such shares for public resale under the Securities Act, pursuant to an amended and restated</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740"/>
          </w:cols>
          <w:pgMar w:left="320" w:top="437" w:right="8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both"/>
        <w:ind w:left="500" w:right="340"/>
        <w:spacing w:after="0" w:line="280" w:lineRule="auto"/>
        <w:rPr>
          <w:sz w:val="20"/>
          <w:szCs w:val="20"/>
          <w:color w:val="auto"/>
        </w:rPr>
      </w:pPr>
      <w:r>
        <w:rPr>
          <w:rFonts w:ascii="Arial" w:cs="Arial" w:eastAsia="Arial" w:hAnsi="Arial"/>
          <w:sz w:val="16"/>
          <w:szCs w:val="16"/>
          <w:color w:val="auto"/>
        </w:rPr>
        <w:t>investor rights agreement by and among us and certain of our stockholders, until the rights otherwise terminate pursuant to the terms of the investor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Form S-1 Registration Rights</w:t>
      </w:r>
    </w:p>
    <w:p>
      <w:pPr>
        <w:spacing w:after="0" w:line="206"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If at any time after the earlier of (i) January 10, 2025 or (ii) the date that is six months after the closing date of this offering, the holders of at least 30% of the registrable securities then outstanding request in writing that we effect a registration with respect to all or part of such registrable securities then outstanding having an anticipated aggregate offering price that would exceed $5,000,000,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06"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If at any time after this offering, we propose to register any shares of our common stock under the Securities Act, subject to certain exceptions, the holders of registrable securities then outstanding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06"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If, at any time after we become entitled under the Securities Act to register our shares on a registration statement on Form S-3, the holders of the registrable securities then outstanding request in writing that we effect a registration with respect to all or part of such registrable securities having an anticipated aggregate offering price to the public in the offering of at least $2,000,000, we will be required to effect such registration; provided, however, that we will not be required to effect such a registration if, within any twelve month period, we have already effected two registrations on Form S-3 for the holders of registrable securities.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Expenses and Indemnification</w:t>
      </w:r>
    </w:p>
    <w:p>
      <w:pPr>
        <w:spacing w:after="0" w:line="206" w:lineRule="exact"/>
        <w:rPr>
          <w:sz w:val="20"/>
          <w:szCs w:val="20"/>
          <w:color w:val="auto"/>
        </w:rPr>
      </w:pPr>
    </w:p>
    <w:p>
      <w:pPr>
        <w:ind w:left="500" w:right="60" w:firstLine="819"/>
        <w:spacing w:after="0" w:line="268" w:lineRule="auto"/>
        <w:rPr>
          <w:sz w:val="20"/>
          <w:szCs w:val="20"/>
          <w:color w:val="auto"/>
        </w:rPr>
      </w:pPr>
      <w:r>
        <w:rPr>
          <w:rFonts w:ascii="Arial" w:cs="Arial" w:eastAsia="Arial" w:hAnsi="Arial"/>
          <w:sz w:val="16"/>
          <w:szCs w:val="16"/>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 sky fees and expenses. Additionally, we have agreed to indemnify selling stockholders for damages, and any legal or other expenses reasonably incurred, arising from or based upon any untrue statement of a material fact contained in any registration statement, an omission or alleged omission to state a material fact in any registration statement or necessary to make the statements therein not misleading, or any violation or alleged violation by the indemnifying party of securities laws, subject to certain exceptions.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206" w:lineRule="exact"/>
        <w:rPr>
          <w:sz w:val="20"/>
          <w:szCs w:val="20"/>
          <w:color w:val="auto"/>
        </w:rPr>
      </w:pPr>
    </w:p>
    <w:p>
      <w:pPr>
        <w:ind w:left="500" w:right="80" w:firstLine="819"/>
        <w:spacing w:after="0" w:line="253" w:lineRule="auto"/>
        <w:rPr>
          <w:sz w:val="20"/>
          <w:szCs w:val="20"/>
          <w:color w:val="auto"/>
        </w:rPr>
      </w:pPr>
      <w:r>
        <w:rPr>
          <w:rFonts w:ascii="Arial" w:cs="Arial" w:eastAsia="Arial" w:hAnsi="Arial"/>
          <w:sz w:val="17"/>
          <w:szCs w:val="17"/>
          <w:color w:val="auto"/>
        </w:rPr>
        <w:t>The registration rights terminate upon the earlier of the date that is five years after the closing of this offering, the date on which no stockholder holds any registrable securities, the closing of a company sale, as defined in the investor rights agreement, or at such time as SEC Rule 144 or another similar exemption under the Securities Act is available for the sale of all of a stockholder’s shares without limitation during a three-month period without registration.</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720"/>
          </w:cols>
          <w:pgMar w:left="320" w:top="438" w:right="85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Anti-Takeover Effects of Delaware Law and Our Certificate of Incorporation and Bylaws</w:t>
      </w:r>
    </w:p>
    <w:p>
      <w:pPr>
        <w:spacing w:after="0" w:line="210" w:lineRule="exact"/>
        <w:rPr>
          <w:sz w:val="20"/>
          <w:szCs w:val="20"/>
          <w:color w:val="auto"/>
        </w:rPr>
      </w:pPr>
    </w:p>
    <w:p>
      <w:pPr>
        <w:ind w:left="500" w:right="120" w:firstLine="819"/>
        <w:spacing w:after="0" w:line="251" w:lineRule="auto"/>
        <w:rPr>
          <w:sz w:val="20"/>
          <w:szCs w:val="20"/>
          <w:color w:val="auto"/>
        </w:rPr>
      </w:pPr>
      <w:r>
        <w:rPr>
          <w:rFonts w:ascii="Arial" w:cs="Arial" w:eastAsia="Arial" w:hAnsi="Arial"/>
          <w:sz w:val="17"/>
          <w:szCs w:val="17"/>
          <w:color w:val="auto"/>
        </w:rPr>
        <w:t>Some provisions of Delaware law, our restated certificate of incorporation and our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3"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206" w:lineRule="exact"/>
        <w:rPr>
          <w:sz w:val="20"/>
          <w:szCs w:val="20"/>
          <w:color w:val="auto"/>
        </w:rPr>
      </w:pPr>
    </w:p>
    <w:p>
      <w:pPr>
        <w:ind w:left="500" w:right="20" w:firstLine="819"/>
        <w:spacing w:after="0" w:line="307" w:lineRule="auto"/>
        <w:rPr>
          <w:sz w:val="20"/>
          <w:szCs w:val="20"/>
          <w:color w:val="auto"/>
        </w:rPr>
      </w:pPr>
      <w:r>
        <w:rPr>
          <w:rFonts w:ascii="Arial" w:cs="Arial" w:eastAsia="Arial" w:hAnsi="Arial"/>
          <w:sz w:val="15"/>
          <w:szCs w:val="15"/>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Stockholder Meetings</w:t>
      </w:r>
    </w:p>
    <w:p>
      <w:pPr>
        <w:spacing w:after="0" w:line="206" w:lineRule="exact"/>
        <w:rPr>
          <w:sz w:val="20"/>
          <w:szCs w:val="20"/>
          <w:color w:val="auto"/>
        </w:rPr>
      </w:pPr>
    </w:p>
    <w:p>
      <w:pPr>
        <w:ind w:left="500" w:right="60" w:firstLine="819"/>
        <w:spacing w:after="0" w:line="299" w:lineRule="auto"/>
        <w:rPr>
          <w:sz w:val="20"/>
          <w:szCs w:val="20"/>
          <w:color w:val="auto"/>
        </w:rPr>
      </w:pPr>
      <w:r>
        <w:rPr>
          <w:rFonts w:ascii="Arial" w:cs="Arial" w:eastAsia="Arial" w:hAnsi="Arial"/>
          <w:sz w:val="16"/>
          <w:szCs w:val="16"/>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206"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Elimination of Stockholder Action by Written Consent</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Our restated certificate of incorporation eliminates the right of stockholders to act by written consent without a meeting.</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Staggered Board</w:t>
      </w:r>
    </w:p>
    <w:p>
      <w:pPr>
        <w:spacing w:after="0" w:line="206" w:lineRule="exact"/>
        <w:rPr>
          <w:sz w:val="20"/>
          <w:szCs w:val="20"/>
          <w:color w:val="auto"/>
        </w:rPr>
      </w:pPr>
    </w:p>
    <w:p>
      <w:pPr>
        <w:ind w:left="500" w:right="20" w:firstLine="819"/>
        <w:spacing w:after="0" w:line="274"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206" w:lineRule="exact"/>
        <w:rPr>
          <w:sz w:val="20"/>
          <w:szCs w:val="20"/>
          <w:color w:val="auto"/>
        </w:rPr>
      </w:pPr>
    </w:p>
    <w:p>
      <w:pPr>
        <w:ind w:left="500" w:right="40" w:firstLine="819"/>
        <w:spacing w:after="0" w:line="257" w:lineRule="auto"/>
        <w:rPr>
          <w:sz w:val="20"/>
          <w:szCs w:val="20"/>
          <w:color w:val="auto"/>
        </w:rPr>
      </w:pPr>
      <w:r>
        <w:rPr>
          <w:rFonts w:ascii="Arial" w:cs="Arial" w:eastAsia="Arial" w:hAnsi="Arial"/>
          <w:sz w:val="17"/>
          <w:szCs w:val="17"/>
          <w:color w:val="auto"/>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720"/>
          </w:cols>
          <w:pgMar w:left="320" w:top="437" w:right="85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Stockholders Not Entitled to Cumulative Voting</w:t>
      </w:r>
    </w:p>
    <w:p>
      <w:pPr>
        <w:spacing w:after="0" w:line="206" w:lineRule="exact"/>
        <w:rPr>
          <w:sz w:val="20"/>
          <w:szCs w:val="20"/>
          <w:color w:val="auto"/>
        </w:rPr>
      </w:pPr>
    </w:p>
    <w:p>
      <w:pPr>
        <w:ind w:left="500" w:right="40" w:firstLine="819"/>
        <w:spacing w:after="0" w:line="280" w:lineRule="auto"/>
        <w:rPr>
          <w:sz w:val="20"/>
          <w:szCs w:val="20"/>
          <w:color w:val="auto"/>
        </w:rPr>
      </w:pPr>
      <w:r>
        <w:rPr>
          <w:rFonts w:ascii="Arial" w:cs="Arial" w:eastAsia="Arial" w:hAnsi="Arial"/>
          <w:sz w:val="16"/>
          <w:szCs w:val="16"/>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206" w:lineRule="exact"/>
        <w:rPr>
          <w:sz w:val="20"/>
          <w:szCs w:val="20"/>
          <w:color w:val="auto"/>
        </w:rPr>
      </w:pPr>
    </w:p>
    <w:p>
      <w:pPr>
        <w:ind w:left="500" w:right="60" w:firstLine="819"/>
        <w:spacing w:after="0" w:line="267" w:lineRule="auto"/>
        <w:rPr>
          <w:sz w:val="20"/>
          <w:szCs w:val="20"/>
          <w:color w:val="auto"/>
        </w:rPr>
      </w:pPr>
      <w:r>
        <w:rPr>
          <w:rFonts w:ascii="Arial" w:cs="Arial" w:eastAsia="Arial" w:hAnsi="Arial"/>
          <w:sz w:val="16"/>
          <w:szCs w:val="16"/>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Choice of Forum</w:t>
      </w:r>
    </w:p>
    <w:p>
      <w:pPr>
        <w:spacing w:after="0" w:line="206" w:lineRule="exact"/>
        <w:rPr>
          <w:sz w:val="20"/>
          <w:szCs w:val="20"/>
          <w:color w:val="auto"/>
        </w:rPr>
      </w:pPr>
    </w:p>
    <w:p>
      <w:pPr>
        <w:ind w:left="500" w:right="20" w:firstLine="819"/>
        <w:spacing w:after="0" w:line="285" w:lineRule="auto"/>
        <w:rPr>
          <w:sz w:val="20"/>
          <w:szCs w:val="20"/>
          <w:color w:val="auto"/>
        </w:rPr>
      </w:pPr>
      <w:r>
        <w:rPr>
          <w:rFonts w:ascii="Arial" w:cs="Arial" w:eastAsia="Arial" w:hAnsi="Arial"/>
          <w:sz w:val="15"/>
          <w:szCs w:val="15"/>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w:t>
      </w:r>
    </w:p>
    <w:p>
      <w:pPr>
        <w:ind w:left="500" w:firstLine="3"/>
        <w:spacing w:after="0" w:line="283" w:lineRule="auto"/>
        <w:tabs>
          <w:tab w:leader="none" w:pos="73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Under our amended and restated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or both of the choice of forum provisions contained in our restated certificate of incorporation is inapplicable or unenforceable if it is challenged in a proceeding or otherwise.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206"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75" w:lineRule="exact"/>
        <w:rPr>
          <w:sz w:val="20"/>
          <w:szCs w:val="20"/>
          <w:color w:val="auto"/>
        </w:rPr>
      </w:pPr>
    </w:p>
    <w:p>
      <w:pPr>
        <w:ind w:left="500" w:right="420" w:firstLine="819"/>
        <w:spacing w:after="0" w:line="268" w:lineRule="auto"/>
        <w:rPr>
          <w:sz w:val="20"/>
          <w:szCs w:val="20"/>
          <w:color w:val="auto"/>
        </w:rPr>
      </w:pPr>
      <w:r>
        <w:rPr>
          <w:rFonts w:ascii="Arial" w:cs="Arial" w:eastAsia="Arial" w:hAnsi="Arial"/>
          <w:sz w:val="17"/>
          <w:szCs w:val="17"/>
          <w:color w:val="auto"/>
        </w:rPr>
        <w:t>The provisions of Delaware law, our restated certificate of incorporation and our restated bylaws could have the effect of discouraging others from attempting hostile takeovers and, as a consequence, they may also</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740"/>
          </w:cols>
          <w:pgMar w:left="320" w:top="437" w:right="8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line="280" w:lineRule="auto"/>
        <w:rPr>
          <w:sz w:val="20"/>
          <w:szCs w:val="20"/>
          <w:color w:val="auto"/>
        </w:rPr>
      </w:pPr>
      <w:r>
        <w:rPr>
          <w:rFonts w:ascii="Arial" w:cs="Arial" w:eastAsia="Arial" w:hAnsi="Arial"/>
          <w:sz w:val="16"/>
          <w:szCs w:val="16"/>
          <w:color w:val="auto"/>
        </w:rPr>
        <w:t>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Transfer Agent and Registrar</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transfer agent and registrar for our common stock will be American Stock Transfer &amp; Trust Company, LLC.</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Stock Exchange Listing</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We have applied to have our common stock listed on The Nasdaq Global Market under the symbol “LYRA.”</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480"/>
          </w:cols>
          <w:pgMar w:left="320" w:top="437" w:right="109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SHARES ELIGIBLE FOR FUTURE SALE</w:t>
      </w:r>
    </w:p>
    <w:p>
      <w:pPr>
        <w:spacing w:after="0" w:line="210" w:lineRule="exact"/>
        <w:rPr>
          <w:sz w:val="20"/>
          <w:szCs w:val="20"/>
          <w:color w:val="auto"/>
        </w:rPr>
      </w:pPr>
    </w:p>
    <w:p>
      <w:pPr>
        <w:ind w:left="500" w:right="120" w:firstLine="819"/>
        <w:spacing w:after="0" w:line="299" w:lineRule="auto"/>
        <w:rPr>
          <w:sz w:val="20"/>
          <w:szCs w:val="20"/>
          <w:color w:val="auto"/>
        </w:rPr>
      </w:pPr>
      <w:r>
        <w:rPr>
          <w:rFonts w:ascii="Arial" w:cs="Arial" w:eastAsia="Arial" w:hAnsi="Arial"/>
          <w:sz w:val="16"/>
          <w:szCs w:val="16"/>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44" w:lineRule="exact"/>
        <w:rPr>
          <w:sz w:val="20"/>
          <w:szCs w:val="20"/>
          <w:color w:val="auto"/>
        </w:rPr>
      </w:pPr>
    </w:p>
    <w:p>
      <w:pPr>
        <w:ind w:left="500" w:firstLine="819"/>
        <w:spacing w:after="0" w:line="285" w:lineRule="auto"/>
        <w:rPr>
          <w:sz w:val="20"/>
          <w:szCs w:val="20"/>
          <w:color w:val="auto"/>
        </w:rPr>
      </w:pPr>
      <w:r>
        <w:rPr>
          <w:rFonts w:ascii="Arial" w:cs="Arial" w:eastAsia="Arial" w:hAnsi="Arial"/>
          <w:sz w:val="15"/>
          <w:szCs w:val="15"/>
          <w:color w:val="auto"/>
        </w:rPr>
        <w:t>Upon the closing of this offering, we will have outstanding an aggregate of 12,376,378 shares of common stock, assuming the issuance of 3,500,000 shares of common stock offered by us in this offering, the automatic conversion of all outstanding shares of our preferred stock into 8,335,248 shares of our common stock, the issuance to George Whitesides, Ph.D., one of our directors, in lieu of compensation payable by us under a consulting agreement, of such number of fully vested shares of common stock equal to $314,580 divided by the initial public offering price per share, which, based on an assumed initial public offering price of $15.00 per share, the midpoint of the price range set forth on the cover of this prospectus, would result in the issuance of 20,972 shares of our common stock upon the closing of this offering, the automatic cashless exercise of outstanding warrants to purchase shares of common stock, which, based on an assumed initial public offering price of $15.00 per share, the midpoint of the price range set forth on the cover of this prospectus, would result in the issuance of 289,298 shares of our common stock upon the closing of this offering and no exercise of options after March 31, 2020.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57" w:lineRule="exact"/>
        <w:rPr>
          <w:sz w:val="20"/>
          <w:szCs w:val="20"/>
          <w:color w:val="auto"/>
        </w:rPr>
      </w:pPr>
    </w:p>
    <w:p>
      <w:pPr>
        <w:ind w:left="500" w:right="20" w:firstLine="819"/>
        <w:spacing w:after="0" w:line="250" w:lineRule="auto"/>
        <w:rPr>
          <w:sz w:val="20"/>
          <w:szCs w:val="20"/>
          <w:color w:val="auto"/>
        </w:rPr>
      </w:pPr>
      <w:r>
        <w:rPr>
          <w:rFonts w:ascii="Arial" w:cs="Arial" w:eastAsia="Arial" w:hAnsi="Arial"/>
          <w:sz w:val="17"/>
          <w:szCs w:val="17"/>
          <w:color w:val="auto"/>
        </w:rPr>
        <w:t>Upon the closing of this offering, 8,855,406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lock-up period, we estimate that approximately 8,855,406 shares will be available for sale in the public market, subject in some cases to applicable volume limitations under Rule 144.</w:t>
      </w:r>
    </w:p>
    <w:p>
      <w:pPr>
        <w:spacing w:after="0" w:line="184" w:lineRule="exact"/>
        <w:rPr>
          <w:sz w:val="20"/>
          <w:szCs w:val="20"/>
          <w:color w:val="auto"/>
        </w:rPr>
      </w:pPr>
    </w:p>
    <w:p>
      <w:pPr>
        <w:jc w:val="both"/>
        <w:ind w:left="500" w:right="380" w:firstLine="819"/>
        <w:spacing w:after="0" w:line="257" w:lineRule="auto"/>
        <w:rPr>
          <w:sz w:val="20"/>
          <w:szCs w:val="20"/>
          <w:color w:val="auto"/>
        </w:rPr>
      </w:pPr>
      <w:r>
        <w:rPr>
          <w:rFonts w:ascii="Arial" w:cs="Arial" w:eastAsia="Arial" w:hAnsi="Arial"/>
          <w:sz w:val="17"/>
          <w:szCs w:val="17"/>
          <w:color w:val="auto"/>
        </w:rPr>
        <w:t>In addition, of the 901,678 shares of our common stock that were subject to stock options outstanding as of March 31, 2020, options to purchase 438,833 shares of common stock were vested as of March 31, 2020 and, upon exercise, these shares will be eligible for sale subject to the lock–up agreements described below and Rules 144 and 701 under the Securities Act.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Lock-Up Agreements</w:t>
      </w:r>
    </w:p>
    <w:p>
      <w:pPr>
        <w:spacing w:after="0" w:line="210"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We and each of our directors and executive officers and holders of substantially all of our outstanding capital stock, have agreed that, without the prior written consent of BofA Securities, Inc. and Jefferies LLC, we and they will not, subject to certain exceptions, during the period ending 180 days after the date of this prospectus,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 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169" w:lineRule="exact"/>
        <w:rPr>
          <w:sz w:val="20"/>
          <w:szCs w:val="20"/>
          <w:color w:val="auto"/>
        </w:rPr>
      </w:pPr>
    </w:p>
    <w:p>
      <w:pPr>
        <w:ind w:left="500" w:right="20" w:firstLine="819"/>
        <w:spacing w:after="0" w:line="299" w:lineRule="auto"/>
        <w:rPr>
          <w:sz w:val="20"/>
          <w:szCs w:val="20"/>
          <w:color w:val="auto"/>
        </w:rPr>
      </w:pPr>
      <w:r>
        <w:rPr>
          <w:rFonts w:ascii="Arial" w:cs="Arial" w:eastAsia="Arial" w:hAnsi="Arial"/>
          <w:sz w:val="16"/>
          <w:szCs w:val="16"/>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p>
    <w:p>
      <w:pPr>
        <w:spacing w:after="0" w:line="8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740"/>
          </w:cols>
          <w:pgMar w:left="320" w:top="437" w:right="83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Rule 144</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Affiliate Resales of Restricted Securities</w:t>
      </w:r>
    </w:p>
    <w:p>
      <w:pPr>
        <w:spacing w:after="0" w:line="206"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205" w:lineRule="exact"/>
        <w:rPr>
          <w:sz w:val="20"/>
          <w:szCs w:val="20"/>
          <w:color w:val="auto"/>
        </w:rPr>
      </w:pPr>
    </w:p>
    <w:p>
      <w:pPr>
        <w:ind w:left="1720" w:right="80" w:hanging="301"/>
        <w:spacing w:after="0" w:line="268" w:lineRule="auto"/>
        <w:tabs>
          <w:tab w:leader="none" w:pos="17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123,763 shares immediately after this offering; or</w:t>
      </w:r>
    </w:p>
    <w:p>
      <w:pPr>
        <w:spacing w:after="0" w:line="191" w:lineRule="exact"/>
        <w:rPr>
          <w:rFonts w:ascii="Arial" w:cs="Arial" w:eastAsia="Arial" w:hAnsi="Arial"/>
          <w:sz w:val="17"/>
          <w:szCs w:val="17"/>
          <w:color w:val="auto"/>
        </w:rPr>
      </w:pPr>
    </w:p>
    <w:p>
      <w:pPr>
        <w:ind w:left="1720" w:right="80" w:hanging="301"/>
        <w:spacing w:after="0" w:line="268" w:lineRule="auto"/>
        <w:tabs>
          <w:tab w:leader="none" w:pos="17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The Nasdaq Global Market during the four calendar weeks preceding the filing of a notice on Form 144 with respect to such sale.</w:t>
      </w:r>
    </w:p>
    <w:p>
      <w:pPr>
        <w:spacing w:after="0" w:line="166"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Securities and Exchange Commission and Nasdaq concurrently with either the placing of a sale order with the broker or the execution directly with a market maker.</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Non-Affiliate Resales of Restricted Securities</w:t>
      </w:r>
    </w:p>
    <w:p>
      <w:pPr>
        <w:spacing w:after="0" w:line="206" w:lineRule="exact"/>
        <w:rPr>
          <w:sz w:val="20"/>
          <w:szCs w:val="20"/>
          <w:color w:val="auto"/>
        </w:rPr>
      </w:pPr>
    </w:p>
    <w:p>
      <w:pPr>
        <w:ind w:left="500" w:right="160" w:firstLine="819"/>
        <w:spacing w:after="0" w:line="293" w:lineRule="auto"/>
        <w:rPr>
          <w:sz w:val="20"/>
          <w:szCs w:val="20"/>
          <w:color w:val="auto"/>
        </w:rPr>
      </w:pPr>
      <w:r>
        <w:rPr>
          <w:rFonts w:ascii="Arial" w:cs="Arial" w:eastAsia="Arial" w:hAnsi="Arial"/>
          <w:sz w:val="15"/>
          <w:szCs w:val="15"/>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52"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Non-affiliate resales are not subject to the manner of sale, volume limitation or notice filing provisions of Rule 144.</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Rule 701</w:t>
      </w:r>
    </w:p>
    <w:p>
      <w:pPr>
        <w:spacing w:after="0" w:line="210" w:lineRule="exact"/>
        <w:rPr>
          <w:sz w:val="20"/>
          <w:szCs w:val="20"/>
          <w:color w:val="auto"/>
        </w:rPr>
      </w:pPr>
    </w:p>
    <w:p>
      <w:pPr>
        <w:ind w:left="500" w:right="20" w:firstLine="819"/>
        <w:spacing w:after="0" w:line="271" w:lineRule="auto"/>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66" w:lineRule="exact"/>
        <w:rPr>
          <w:sz w:val="20"/>
          <w:szCs w:val="20"/>
          <w:color w:val="auto"/>
        </w:rPr>
      </w:pPr>
    </w:p>
    <w:p>
      <w:pPr>
        <w:ind w:left="500" w:right="220" w:firstLine="819"/>
        <w:spacing w:after="0" w:line="257" w:lineRule="auto"/>
        <w:rPr>
          <w:sz w:val="20"/>
          <w:szCs w:val="20"/>
          <w:color w:val="auto"/>
        </w:rPr>
      </w:pPr>
      <w:r>
        <w:rPr>
          <w:rFonts w:ascii="Arial" w:cs="Arial" w:eastAsia="Arial" w:hAnsi="Arial"/>
          <w:sz w:val="17"/>
          <w:szCs w:val="17"/>
          <w:color w:val="auto"/>
        </w:rPr>
        <w:t>The Securities and Exchange Commission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Equity Plans</w:t>
      </w:r>
    </w:p>
    <w:p>
      <w:pPr>
        <w:spacing w:after="0" w:line="210"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740"/>
          </w:cols>
          <w:pgMar w:left="320" w:top="438" w:right="8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both"/>
        <w:ind w:left="500" w:right="280"/>
        <w:spacing w:after="0" w:line="257" w:lineRule="auto"/>
        <w:rPr>
          <w:sz w:val="20"/>
          <w:szCs w:val="20"/>
          <w:color w:val="auto"/>
        </w:rPr>
      </w:pPr>
      <w:r>
        <w:rPr>
          <w:rFonts w:ascii="Arial" w:cs="Arial" w:eastAsia="Arial" w:hAnsi="Arial"/>
          <w:sz w:val="17"/>
          <w:szCs w:val="17"/>
          <w:color w:val="auto"/>
        </w:rPr>
        <w:t>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Registration Rights</w:t>
      </w:r>
    </w:p>
    <w:p>
      <w:pPr>
        <w:spacing w:after="0" w:line="210" w:lineRule="exact"/>
        <w:rPr>
          <w:sz w:val="20"/>
          <w:szCs w:val="20"/>
          <w:color w:val="auto"/>
        </w:rPr>
      </w:pPr>
    </w:p>
    <w:p>
      <w:pPr>
        <w:ind w:left="500" w:firstLine="819"/>
        <w:spacing w:after="0" w:line="290" w:lineRule="auto"/>
        <w:rPr>
          <w:sz w:val="20"/>
          <w:szCs w:val="20"/>
          <w:color w:val="auto"/>
        </w:rPr>
      </w:pPr>
      <w:r>
        <w:rPr>
          <w:rFonts w:ascii="Arial" w:cs="Arial" w:eastAsia="Arial" w:hAnsi="Arial"/>
          <w:sz w:val="15"/>
          <w:szCs w:val="15"/>
          <w:color w:val="auto"/>
        </w:rPr>
        <w:t>Upon the closing of this offering, the holders of 8,741,991 shares of common stock, which includes all of the shares of common stock issuable upon the automatic conversion of our preferred stock upon the closing of this offering,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 described above.</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680"/>
          </w:cols>
          <w:pgMar w:left="320" w:top="438" w:right="89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MATERIAL U.S. FEDERAL INCOME TAX CONSEQUENCES TO NON-U.S. HOLDERS</w:t>
      </w:r>
    </w:p>
    <w:p>
      <w:pPr>
        <w:spacing w:after="0" w:line="210" w:lineRule="exact"/>
        <w:rPr>
          <w:sz w:val="20"/>
          <w:szCs w:val="20"/>
          <w:color w:val="auto"/>
        </w:rPr>
      </w:pPr>
    </w:p>
    <w:p>
      <w:pPr>
        <w:ind w:left="500" w:firstLine="819"/>
        <w:spacing w:after="0" w:line="286" w:lineRule="auto"/>
        <w:rPr>
          <w:sz w:val="20"/>
          <w:szCs w:val="20"/>
          <w:color w:val="auto"/>
        </w:rPr>
      </w:pPr>
      <w:r>
        <w:rPr>
          <w:rFonts w:ascii="Arial" w:cs="Arial" w:eastAsia="Arial" w:hAnsi="Arial"/>
          <w:sz w:val="15"/>
          <w:szCs w:val="15"/>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59" w:lineRule="exact"/>
        <w:rPr>
          <w:sz w:val="20"/>
          <w:szCs w:val="20"/>
          <w:color w:val="auto"/>
        </w:rPr>
      </w:pPr>
    </w:p>
    <w:p>
      <w:pPr>
        <w:ind w:left="500" w:right="200" w:firstLine="819"/>
        <w:spacing w:after="0" w:line="274" w:lineRule="auto"/>
        <w:rPr>
          <w:sz w:val="20"/>
          <w:szCs w:val="20"/>
          <w:color w:val="auto"/>
        </w:rPr>
      </w:pPr>
      <w:r>
        <w:rPr>
          <w:rFonts w:ascii="Arial" w:cs="Arial" w:eastAsia="Arial" w:hAnsi="Arial"/>
          <w:sz w:val="16"/>
          <w:szCs w:val="16"/>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89" w:lineRule="exact"/>
        <w:rPr>
          <w:sz w:val="20"/>
          <w:szCs w:val="20"/>
          <w:color w:val="auto"/>
        </w:rPr>
      </w:pPr>
    </w:p>
    <w:p>
      <w:pPr>
        <w:ind w:left="1720" w:hanging="301"/>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U.S. expatriates and certain former citizens or long-term residents of the United States;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1" w:lineRule="exact"/>
        <w:rPr>
          <w:rFonts w:ascii="Arial" w:cs="Arial" w:eastAsia="Arial" w:hAnsi="Arial"/>
          <w:sz w:val="17"/>
          <w:szCs w:val="17"/>
          <w:color w:val="auto"/>
        </w:rPr>
      </w:pPr>
    </w:p>
    <w:p>
      <w:pPr>
        <w:ind w:left="1720" w:right="40" w:hanging="301"/>
        <w:spacing w:after="0" w:line="268" w:lineRule="auto"/>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persons holding our common stock as part of a hedge, straddle or other risk reduction strategy or as part of a conversion transaction or other integrated investment;</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banks, insurance companies, and other financial institutions;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brokers, dealers or traders in securities;</w:t>
      </w:r>
    </w:p>
    <w:p>
      <w:pPr>
        <w:spacing w:after="0" w:line="231" w:lineRule="exact"/>
        <w:rPr>
          <w:rFonts w:ascii="Arial" w:cs="Arial" w:eastAsia="Arial" w:hAnsi="Arial"/>
          <w:sz w:val="17"/>
          <w:szCs w:val="17"/>
          <w:color w:val="auto"/>
        </w:rPr>
      </w:pPr>
    </w:p>
    <w:p>
      <w:pPr>
        <w:ind w:left="1720" w:right="180" w:hanging="301"/>
        <w:spacing w:after="0" w:line="268" w:lineRule="auto"/>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191" w:lineRule="exact"/>
        <w:rPr>
          <w:rFonts w:ascii="Arial" w:cs="Arial" w:eastAsia="Arial" w:hAnsi="Arial"/>
          <w:sz w:val="17"/>
          <w:szCs w:val="17"/>
          <w:color w:val="auto"/>
        </w:rPr>
      </w:pPr>
    </w:p>
    <w:p>
      <w:pPr>
        <w:ind w:left="1720" w:hanging="301"/>
        <w:spacing w:after="0"/>
        <w:tabs>
          <w:tab w:leader="none" w:pos="17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partnerships or other entities or arrangements treated as partnerships for U.S. federal income tax purposes (and investors therein);</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tax-exempt organizations or governmental organizations;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for whom our common stock constitutes “qualified small business stock” within the meaning of Section 1202 of the Code;</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254" w:lineRule="exact"/>
        <w:rPr>
          <w:rFonts w:ascii="Arial" w:cs="Arial" w:eastAsia="Arial" w:hAnsi="Arial"/>
          <w:sz w:val="15"/>
          <w:szCs w:val="15"/>
          <w:color w:val="auto"/>
        </w:rPr>
      </w:pPr>
    </w:p>
    <w:p>
      <w:pPr>
        <w:ind w:left="1720" w:hanging="301"/>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tax-qualified retirement plans; and</w:t>
      </w:r>
    </w:p>
    <w:p>
      <w:pPr>
        <w:spacing w:after="0" w:line="231" w:lineRule="exact"/>
        <w:rPr>
          <w:rFonts w:ascii="Arial" w:cs="Arial" w:eastAsia="Arial" w:hAnsi="Arial"/>
          <w:sz w:val="17"/>
          <w:szCs w:val="17"/>
          <w:color w:val="auto"/>
        </w:rPr>
      </w:pPr>
    </w:p>
    <w:p>
      <w:pPr>
        <w:ind w:left="1720" w:right="400" w:hanging="301"/>
        <w:spacing w:after="0" w:line="268" w:lineRule="auto"/>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740"/>
          </w:cols>
          <w:pgMar w:left="320" w:top="438" w:right="8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180" w:firstLine="819"/>
        <w:spacing w:after="0" w:line="253" w:lineRule="auto"/>
        <w:rPr>
          <w:sz w:val="20"/>
          <w:szCs w:val="20"/>
          <w:color w:val="auto"/>
        </w:rPr>
      </w:pPr>
      <w:r>
        <w:rPr>
          <w:rFonts w:ascii="Arial" w:cs="Arial" w:eastAsia="Arial" w:hAnsi="Arial"/>
          <w:sz w:val="17"/>
          <w:szCs w:val="17"/>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76"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Definition of a Non-U.S. Holder</w:t>
      </w:r>
    </w:p>
    <w:p>
      <w:pPr>
        <w:spacing w:after="0" w:line="206" w:lineRule="exact"/>
        <w:rPr>
          <w:sz w:val="20"/>
          <w:szCs w:val="20"/>
          <w:color w:val="auto"/>
        </w:rPr>
      </w:pPr>
    </w:p>
    <w:p>
      <w:pPr>
        <w:ind w:left="500" w:right="260" w:firstLine="819"/>
        <w:spacing w:after="0" w:line="257"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01" w:lineRule="exact"/>
        <w:rPr>
          <w:sz w:val="20"/>
          <w:szCs w:val="20"/>
          <w:color w:val="auto"/>
        </w:rPr>
      </w:pPr>
    </w:p>
    <w:p>
      <w:pPr>
        <w:ind w:left="1720" w:hanging="301"/>
        <w:spacing w:after="0"/>
        <w:tabs>
          <w:tab w:leader="none" w:pos="17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31" w:lineRule="exact"/>
        <w:rPr>
          <w:rFonts w:ascii="Arial" w:cs="Arial" w:eastAsia="Arial" w:hAnsi="Arial"/>
          <w:sz w:val="17"/>
          <w:szCs w:val="17"/>
          <w:color w:val="auto"/>
        </w:rPr>
      </w:pPr>
    </w:p>
    <w:p>
      <w:pPr>
        <w:ind w:left="1720" w:right="80" w:hanging="301"/>
        <w:spacing w:after="0" w:line="257" w:lineRule="auto"/>
        <w:tabs>
          <w:tab w:leader="none" w:pos="17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Distributions</w:t>
      </w:r>
    </w:p>
    <w:p>
      <w:pPr>
        <w:spacing w:after="0" w:line="206" w:lineRule="exact"/>
        <w:rPr>
          <w:sz w:val="20"/>
          <w:szCs w:val="20"/>
          <w:color w:val="auto"/>
        </w:rPr>
      </w:pPr>
    </w:p>
    <w:p>
      <w:pPr>
        <w:ind w:left="500" w:firstLine="819"/>
        <w:spacing w:after="0" w:line="267" w:lineRule="auto"/>
        <w:rPr>
          <w:sz w:val="20"/>
          <w:szCs w:val="20"/>
          <w:color w:val="auto"/>
        </w:rPr>
      </w:pPr>
      <w:r>
        <w:rPr>
          <w:rFonts w:ascii="Arial" w:cs="Arial" w:eastAsia="Arial" w:hAnsi="Arial"/>
          <w:sz w:val="16"/>
          <w:szCs w:val="16"/>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70"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0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720"/>
          </w:cols>
          <w:pgMar w:left="320" w:top="437" w:right="8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66" w:lineRule="exact"/>
        <w:rPr>
          <w:sz w:val="20"/>
          <w:szCs w:val="20"/>
          <w:color w:val="auto"/>
        </w:rPr>
      </w:pPr>
    </w:p>
    <w:p>
      <w:pPr>
        <w:ind w:left="500" w:right="120" w:firstLine="819"/>
        <w:spacing w:after="0" w:line="253"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Sale or Other Taxable Disposition</w:t>
      </w:r>
    </w:p>
    <w:p>
      <w:pPr>
        <w:spacing w:after="0" w:line="206" w:lineRule="exact"/>
        <w:rPr>
          <w:sz w:val="20"/>
          <w:szCs w:val="20"/>
          <w:color w:val="auto"/>
        </w:rPr>
      </w:pPr>
    </w:p>
    <w:p>
      <w:pPr>
        <w:ind w:left="500" w:right="400" w:firstLine="819"/>
        <w:spacing w:after="0" w:line="268" w:lineRule="auto"/>
        <w:rPr>
          <w:sz w:val="20"/>
          <w:szCs w:val="20"/>
          <w:color w:val="auto"/>
        </w:rPr>
      </w:pPr>
      <w:r>
        <w:rPr>
          <w:rFonts w:ascii="Arial" w:cs="Arial" w:eastAsia="Arial" w:hAnsi="Arial"/>
          <w:sz w:val="17"/>
          <w:szCs w:val="17"/>
          <w:color w:val="auto"/>
        </w:rPr>
        <w:t>A Non-U.S. Holder will not be subject to U.S. federal income tax on any gain realized upon the sale or other taxable disposition of our common stock unless:</w:t>
      </w:r>
    </w:p>
    <w:p>
      <w:pPr>
        <w:spacing w:after="0" w:line="191" w:lineRule="exact"/>
        <w:rPr>
          <w:sz w:val="20"/>
          <w:szCs w:val="20"/>
          <w:color w:val="auto"/>
        </w:rPr>
      </w:pPr>
    </w:p>
    <w:p>
      <w:pPr>
        <w:ind w:left="1720" w:right="80" w:hanging="301"/>
        <w:spacing w:after="0" w:line="257" w:lineRule="auto"/>
        <w:tabs>
          <w:tab w:leader="none" w:pos="17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00" w:lineRule="exact"/>
        <w:rPr>
          <w:rFonts w:ascii="Arial" w:cs="Arial" w:eastAsia="Arial" w:hAnsi="Arial"/>
          <w:sz w:val="17"/>
          <w:szCs w:val="17"/>
          <w:color w:val="auto"/>
        </w:rPr>
      </w:pPr>
    </w:p>
    <w:p>
      <w:pPr>
        <w:ind w:left="1720" w:right="120" w:hanging="301"/>
        <w:spacing w:after="0" w:line="268" w:lineRule="auto"/>
        <w:tabs>
          <w:tab w:leader="none" w:pos="17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191" w:lineRule="exact"/>
        <w:rPr>
          <w:rFonts w:ascii="Arial" w:cs="Arial" w:eastAsia="Arial" w:hAnsi="Arial"/>
          <w:sz w:val="17"/>
          <w:szCs w:val="17"/>
          <w:color w:val="auto"/>
        </w:rPr>
      </w:pPr>
    </w:p>
    <w:p>
      <w:pPr>
        <w:ind w:left="1720" w:right="700" w:hanging="301"/>
        <w:spacing w:after="0" w:line="268" w:lineRule="auto"/>
        <w:tabs>
          <w:tab w:leader="none" w:pos="17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or USRPI, by reason of our status as a U.S. real property holding corporation, or USRPHC, for U.S. federal income tax purposes.</w:t>
      </w:r>
    </w:p>
    <w:p>
      <w:pPr>
        <w:spacing w:after="0" w:line="166" w:lineRule="exact"/>
        <w:rPr>
          <w:sz w:val="20"/>
          <w:szCs w:val="20"/>
          <w:color w:val="auto"/>
        </w:rPr>
      </w:pPr>
    </w:p>
    <w:p>
      <w:pPr>
        <w:ind w:left="500" w:right="120" w:firstLine="819"/>
        <w:spacing w:after="0" w:line="257"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75" w:lineRule="exact"/>
        <w:rPr>
          <w:sz w:val="20"/>
          <w:szCs w:val="20"/>
          <w:color w:val="auto"/>
        </w:rPr>
      </w:pPr>
    </w:p>
    <w:p>
      <w:pPr>
        <w:ind w:left="500" w:right="20" w:firstLine="819"/>
        <w:spacing w:after="0" w:line="307" w:lineRule="auto"/>
        <w:rPr>
          <w:sz w:val="20"/>
          <w:szCs w:val="20"/>
          <w:color w:val="auto"/>
        </w:rPr>
      </w:pPr>
      <w:r>
        <w:rPr>
          <w:rFonts w:ascii="Arial" w:cs="Arial" w:eastAsia="Arial" w:hAnsi="Arial"/>
          <w:sz w:val="15"/>
          <w:szCs w:val="15"/>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1" w:lineRule="exact"/>
        <w:rPr>
          <w:sz w:val="20"/>
          <w:szCs w:val="20"/>
          <w:color w:val="auto"/>
        </w:rPr>
      </w:pPr>
    </w:p>
    <w:p>
      <w:pPr>
        <w:ind w:left="500" w:right="20" w:firstLine="819"/>
        <w:spacing w:after="0" w:line="287"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Non-U.S. Holders are encouraged to consult their tax advisors regarding the possible consequences to them if we are, or were to become, a USRPHC.</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740"/>
          </w:cols>
          <w:pgMar w:left="320" w:top="437" w:right="8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206" w:lineRule="exact"/>
        <w:rPr>
          <w:sz w:val="20"/>
          <w:szCs w:val="20"/>
          <w:color w:val="auto"/>
        </w:rPr>
      </w:pPr>
    </w:p>
    <w:p>
      <w:pPr>
        <w:ind w:left="500" w:right="20" w:firstLine="819"/>
        <w:spacing w:after="0" w:line="266" w:lineRule="auto"/>
        <w:rPr>
          <w:sz w:val="20"/>
          <w:szCs w:val="20"/>
          <w:color w:val="auto"/>
        </w:rPr>
      </w:pPr>
      <w:r>
        <w:rPr>
          <w:rFonts w:ascii="Arial" w:cs="Arial" w:eastAsia="Arial" w:hAnsi="Arial"/>
          <w:sz w:val="16"/>
          <w:szCs w:val="16"/>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73" w:lineRule="exact"/>
        <w:rPr>
          <w:sz w:val="20"/>
          <w:szCs w:val="20"/>
          <w:color w:val="auto"/>
        </w:rPr>
      </w:pPr>
    </w:p>
    <w:p>
      <w:pPr>
        <w:ind w:left="500" w:right="620" w:firstLine="819"/>
        <w:spacing w:after="0" w:line="268" w:lineRule="auto"/>
        <w:rPr>
          <w:sz w:val="20"/>
          <w:szCs w:val="20"/>
          <w:color w:val="auto"/>
        </w:rPr>
      </w:pPr>
      <w:r>
        <w:rPr>
          <w:rFonts w:ascii="Arial" w:cs="Arial" w:eastAsia="Arial" w:hAnsi="Arial"/>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6" w:lineRule="exact"/>
        <w:rPr>
          <w:sz w:val="20"/>
          <w:szCs w:val="20"/>
          <w:color w:val="auto"/>
        </w:rPr>
      </w:pPr>
    </w:p>
    <w:p>
      <w:pPr>
        <w:ind w:left="500" w:right="280" w:firstLine="819"/>
        <w:spacing w:after="0" w:line="335"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Additional Withholding Tax on Payments Made to Foreign Accounts</w:t>
      </w:r>
    </w:p>
    <w:p>
      <w:pPr>
        <w:spacing w:after="0" w:line="206" w:lineRule="exact"/>
        <w:rPr>
          <w:sz w:val="20"/>
          <w:szCs w:val="20"/>
          <w:color w:val="auto"/>
        </w:rPr>
      </w:pPr>
    </w:p>
    <w:p>
      <w:pPr>
        <w:ind w:left="500" w:firstLine="819"/>
        <w:spacing w:after="0" w:line="284" w:lineRule="auto"/>
        <w:rPr>
          <w:sz w:val="20"/>
          <w:szCs w:val="20"/>
          <w:color w:val="auto"/>
        </w:rPr>
      </w:pPr>
      <w:r>
        <w:rPr>
          <w:rFonts w:ascii="Arial" w:cs="Arial" w:eastAsia="Arial" w:hAnsi="Arial"/>
          <w:sz w:val="15"/>
          <w:szCs w:val="15"/>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2" w:lineRule="exact"/>
        <w:rPr>
          <w:sz w:val="20"/>
          <w:szCs w:val="20"/>
          <w:color w:val="auto"/>
        </w:rPr>
      </w:pPr>
    </w:p>
    <w:p>
      <w:pPr>
        <w:ind w:left="500" w:right="140" w:firstLine="819"/>
        <w:spacing w:after="0" w:line="274"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64" w:lineRule="exact"/>
        <w:rPr>
          <w:sz w:val="20"/>
          <w:szCs w:val="20"/>
          <w:color w:val="auto"/>
        </w:rPr>
      </w:pPr>
    </w:p>
    <w:p>
      <w:pPr>
        <w:ind w:left="500" w:right="120" w:firstLine="819"/>
        <w:spacing w:after="0" w:line="307" w:lineRule="auto"/>
        <w:rPr>
          <w:sz w:val="20"/>
          <w:szCs w:val="20"/>
          <w:color w:val="auto"/>
        </w:rPr>
      </w:pPr>
      <w:r>
        <w:rPr>
          <w:rFonts w:ascii="Arial" w:cs="Arial" w:eastAsia="Arial" w:hAnsi="Arial"/>
          <w:sz w:val="15"/>
          <w:szCs w:val="15"/>
          <w:color w:val="auto"/>
        </w:rPr>
        <w:t>Because we may not know the extent to which a distribution is a dividend for U.S. federal income tax purposes at the time it is made, for purposes of these withholding rules we or the applicable withholding agent may treat the entire distribution as a dividend. Prospective investors should consult their tax advisors regarding the potential application of withholding under FATCA to their investment in our common stock.</w:t>
      </w:r>
    </w:p>
    <w:p>
      <w:pPr>
        <w:spacing w:after="0" w:line="7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720"/>
          </w:cols>
          <w:pgMar w:left="320" w:top="437" w:right="85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UNDERWRITING</w:t>
      </w:r>
    </w:p>
    <w:p>
      <w:pPr>
        <w:spacing w:after="0" w:line="210"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BofA Securities, Inc., Jefferies LLC and William Blair &amp; Company,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6"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820" w:type="dxa"/>
            <w:vAlign w:val="bottom"/>
            <w:gridSpan w:val="3"/>
          </w:tcPr>
          <w:p>
            <w:pPr>
              <w:jc w:val="center"/>
              <w:ind w:left="3133"/>
              <w:spacing w:after="0"/>
              <w:rPr>
                <w:sz w:val="20"/>
                <w:szCs w:val="20"/>
                <w:color w:val="auto"/>
              </w:rPr>
            </w:pPr>
            <w:r>
              <w:rPr>
                <w:rFonts w:ascii="Arial" w:cs="Arial" w:eastAsia="Arial" w:hAnsi="Arial"/>
                <w:sz w:val="13"/>
                <w:szCs w:val="13"/>
                <w:b w:val="1"/>
                <w:bCs w:val="1"/>
                <w:color w:val="auto"/>
                <w:w w:val="95"/>
              </w:rPr>
              <w:t>Number of</w:t>
            </w:r>
          </w:p>
        </w:tc>
      </w:tr>
      <w:tr>
        <w:trPr>
          <w:trHeight w:val="15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Underwriter</w:t>
            </w:r>
          </w:p>
        </w:tc>
        <w:tc>
          <w:tcPr>
            <w:tcW w:w="31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0</wp:posOffset>
            </wp:positionV>
            <wp:extent cx="5555615" cy="1276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55615" cy="12763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BofA Securities, Inc.</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Jefferies LLC</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-123190</wp:posOffset>
            </wp:positionV>
            <wp:extent cx="5555615" cy="1276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55615" cy="12763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BTIG, LLC</w:t>
      </w:r>
    </w:p>
    <w:p>
      <w:pPr>
        <w:spacing w:after="0" w:line="5" w:lineRule="exact"/>
        <w:rPr>
          <w:sz w:val="20"/>
          <w:szCs w:val="20"/>
          <w:color w:val="auto"/>
        </w:rPr>
      </w:pPr>
    </w:p>
    <w:tbl>
      <w:tblPr>
        <w:tblLayout w:type="fixed"/>
        <w:tblInd w:w="1260" w:type="dxa"/>
        <w:tblCellMar>
          <w:top w:w="0" w:type="dxa"/>
          <w:left w:w="0" w:type="dxa"/>
          <w:bottom w:w="0" w:type="dxa"/>
          <w:right w:w="0" w:type="dxa"/>
        </w:tblCellMar>
      </w:tblPr>
      <w:tr>
        <w:trPr>
          <w:trHeight w:val="206"/>
        </w:trPr>
        <w:tc>
          <w:tcPr>
            <w:tcW w:w="786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3,500,000</w:t>
            </w:r>
          </w:p>
        </w:tc>
        <w:tc>
          <w:tcPr>
            <w:tcW w:w="60" w:type="dxa"/>
            <w:vAlign w:val="bottom"/>
            <w:shd w:val="clear" w:color="auto" w:fill="CCEEFF"/>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360" w:firstLine="819"/>
        <w:spacing w:after="0" w:line="253"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500" w:right="200" w:firstLine="819"/>
        <w:spacing w:after="0" w:line="26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6" w:lineRule="exact"/>
        <w:rPr>
          <w:sz w:val="20"/>
          <w:szCs w:val="20"/>
          <w:color w:val="auto"/>
        </w:rPr>
      </w:pPr>
    </w:p>
    <w:p>
      <w:pPr>
        <w:ind w:left="500" w:right="100" w:firstLine="819"/>
        <w:spacing w:after="0" w:line="253"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Commissions and Discounts</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representatives have advised us that the underwriters propose initially to offer the shares to the public at the public offering price set</w:t>
      </w:r>
    </w:p>
    <w:p>
      <w:pPr>
        <w:spacing w:after="0" w:line="41" w:lineRule="exact"/>
        <w:rPr>
          <w:sz w:val="20"/>
          <w:szCs w:val="20"/>
          <w:color w:val="auto"/>
        </w:rPr>
      </w:pPr>
    </w:p>
    <w:p>
      <w:pPr>
        <w:ind w:left="500" w:right="180"/>
        <w:spacing w:after="0" w:line="253" w:lineRule="auto"/>
        <w:rPr>
          <w:sz w:val="20"/>
          <w:szCs w:val="20"/>
          <w:color w:val="auto"/>
        </w:rPr>
      </w:pPr>
      <w:r>
        <w:rPr>
          <w:rFonts w:ascii="Arial" w:cs="Arial" w:eastAsia="Arial" w:hAnsi="Arial"/>
          <w:sz w:val="17"/>
          <w:szCs w:val="17"/>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78" w:lineRule="exact"/>
        <w:rPr>
          <w:sz w:val="20"/>
          <w:szCs w:val="20"/>
          <w:color w:val="auto"/>
        </w:rPr>
      </w:pPr>
    </w:p>
    <w:p>
      <w:pPr>
        <w:ind w:left="500" w:right="120" w:firstLine="819"/>
        <w:spacing w:after="0" w:line="268" w:lineRule="auto"/>
        <w:rPr>
          <w:sz w:val="20"/>
          <w:szCs w:val="20"/>
          <w:color w:val="auto"/>
        </w:rPr>
      </w:pPr>
      <w:r>
        <w:rPr>
          <w:rFonts w:ascii="Arial" w:cs="Arial" w:eastAsia="Arial" w:hAnsi="Arial"/>
          <w:sz w:val="17"/>
          <w:szCs w:val="17"/>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3" w:lineRule="exact"/>
        <w:rPr>
          <w:sz w:val="20"/>
          <w:szCs w:val="20"/>
          <w:color w:val="auto"/>
        </w:rPr>
      </w:pPr>
    </w:p>
    <w:tbl>
      <w:tblPr>
        <w:tblLayout w:type="fixed"/>
        <w:tblInd w:w="12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w w:val="92"/>
              </w:rPr>
              <w:t>Per Share</w:t>
            </w:r>
          </w:p>
        </w:tc>
        <w:tc>
          <w:tcPr>
            <w:tcW w:w="1780" w:type="dxa"/>
            <w:vAlign w:val="bottom"/>
            <w:gridSpan w:val="2"/>
          </w:tcPr>
          <w:p>
            <w:pPr>
              <w:ind w:left="860"/>
              <w:spacing w:after="0"/>
              <w:rPr>
                <w:sz w:val="20"/>
                <w:szCs w:val="20"/>
                <w:color w:val="auto"/>
              </w:rPr>
            </w:pPr>
            <w:r>
              <w:rPr>
                <w:rFonts w:ascii="Arial" w:cs="Arial" w:eastAsia="Arial" w:hAnsi="Arial"/>
                <w:sz w:val="13"/>
                <w:szCs w:val="13"/>
                <w:b w:val="1"/>
                <w:bCs w:val="1"/>
                <w:color w:val="auto"/>
                <w:w w:val="95"/>
              </w:rPr>
              <w:t>Without Option</w:t>
            </w:r>
          </w:p>
        </w:tc>
        <w:tc>
          <w:tcPr>
            <w:tcW w:w="1660" w:type="dxa"/>
            <w:vAlign w:val="bottom"/>
            <w:gridSpan w:val="3"/>
          </w:tcPr>
          <w:p>
            <w:pPr>
              <w:ind w:left="880"/>
              <w:spacing w:after="0"/>
              <w:rPr>
                <w:sz w:val="20"/>
                <w:szCs w:val="20"/>
                <w:color w:val="auto"/>
              </w:rPr>
            </w:pPr>
            <w:r>
              <w:rPr>
                <w:rFonts w:ascii="Arial" w:cs="Arial" w:eastAsia="Arial" w:hAnsi="Arial"/>
                <w:sz w:val="13"/>
                <w:szCs w:val="13"/>
                <w:b w:val="1"/>
                <w:bCs w:val="1"/>
                <w:color w:val="auto"/>
              </w:rPr>
              <w:t>With Option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34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Public offering price</w:t>
            </w:r>
          </w:p>
        </w:tc>
        <w:tc>
          <w:tcPr>
            <w:tcW w:w="1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ind w:left="860"/>
              <w:spacing w:after="0" w:line="194" w:lineRule="exact"/>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ind w:left="88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Underwriting discount</w:t>
            </w:r>
          </w:p>
        </w:tc>
        <w:tc>
          <w:tcPr>
            <w:tcW w:w="1860" w:type="dxa"/>
            <w:vAlign w:val="bottom"/>
            <w:gridSpan w:val="2"/>
          </w:tcPr>
          <w:p>
            <w:pPr>
              <w:ind w:left="1280"/>
              <w:spacing w:after="0"/>
              <w:rPr>
                <w:sz w:val="20"/>
                <w:szCs w:val="20"/>
                <w:color w:val="auto"/>
              </w:rPr>
            </w:pPr>
            <w:r>
              <w:rPr>
                <w:rFonts w:ascii="Arial" w:cs="Arial" w:eastAsia="Arial" w:hAnsi="Arial"/>
                <w:sz w:val="17"/>
                <w:szCs w:val="17"/>
                <w:color w:val="auto"/>
              </w:rPr>
              <w:t>$</w:t>
            </w:r>
          </w:p>
        </w:tc>
        <w:tc>
          <w:tcPr>
            <w:tcW w:w="17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186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200" w:firstLine="819"/>
        <w:spacing w:after="0" w:line="257" w:lineRule="auto"/>
        <w:rPr>
          <w:sz w:val="20"/>
          <w:szCs w:val="20"/>
          <w:color w:val="auto"/>
        </w:rPr>
      </w:pPr>
      <w:r>
        <w:rPr>
          <w:rFonts w:ascii="Arial" w:cs="Arial" w:eastAsia="Arial" w:hAnsi="Arial"/>
          <w:sz w:val="17"/>
          <w:szCs w:val="17"/>
          <w:color w:val="auto"/>
        </w:rPr>
        <w:t>The expenses of the offering, not including the underwriting discount, are estimated at $2.6 million and are payable by us. We have also agreed to reimburse the underwriters for their expenses relating to clearance of this offering with the Financial Industry Regulatory Authority in an amount up to $50,000.</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620"/>
          </w:cols>
          <w:pgMar w:left="320" w:top="437" w:right="95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10"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We have granted an option to the underwriters, exercisable for 30 days after the date of this prospectus, to purchase up to 525,000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 Sales of Similar Securities</w:t>
      </w:r>
    </w:p>
    <w:p>
      <w:pPr>
        <w:spacing w:after="0" w:line="210"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and Jefferies LLC. Specifically, we and these other persons have agreed, with certain limited exceptions, not to directly or indirectly:</w:t>
      </w:r>
    </w:p>
    <w:p>
      <w:pPr>
        <w:spacing w:after="0" w:line="205" w:lineRule="exact"/>
        <w:rPr>
          <w:sz w:val="20"/>
          <w:szCs w:val="20"/>
          <w:color w:val="auto"/>
        </w:rPr>
      </w:pPr>
    </w:p>
    <w:p>
      <w:pPr>
        <w:ind w:left="1720" w:hanging="301"/>
        <w:spacing w:after="0"/>
        <w:tabs>
          <w:tab w:leader="none" w:pos="1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offer, pledge, sell or contract to sell any common stock,</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sell any option or contract to purchase any common stock,</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purchase any option or contract to sell any common stock,</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grant any option, right or warrant for the sale of any common stock,</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lend or otherwise dispose of or transfer any common stock,</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request or demand that we file or make a confidential submission of a registration statement related to the common stock,</w:t>
      </w:r>
    </w:p>
    <w:p>
      <w:pPr>
        <w:spacing w:after="0" w:line="242" w:lineRule="exact"/>
        <w:rPr>
          <w:rFonts w:ascii="Arial" w:cs="Arial" w:eastAsia="Arial" w:hAnsi="Arial"/>
          <w:sz w:val="16"/>
          <w:szCs w:val="16"/>
          <w:color w:val="auto"/>
        </w:rPr>
      </w:pPr>
    </w:p>
    <w:p>
      <w:pPr>
        <w:ind w:left="1720" w:right="280" w:hanging="301"/>
        <w:spacing w:after="0" w:line="335" w:lineRule="auto"/>
        <w:tabs>
          <w:tab w:leader="none" w:pos="172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46" w:lineRule="exact"/>
        <w:rPr>
          <w:rFonts w:ascii="Arial" w:cs="Arial" w:eastAsia="Arial" w:hAnsi="Arial"/>
          <w:sz w:val="15"/>
          <w:szCs w:val="15"/>
          <w:color w:val="auto"/>
        </w:rPr>
      </w:pPr>
    </w:p>
    <w:p>
      <w:pPr>
        <w:ind w:left="1720" w:hanging="301"/>
        <w:spacing w:after="0"/>
        <w:tabs>
          <w:tab w:leader="none" w:pos="1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publicly disclose the intention to do any of the foregoing.</w:t>
      </w:r>
    </w:p>
    <w:p>
      <w:pPr>
        <w:spacing w:after="0" w:line="206" w:lineRule="exact"/>
        <w:rPr>
          <w:sz w:val="20"/>
          <w:szCs w:val="20"/>
          <w:color w:val="auto"/>
        </w:rPr>
      </w:pPr>
    </w:p>
    <w:p>
      <w:pPr>
        <w:ind w:left="500" w:right="160" w:firstLine="819"/>
        <w:spacing w:after="0" w:line="298" w:lineRule="auto"/>
        <w:rPr>
          <w:sz w:val="20"/>
          <w:szCs w:val="20"/>
          <w:color w:val="auto"/>
        </w:rPr>
      </w:pPr>
      <w:r>
        <w:rPr>
          <w:rFonts w:ascii="Arial" w:cs="Arial" w:eastAsia="Arial" w:hAnsi="Arial"/>
          <w:sz w:val="15"/>
          <w:szCs w:val="15"/>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BofA Securities, Inc. and Jefferies LLC, in their sole discretion, may release the common stock and other securities subject to the lock-up agreements described above in whole or in part at any time with or without notice.</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Nasdaq Global Market Listing</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We expect the shares to be approved for listing on The Nasdaq Global Market, subject to notice of issuance, under the symbol “LYRA.”</w:t>
      </w:r>
    </w:p>
    <w:p>
      <w:pPr>
        <w:spacing w:after="0" w:line="229"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01" w:lineRule="exact"/>
        <w:rPr>
          <w:sz w:val="20"/>
          <w:szCs w:val="20"/>
          <w:color w:val="auto"/>
        </w:rPr>
      </w:pPr>
    </w:p>
    <w:p>
      <w:pPr>
        <w:ind w:left="5500" w:right="1780" w:hanging="4081"/>
        <w:spacing w:after="0" w:line="437" w:lineRule="auto"/>
        <w:tabs>
          <w:tab w:leader="none" w:pos="172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valuation multiples of publicly traded companies that the representatives believe to be comparable to us, 184</w:t>
      </w:r>
    </w:p>
    <w:p>
      <w:pPr>
        <w:sectPr>
          <w:pgSz w:w="11900" w:h="16838" w:orient="portrait"/>
          <w:cols w:equalWidth="0" w:num="1">
            <w:col w:w="10720"/>
          </w:cols>
          <w:pgMar w:left="320" w:top="437" w:right="8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720" w:hanging="301"/>
        <w:spacing w:after="0"/>
        <w:tabs>
          <w:tab w:leader="none" w:pos="17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our financial information,</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history of, and the prospects for, our company and the industry in which we compete,</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 assessment of our management, its past and present operations, and the prospects for, and timing of, our future revenues,</w:t>
      </w:r>
    </w:p>
    <w:p>
      <w:pPr>
        <w:spacing w:after="0" w:line="242" w:lineRule="exact"/>
        <w:rPr>
          <w:rFonts w:ascii="Arial" w:cs="Arial" w:eastAsia="Arial" w:hAnsi="Arial"/>
          <w:sz w:val="16"/>
          <w:szCs w:val="16"/>
          <w:color w:val="auto"/>
        </w:rPr>
      </w:pPr>
    </w:p>
    <w:p>
      <w:pPr>
        <w:ind w:left="1720" w:hanging="301"/>
        <w:spacing w:after="0"/>
        <w:tabs>
          <w:tab w:leader="none" w:pos="17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present state of our development, and</w:t>
      </w:r>
    </w:p>
    <w:p>
      <w:pPr>
        <w:spacing w:after="0" w:line="231" w:lineRule="exact"/>
        <w:rPr>
          <w:rFonts w:ascii="Arial" w:cs="Arial" w:eastAsia="Arial" w:hAnsi="Arial"/>
          <w:sz w:val="17"/>
          <w:szCs w:val="17"/>
          <w:color w:val="auto"/>
        </w:rPr>
      </w:pPr>
    </w:p>
    <w:p>
      <w:pPr>
        <w:ind w:left="1720" w:hanging="301"/>
        <w:spacing w:after="0"/>
        <w:tabs>
          <w:tab w:leader="none" w:pos="172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above factors in relation to market values and various valuation measures of other companies engaged in activities similar to ours.</w:t>
      </w:r>
    </w:p>
    <w:p>
      <w:pPr>
        <w:spacing w:after="0" w:line="229" w:lineRule="exact"/>
        <w:rPr>
          <w:sz w:val="20"/>
          <w:szCs w:val="20"/>
          <w:color w:val="auto"/>
        </w:rPr>
      </w:pPr>
    </w:p>
    <w:p>
      <w:pPr>
        <w:ind w:left="500" w:right="420" w:firstLine="819"/>
        <w:spacing w:after="0" w:line="268" w:lineRule="auto"/>
        <w:rPr>
          <w:sz w:val="20"/>
          <w:szCs w:val="20"/>
          <w:color w:val="auto"/>
        </w:rPr>
      </w:pPr>
      <w:r>
        <w:rPr>
          <w:rFonts w:ascii="Arial" w:cs="Arial" w:eastAsia="Arial" w:hAnsi="Arial"/>
          <w:sz w:val="17"/>
          <w:szCs w:val="17"/>
          <w:color w:val="auto"/>
        </w:rPr>
        <w:t>An active trading market for the shares may not develop. It is also possible that after the offering the shares will not trade in the public market at or above the initial public offering price.</w:t>
      </w:r>
    </w:p>
    <w:p>
      <w:pPr>
        <w:spacing w:after="0" w:line="16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underwriters do not expect to sell more than 5% of the shares in the aggregate to accounts over which they exercise discretionary</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authority.</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210" w:lineRule="exact"/>
        <w:rPr>
          <w:sz w:val="20"/>
          <w:szCs w:val="20"/>
          <w:color w:val="auto"/>
        </w:rPr>
      </w:pPr>
    </w:p>
    <w:p>
      <w:pPr>
        <w:ind w:left="500" w:right="300" w:firstLine="819"/>
        <w:spacing w:after="0" w:line="257" w:lineRule="auto"/>
        <w:rPr>
          <w:sz w:val="20"/>
          <w:szCs w:val="20"/>
          <w:color w:val="auto"/>
        </w:rPr>
      </w:pPr>
      <w:r>
        <w:rPr>
          <w:rFonts w:ascii="Arial" w:cs="Arial" w:eastAsia="Arial" w:hAnsi="Arial"/>
          <w:sz w:val="17"/>
          <w:szCs w:val="17"/>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5"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75" w:lineRule="exact"/>
        <w:rPr>
          <w:sz w:val="20"/>
          <w:szCs w:val="20"/>
          <w:color w:val="auto"/>
        </w:rPr>
      </w:pPr>
    </w:p>
    <w:p>
      <w:pPr>
        <w:ind w:left="500" w:right="80" w:firstLine="819"/>
        <w:spacing w:after="0" w:line="257"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left="500" w:right="180" w:firstLine="819"/>
        <w:spacing w:after="0" w:line="307"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7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740"/>
          </w:cols>
          <w:pgMar w:left="320" w:top="437" w:right="8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Electronic Distribution</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In connection with the offering, certain of the underwriters or securities dealers may distribute prospectuses by electronic means, such as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e-mail.</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Other Relationships</w:t>
      </w:r>
    </w:p>
    <w:p>
      <w:pPr>
        <w:spacing w:after="0" w:line="210" w:lineRule="exact"/>
        <w:rPr>
          <w:sz w:val="20"/>
          <w:szCs w:val="20"/>
          <w:color w:val="auto"/>
        </w:rPr>
      </w:pPr>
    </w:p>
    <w:p>
      <w:pPr>
        <w:jc w:val="both"/>
        <w:ind w:left="500" w:right="140" w:firstLine="819"/>
        <w:spacing w:after="0" w:line="257" w:lineRule="auto"/>
        <w:rPr>
          <w:sz w:val="20"/>
          <w:szCs w:val="20"/>
          <w:color w:val="auto"/>
        </w:rPr>
      </w:pPr>
      <w:r>
        <w:rPr>
          <w:rFonts w:ascii="Arial" w:cs="Arial" w:eastAsia="Arial" w:hAnsi="Arial"/>
          <w:sz w:val="17"/>
          <w:szCs w:val="17"/>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5" w:lineRule="exact"/>
        <w:rPr>
          <w:sz w:val="20"/>
          <w:szCs w:val="20"/>
          <w:color w:val="auto"/>
        </w:rPr>
      </w:pPr>
    </w:p>
    <w:p>
      <w:pPr>
        <w:ind w:left="500" w:right="20" w:firstLine="819"/>
        <w:spacing w:after="0" w:line="250"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European Economic Area and the United Kingdom</w:t>
      </w:r>
    </w:p>
    <w:p>
      <w:pPr>
        <w:spacing w:after="0" w:line="210"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Shares have been offered or will be offered pursuant to the initial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91" w:lineRule="exact"/>
        <w:rPr>
          <w:sz w:val="20"/>
          <w:szCs w:val="20"/>
          <w:color w:val="auto"/>
        </w:rPr>
      </w:pPr>
    </w:p>
    <w:p>
      <w:pPr>
        <w:ind w:left="1720" w:hanging="402"/>
        <w:spacing w:after="0"/>
        <w:tabs>
          <w:tab w:leader="none" w:pos="17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231" w:lineRule="exact"/>
        <w:rPr>
          <w:rFonts w:ascii="Arial" w:cs="Arial" w:eastAsia="Arial" w:hAnsi="Arial"/>
          <w:sz w:val="17"/>
          <w:szCs w:val="17"/>
          <w:color w:val="auto"/>
        </w:rPr>
      </w:pPr>
    </w:p>
    <w:p>
      <w:pPr>
        <w:ind w:left="1720" w:right="440" w:hanging="402"/>
        <w:spacing w:after="0" w:line="268" w:lineRule="auto"/>
        <w:tabs>
          <w:tab w:leader="none" w:pos="17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 for any such offer; or</w:t>
      </w:r>
    </w:p>
    <w:p>
      <w:pPr>
        <w:spacing w:after="0" w:line="191" w:lineRule="exact"/>
        <w:rPr>
          <w:rFonts w:ascii="Arial" w:cs="Arial" w:eastAsia="Arial" w:hAnsi="Arial"/>
          <w:sz w:val="17"/>
          <w:szCs w:val="17"/>
          <w:color w:val="auto"/>
        </w:rPr>
      </w:pPr>
    </w:p>
    <w:p>
      <w:pPr>
        <w:ind w:left="1720" w:hanging="402"/>
        <w:spacing w:after="0"/>
        <w:tabs>
          <w:tab w:leader="none" w:pos="17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206" w:lineRule="exact"/>
        <w:rPr>
          <w:sz w:val="20"/>
          <w:szCs w:val="20"/>
          <w:color w:val="auto"/>
        </w:rPr>
      </w:pPr>
    </w:p>
    <w:p>
      <w:pPr>
        <w:ind w:left="500" w:right="100"/>
        <w:spacing w:after="0" w:line="268" w:lineRule="auto"/>
        <w:rPr>
          <w:sz w:val="20"/>
          <w:szCs w:val="20"/>
          <w:color w:val="auto"/>
        </w:rPr>
      </w:pPr>
      <w:r>
        <w:rPr>
          <w:rFonts w:ascii="Arial" w:cs="Arial" w:eastAsia="Arial" w:hAnsi="Arial"/>
          <w:sz w:val="17"/>
          <w:szCs w:val="17"/>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166" w:lineRule="exact"/>
        <w:rPr>
          <w:sz w:val="20"/>
          <w:szCs w:val="20"/>
          <w:color w:val="auto"/>
        </w:rPr>
      </w:pPr>
    </w:p>
    <w:p>
      <w:pPr>
        <w:ind w:left="500" w:right="260" w:firstLine="819"/>
        <w:spacing w:after="0" w:line="335" w:lineRule="auto"/>
        <w:rPr>
          <w:sz w:val="20"/>
          <w:szCs w:val="20"/>
          <w:color w:val="auto"/>
        </w:rPr>
      </w:pPr>
      <w:r>
        <w:rPr>
          <w:rFonts w:ascii="Arial" w:cs="Arial" w:eastAsia="Arial" w:hAnsi="Arial"/>
          <w:sz w:val="15"/>
          <w:szCs w:val="15"/>
          <w:color w:val="auto"/>
        </w:rPr>
        <w:t>Each person in a Relevant State who initially acquires any Shares or to whom any offer is made will be deemed to have represented, acknowledged and agreed to and with the Company and the Managers that it is a qualified investor within the meaning of the Prospectus Regulation.</w:t>
      </w:r>
    </w:p>
    <w:p>
      <w:pPr>
        <w:spacing w:after="0" w:line="121" w:lineRule="exact"/>
        <w:rPr>
          <w:sz w:val="20"/>
          <w:szCs w:val="20"/>
          <w:color w:val="auto"/>
        </w:rPr>
      </w:pPr>
    </w:p>
    <w:p>
      <w:pPr>
        <w:ind w:left="500" w:right="200" w:firstLine="819"/>
        <w:spacing w:after="0" w:line="271"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04"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720"/>
          </w:cols>
          <w:pgMar w:left="320" w:top="437" w:right="85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68" w:lineRule="auto"/>
        <w:rPr>
          <w:sz w:val="20"/>
          <w:szCs w:val="20"/>
          <w:color w:val="auto"/>
        </w:rPr>
      </w:pPr>
      <w:r>
        <w:rPr>
          <w:rFonts w:ascii="Arial" w:cs="Arial" w:eastAsia="Arial" w:hAnsi="Arial"/>
          <w:sz w:val="17"/>
          <w:szCs w:val="17"/>
          <w:color w:val="auto"/>
        </w:rPr>
        <w:t>The Company, the underwriters and their affiliates will rely upon the truth and accuracy of the foregoing representations, acknowledgements and agreements.</w:t>
      </w:r>
    </w:p>
    <w:p>
      <w:pPr>
        <w:spacing w:after="0" w:line="166" w:lineRule="exact"/>
        <w:rPr>
          <w:sz w:val="20"/>
          <w:szCs w:val="20"/>
          <w:color w:val="auto"/>
        </w:rPr>
      </w:pPr>
    </w:p>
    <w:p>
      <w:pPr>
        <w:ind w:left="500" w:right="40" w:firstLine="819"/>
        <w:spacing w:after="0" w:line="280"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9" w:lineRule="exact"/>
        <w:rPr>
          <w:sz w:val="20"/>
          <w:szCs w:val="20"/>
          <w:color w:val="auto"/>
        </w:rPr>
      </w:pPr>
    </w:p>
    <w:p>
      <w:pPr>
        <w:ind w:left="500" w:right="160" w:firstLine="819"/>
        <w:spacing w:after="0" w:line="268" w:lineRule="auto"/>
        <w:rPr>
          <w:sz w:val="20"/>
          <w:szCs w:val="20"/>
          <w:color w:val="auto"/>
        </w:rPr>
      </w:pPr>
      <w:r>
        <w:rPr>
          <w:rFonts w:ascii="Arial" w:cs="Arial" w:eastAsia="Arial" w:hAnsi="Arial"/>
          <w:sz w:val="17"/>
          <w:szCs w:val="17"/>
          <w:color w:val="auto"/>
        </w:rPr>
        <w:t>References to the Prospectus Regulation includes, in relation to the UK, the Prospectus Regulation as it forms part of UK domestic law by virtue of the European Union (Withdrawal) Act 2018.</w:t>
      </w:r>
    </w:p>
    <w:p>
      <w:pPr>
        <w:spacing w:after="0" w:line="16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above selling restriction is in addition to any other selling restrictions set out below.</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210" w:lineRule="exact"/>
        <w:rPr>
          <w:sz w:val="20"/>
          <w:szCs w:val="20"/>
          <w:color w:val="auto"/>
        </w:rPr>
      </w:pPr>
    </w:p>
    <w:p>
      <w:pPr>
        <w:ind w:left="500" w:right="40" w:firstLine="819"/>
        <w:spacing w:after="0" w:line="266"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210" w:lineRule="exact"/>
        <w:rPr>
          <w:sz w:val="20"/>
          <w:szCs w:val="20"/>
          <w:color w:val="auto"/>
        </w:rPr>
      </w:pPr>
    </w:p>
    <w:p>
      <w:pPr>
        <w:ind w:left="500" w:right="20" w:firstLine="819"/>
        <w:spacing w:after="0" w:line="293" w:lineRule="auto"/>
        <w:rPr>
          <w:sz w:val="20"/>
          <w:szCs w:val="20"/>
          <w:color w:val="auto"/>
        </w:rPr>
      </w:pPr>
      <w:r>
        <w:rPr>
          <w:rFonts w:ascii="Arial" w:cs="Arial" w:eastAsia="Arial" w:hAnsi="Arial"/>
          <w:sz w:val="15"/>
          <w:szCs w:val="15"/>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2"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Notice to Prospective Investors in the Dubai International Financial Centre</w:t>
      </w:r>
    </w:p>
    <w:p>
      <w:pPr>
        <w:spacing w:after="0" w:line="210" w:lineRule="exact"/>
        <w:rPr>
          <w:sz w:val="20"/>
          <w:szCs w:val="20"/>
          <w:color w:val="auto"/>
        </w:rPr>
      </w:pPr>
    </w:p>
    <w:p>
      <w:pPr>
        <w:ind w:left="500" w:right="260" w:firstLine="819"/>
        <w:spacing w:after="0" w:line="27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740"/>
          </w:cols>
          <w:pgMar w:left="320" w:top="437" w:right="8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740"/>
        <w:spacing w:after="0" w:line="268" w:lineRule="auto"/>
        <w:rPr>
          <w:sz w:val="20"/>
          <w:szCs w:val="20"/>
          <w:color w:val="auto"/>
        </w:rPr>
      </w:pPr>
      <w:r>
        <w:rPr>
          <w:rFonts w:ascii="Arial" w:cs="Arial" w:eastAsia="Arial" w:hAnsi="Arial"/>
          <w:sz w:val="17"/>
          <w:szCs w:val="17"/>
          <w:color w:val="auto"/>
        </w:rPr>
        <w:t>to restrictions on their resale. Prospective purchasers of the shares offered should conduct their own due diligence on the shares. If you do not understand the contents of this prospectus you should consult an authorized financial advisor.</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210" w:lineRule="exact"/>
        <w:rPr>
          <w:sz w:val="20"/>
          <w:szCs w:val="20"/>
          <w:color w:val="auto"/>
        </w:rPr>
      </w:pPr>
    </w:p>
    <w:p>
      <w:pPr>
        <w:jc w:val="both"/>
        <w:ind w:left="500" w:right="420" w:firstLine="819"/>
        <w:spacing w:after="0" w:line="298" w:lineRule="auto"/>
        <w:rPr>
          <w:sz w:val="20"/>
          <w:szCs w:val="20"/>
          <w:color w:val="auto"/>
        </w:rPr>
      </w:pPr>
      <w:r>
        <w:rPr>
          <w:rFonts w:ascii="Arial" w:cs="Arial" w:eastAsia="Arial" w:hAnsi="Arial"/>
          <w:sz w:val="15"/>
          <w:szCs w:val="15"/>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48" w:lineRule="exact"/>
        <w:rPr>
          <w:sz w:val="20"/>
          <w:szCs w:val="20"/>
          <w:color w:val="auto"/>
        </w:rPr>
      </w:pPr>
    </w:p>
    <w:p>
      <w:pPr>
        <w:ind w:left="500" w:right="60" w:firstLine="819"/>
        <w:spacing w:after="0" w:line="253" w:lineRule="auto"/>
        <w:rPr>
          <w:sz w:val="20"/>
          <w:szCs w:val="20"/>
          <w:color w:val="auto"/>
        </w:rPr>
      </w:pPr>
      <w:r>
        <w:rPr>
          <w:rFonts w:ascii="Arial" w:cs="Arial" w:eastAsia="Arial" w:hAnsi="Arial"/>
          <w:sz w:val="17"/>
          <w:szCs w:val="17"/>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500" w:right="40" w:firstLine="819"/>
        <w:spacing w:after="0" w:line="298" w:lineRule="auto"/>
        <w:rPr>
          <w:sz w:val="20"/>
          <w:szCs w:val="20"/>
          <w:color w:val="auto"/>
        </w:rPr>
      </w:pPr>
      <w:r>
        <w:rPr>
          <w:rFonts w:ascii="Arial" w:cs="Arial" w:eastAsia="Arial" w:hAnsi="Arial"/>
          <w:sz w:val="15"/>
          <w:szCs w:val="15"/>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48" w:lineRule="exact"/>
        <w:rPr>
          <w:sz w:val="20"/>
          <w:szCs w:val="20"/>
          <w:color w:val="auto"/>
        </w:rPr>
      </w:pPr>
    </w:p>
    <w:p>
      <w:pPr>
        <w:jc w:val="both"/>
        <w:ind w:left="500" w:right="100" w:firstLine="819"/>
        <w:spacing w:after="0" w:line="253"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210" w:lineRule="exact"/>
        <w:rPr>
          <w:sz w:val="20"/>
          <w:szCs w:val="20"/>
          <w:color w:val="auto"/>
        </w:rPr>
      </w:pPr>
    </w:p>
    <w:p>
      <w:pPr>
        <w:ind w:left="500" w:firstLine="819"/>
        <w:spacing w:after="0" w:line="287" w:lineRule="auto"/>
        <w:rPr>
          <w:sz w:val="20"/>
          <w:szCs w:val="20"/>
          <w:color w:val="auto"/>
        </w:rPr>
      </w:pPr>
      <w:r>
        <w:rPr>
          <w:rFonts w:ascii="Arial" w:cs="Arial" w:eastAsia="Arial" w:hAnsi="Arial"/>
          <w:sz w:val="15"/>
          <w:szCs w:val="15"/>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210" w:lineRule="exact"/>
        <w:rPr>
          <w:sz w:val="20"/>
          <w:szCs w:val="20"/>
          <w:color w:val="auto"/>
        </w:rPr>
      </w:pPr>
    </w:p>
    <w:p>
      <w:pPr>
        <w:ind w:left="500" w:right="20" w:firstLine="819"/>
        <w:spacing w:after="0" w:line="293" w:lineRule="auto"/>
        <w:rPr>
          <w:sz w:val="20"/>
          <w:szCs w:val="20"/>
          <w:color w:val="auto"/>
        </w:rPr>
      </w:pPr>
      <w:r>
        <w:rPr>
          <w:rFonts w:ascii="Arial" w:cs="Arial" w:eastAsia="Arial" w:hAnsi="Arial"/>
          <w:sz w:val="15"/>
          <w:szCs w:val="15"/>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8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720"/>
          </w:cols>
          <w:pgMar w:left="320" w:top="438" w:right="85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210" w:lineRule="exact"/>
        <w:rPr>
          <w:sz w:val="20"/>
          <w:szCs w:val="20"/>
          <w:color w:val="auto"/>
        </w:rPr>
      </w:pPr>
    </w:p>
    <w:p>
      <w:pPr>
        <w:ind w:left="500" w:firstLine="819"/>
        <w:spacing w:after="0" w:line="28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or,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231" w:lineRule="exact"/>
        <w:rPr>
          <w:sz w:val="20"/>
          <w:szCs w:val="20"/>
          <w:color w:val="auto"/>
        </w:rPr>
      </w:pPr>
    </w:p>
    <w:p>
      <w:pPr>
        <w:ind w:left="1720" w:right="340" w:hanging="402"/>
        <w:spacing w:after="0" w:line="335" w:lineRule="auto"/>
        <w:tabs>
          <w:tab w:leader="none" w:pos="17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6" w:lineRule="exact"/>
        <w:rPr>
          <w:rFonts w:ascii="Arial" w:cs="Arial" w:eastAsia="Arial" w:hAnsi="Arial"/>
          <w:sz w:val="15"/>
          <w:szCs w:val="15"/>
          <w:color w:val="auto"/>
        </w:rPr>
      </w:pPr>
    </w:p>
    <w:p>
      <w:pPr>
        <w:ind w:left="1720" w:right="180" w:hanging="402"/>
        <w:spacing w:after="0" w:line="268" w:lineRule="auto"/>
        <w:tabs>
          <w:tab w:leader="none" w:pos="17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66" w:lineRule="exact"/>
        <w:rPr>
          <w:sz w:val="20"/>
          <w:szCs w:val="20"/>
          <w:color w:val="auto"/>
        </w:rPr>
      </w:pPr>
    </w:p>
    <w:p>
      <w:pPr>
        <w:ind w:left="500" w:right="80"/>
        <w:spacing w:after="0" w:line="257" w:lineRule="auto"/>
        <w:rPr>
          <w:sz w:val="20"/>
          <w:szCs w:val="20"/>
          <w:color w:val="auto"/>
        </w:rPr>
      </w:pPr>
      <w:r>
        <w:rPr>
          <w:rFonts w:ascii="Arial" w:cs="Arial" w:eastAsia="Arial" w:hAnsi="Arial"/>
          <w:sz w:val="17"/>
          <w:szCs w:val="17"/>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1" w:lineRule="exact"/>
        <w:rPr>
          <w:sz w:val="20"/>
          <w:szCs w:val="20"/>
          <w:color w:val="auto"/>
        </w:rPr>
      </w:pPr>
    </w:p>
    <w:p>
      <w:pPr>
        <w:ind w:left="1720" w:right="880" w:hanging="402"/>
        <w:spacing w:after="0" w:line="268" w:lineRule="auto"/>
        <w:tabs>
          <w:tab w:leader="none" w:pos="17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or to any person arising from an offer referred to in Section 275(1A) or Section 276(4)(i)(B) of the SFA;</w:t>
      </w:r>
    </w:p>
    <w:p>
      <w:pPr>
        <w:spacing w:after="0" w:line="191" w:lineRule="exact"/>
        <w:rPr>
          <w:rFonts w:ascii="Arial" w:cs="Arial" w:eastAsia="Arial" w:hAnsi="Arial"/>
          <w:sz w:val="17"/>
          <w:szCs w:val="17"/>
          <w:color w:val="auto"/>
        </w:rPr>
      </w:pPr>
    </w:p>
    <w:p>
      <w:pPr>
        <w:ind w:left="1720" w:hanging="402"/>
        <w:spacing w:after="0"/>
        <w:tabs>
          <w:tab w:leader="none" w:pos="17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231" w:lineRule="exact"/>
        <w:rPr>
          <w:rFonts w:ascii="Arial" w:cs="Arial" w:eastAsia="Arial" w:hAnsi="Arial"/>
          <w:sz w:val="17"/>
          <w:szCs w:val="17"/>
          <w:color w:val="auto"/>
        </w:rPr>
      </w:pPr>
    </w:p>
    <w:p>
      <w:pPr>
        <w:ind w:left="1720" w:hanging="402"/>
        <w:spacing w:after="0"/>
        <w:tabs>
          <w:tab w:leader="none" w:pos="17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where the transfer is by operation of law; or</w:t>
      </w:r>
    </w:p>
    <w:p>
      <w:pPr>
        <w:spacing w:after="0" w:line="231" w:lineRule="exact"/>
        <w:rPr>
          <w:rFonts w:ascii="Arial" w:cs="Arial" w:eastAsia="Arial" w:hAnsi="Arial"/>
          <w:sz w:val="17"/>
          <w:szCs w:val="17"/>
          <w:color w:val="auto"/>
        </w:rPr>
      </w:pPr>
    </w:p>
    <w:p>
      <w:pPr>
        <w:ind w:left="1720" w:hanging="402"/>
        <w:spacing w:after="0"/>
        <w:tabs>
          <w:tab w:leader="none" w:pos="17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 specified in Section 276(7) of the SFA.</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210" w:lineRule="exact"/>
        <w:rPr>
          <w:sz w:val="20"/>
          <w:szCs w:val="20"/>
          <w:color w:val="auto"/>
        </w:rPr>
      </w:pPr>
    </w:p>
    <w:p>
      <w:pPr>
        <w:ind w:left="500" w:right="160" w:firstLine="819"/>
        <w:spacing w:after="0" w:line="298" w:lineRule="auto"/>
        <w:rPr>
          <w:sz w:val="20"/>
          <w:szCs w:val="20"/>
          <w:color w:val="auto"/>
        </w:rPr>
      </w:pPr>
      <w:r>
        <w:rPr>
          <w:rFonts w:ascii="Arial" w:cs="Arial" w:eastAsia="Arial" w:hAnsi="Arial"/>
          <w:sz w:val="15"/>
          <w:szCs w:val="15"/>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or subsection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 are permitted clients, as defined in National Instrument 31-103 </w:t>
      </w:r>
      <w:r>
        <w:rPr>
          <w:rFonts w:ascii="Arial" w:cs="Arial" w:eastAsia="Arial" w:hAnsi="Arial"/>
          <w:sz w:val="15"/>
          <w:szCs w:val="15"/>
          <w:i w:val="1"/>
          <w:iCs w:val="1"/>
          <w:color w:val="auto"/>
        </w:rPr>
        <w:t>Registration Requirements, Exemptions and Ongoing Registrant Obligations</w:t>
      </w:r>
      <w:r>
        <w:rPr>
          <w:rFonts w:ascii="Arial" w:cs="Arial" w:eastAsia="Arial" w:hAnsi="Arial"/>
          <w:sz w:val="15"/>
          <w:szCs w:val="15"/>
          <w:color w:val="auto"/>
        </w:rPr>
        <w:t>. Any resale of the shares must be made in accordance with an exemption from, or in a transaction not subject to, the prospectus requirements of applicable securities laws.</w:t>
      </w:r>
    </w:p>
    <w:p>
      <w:pPr>
        <w:spacing w:after="0" w:line="148" w:lineRule="exact"/>
        <w:rPr>
          <w:sz w:val="20"/>
          <w:szCs w:val="20"/>
          <w:color w:val="auto"/>
        </w:rPr>
      </w:pPr>
    </w:p>
    <w:p>
      <w:pPr>
        <w:ind w:left="500" w:right="200" w:firstLine="819"/>
        <w:spacing w:after="0" w:line="298"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740"/>
          </w:cols>
          <w:pgMar w:left="320" w:top="437" w:right="8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or NI 33-105, the underwriters are not required to comply with the disclosure requirements of NI 33-105 regarding underwriter conflicts of interest in connection with this offering.</w:t>
      </w:r>
    </w:p>
    <w:p>
      <w:pPr>
        <w:spacing w:after="0" w:line="11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720"/>
          </w:cols>
          <w:pgMar w:left="320" w:top="437" w:right="8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LEGAL MATTERS</w:t>
      </w:r>
    </w:p>
    <w:p>
      <w:pPr>
        <w:spacing w:after="0" w:line="210" w:lineRule="exact"/>
        <w:rPr>
          <w:sz w:val="20"/>
          <w:szCs w:val="20"/>
          <w:color w:val="auto"/>
        </w:rPr>
      </w:pPr>
    </w:p>
    <w:p>
      <w:pPr>
        <w:ind w:left="500" w:right="60" w:firstLine="819"/>
        <w:spacing w:after="0" w:line="268" w:lineRule="auto"/>
        <w:rPr>
          <w:sz w:val="20"/>
          <w:szCs w:val="20"/>
          <w:color w:val="auto"/>
        </w:rPr>
      </w:pPr>
      <w:r>
        <w:rPr>
          <w:rFonts w:ascii="Arial" w:cs="Arial" w:eastAsia="Arial" w:hAnsi="Arial"/>
          <w:sz w:val="17"/>
          <w:szCs w:val="17"/>
          <w:color w:val="auto"/>
        </w:rPr>
        <w:t>The validity of the shares of common stock offered hereby will be passed upon for us by Latham &amp; Watkins LLP. Certain legal matters will be passed upon for the underwriters by Shearman &amp; Sterling LLP.</w:t>
      </w:r>
    </w:p>
    <w:p>
      <w:pPr>
        <w:spacing w:after="0" w:line="16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EXPERTS</w:t>
      </w:r>
    </w:p>
    <w:p>
      <w:pPr>
        <w:spacing w:after="0" w:line="210"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The consolidated financial statements as of December 31, 2019 and 2018 and for the years then ended included in this Prospectus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0"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 xml:space="preserve">We have filed with the Securities and Exchange Commission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Securities and Exchange Commission pursuant to the Securities Exchange Act of 1934. The Securities and Exchange Commission maintains an Internet website that contains such reports, proxy statements and other information about registrants, like us, that file electronically with the Securities and Exchange Commission. The address of that 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70" w:lineRule="exact"/>
        <w:rPr>
          <w:sz w:val="20"/>
          <w:szCs w:val="20"/>
          <w:color w:val="auto"/>
        </w:rPr>
      </w:pPr>
    </w:p>
    <w:p>
      <w:pPr>
        <w:ind w:left="500" w:right="180" w:firstLine="819"/>
        <w:spacing w:after="0" w:line="268" w:lineRule="auto"/>
        <w:rPr>
          <w:sz w:val="20"/>
          <w:szCs w:val="20"/>
          <w:color w:val="auto"/>
        </w:rPr>
      </w:pPr>
      <w:r>
        <w:rPr>
          <w:rFonts w:ascii="Arial" w:cs="Arial" w:eastAsia="Arial" w:hAnsi="Arial"/>
          <w:sz w:val="17"/>
          <w:szCs w:val="17"/>
          <w:color w:val="auto"/>
        </w:rPr>
        <w:t xml:space="preserve">We also maintain a website at </w:t>
      </w:r>
      <w:r>
        <w:rPr>
          <w:rFonts w:ascii="Arial" w:cs="Arial" w:eastAsia="Arial" w:hAnsi="Arial"/>
          <w:sz w:val="17"/>
          <w:szCs w:val="17"/>
          <w:i w:val="1"/>
          <w:iCs w:val="1"/>
          <w:color w:val="auto"/>
        </w:rPr>
        <w:t>www.lyratherapeutics.com</w:t>
      </w:r>
      <w:r>
        <w:rPr>
          <w:rFonts w:ascii="Arial" w:cs="Arial" w:eastAsia="Arial" w:hAnsi="Arial"/>
          <w:sz w:val="17"/>
          <w:szCs w:val="17"/>
          <w:color w:val="auto"/>
        </w:rPr>
        <w:t>. Information contained in, or accessible through, our website is not a part of this prospectus, and the inclusion of our website address in this prospectus is only as an inactive textual reference.</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720"/>
          </w:cols>
          <w:pgMar w:left="320" w:top="438" w:right="85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7"/>
        </w:trPr>
        <w:tc>
          <w:tcPr>
            <w:tcW w:w="9140" w:type="dxa"/>
            <w:vAlign w:val="bottom"/>
          </w:tcPr>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tc>
        <w:tc>
          <w:tcPr>
            <w:tcW w:w="1560" w:type="dxa"/>
            <w:vAlign w:val="bottom"/>
          </w:tcPr>
          <w:p>
            <w:pPr>
              <w:spacing w:after="0"/>
              <w:rPr>
                <w:sz w:val="18"/>
                <w:szCs w:val="18"/>
                <w:color w:val="auto"/>
              </w:rPr>
            </w:pPr>
          </w:p>
        </w:tc>
      </w:tr>
      <w:tr>
        <w:trPr>
          <w:trHeight w:val="477"/>
        </w:trPr>
        <w:tc>
          <w:tcPr>
            <w:tcW w:w="9140" w:type="dxa"/>
            <w:vAlign w:val="bottom"/>
          </w:tcPr>
          <w:p>
            <w:pPr>
              <w:ind w:left="3440"/>
              <w:spacing w:after="0"/>
              <w:rPr>
                <w:sz w:val="20"/>
                <w:szCs w:val="20"/>
                <w:color w:val="auto"/>
              </w:rPr>
            </w:pPr>
            <w:r>
              <w:rPr>
                <w:rFonts w:ascii="Arial" w:cs="Arial" w:eastAsia="Arial" w:hAnsi="Arial"/>
                <w:sz w:val="17"/>
                <w:szCs w:val="17"/>
                <w:b w:val="1"/>
                <w:bCs w:val="1"/>
                <w:color w:val="auto"/>
              </w:rPr>
              <w:t>INDEX TO CONSOLIDATED FINANCIAL STATEMENTS</w:t>
            </w:r>
          </w:p>
        </w:tc>
        <w:tc>
          <w:tcPr>
            <w:tcW w:w="1560" w:type="dxa"/>
            <w:vAlign w:val="bottom"/>
          </w:tcPr>
          <w:p>
            <w:pPr>
              <w:spacing w:after="0"/>
              <w:rPr>
                <w:sz w:val="24"/>
                <w:szCs w:val="24"/>
                <w:color w:val="auto"/>
              </w:rPr>
            </w:pPr>
          </w:p>
        </w:tc>
      </w:tr>
      <w:tr>
        <w:trPr>
          <w:trHeight w:val="415"/>
        </w:trPr>
        <w:tc>
          <w:tcPr>
            <w:tcW w:w="9140" w:type="dxa"/>
            <w:vAlign w:val="bottom"/>
          </w:tcPr>
          <w:p>
            <w:pPr>
              <w:ind w:left="500"/>
              <w:spacing w:after="0"/>
              <w:rPr>
                <w:rFonts w:ascii="Arial" w:cs="Arial" w:eastAsia="Arial" w:hAnsi="Arial"/>
                <w:sz w:val="17"/>
                <w:szCs w:val="17"/>
                <w:u w:val="single" w:color="auto"/>
                <w:color w:val="0000EE"/>
              </w:rPr>
            </w:pPr>
            <w:hyperlink w:anchor="page196">
              <w:r>
                <w:rPr>
                  <w:rFonts w:ascii="Arial" w:cs="Arial" w:eastAsia="Arial" w:hAnsi="Arial"/>
                  <w:sz w:val="17"/>
                  <w:szCs w:val="17"/>
                  <w:u w:val="single" w:color="auto"/>
                  <w:color w:val="0000EE"/>
                </w:rPr>
                <w:t>Report of independent registered public accounting firm</w:t>
              </w:r>
            </w:hyperlink>
          </w:p>
        </w:tc>
        <w:tc>
          <w:tcPr>
            <w:tcW w:w="1560" w:type="dxa"/>
            <w:vAlign w:val="bottom"/>
          </w:tcPr>
          <w:p>
            <w:pPr>
              <w:ind w:left="1320"/>
              <w:spacing w:after="0"/>
              <w:rPr>
                <w:sz w:val="20"/>
                <w:szCs w:val="20"/>
                <w:color w:val="auto"/>
              </w:rPr>
            </w:pPr>
            <w:r>
              <w:rPr>
                <w:rFonts w:ascii="Arial" w:cs="Arial" w:eastAsia="Arial" w:hAnsi="Arial"/>
                <w:sz w:val="17"/>
                <w:szCs w:val="17"/>
                <w:color w:val="auto"/>
                <w:w w:val="86"/>
              </w:rPr>
              <w:t>F-2</w:t>
            </w:r>
          </w:p>
        </w:tc>
      </w:tr>
      <w:tr>
        <w:trPr>
          <w:trHeight w:val="201"/>
        </w:trPr>
        <w:tc>
          <w:tcPr>
            <w:tcW w:w="9140" w:type="dxa"/>
            <w:vAlign w:val="bottom"/>
          </w:tcPr>
          <w:p>
            <w:pPr>
              <w:ind w:left="500"/>
              <w:spacing w:after="0"/>
              <w:rPr>
                <w:rFonts w:ascii="Arial" w:cs="Arial" w:eastAsia="Arial" w:hAnsi="Arial"/>
                <w:sz w:val="17"/>
                <w:szCs w:val="17"/>
                <w:color w:val="0000EE"/>
              </w:rPr>
            </w:pPr>
            <w:hyperlink w:anchor="page197">
              <w:r>
                <w:rPr>
                  <w:rFonts w:ascii="Arial" w:cs="Arial" w:eastAsia="Arial" w:hAnsi="Arial"/>
                  <w:sz w:val="17"/>
                  <w:szCs w:val="17"/>
                  <w:u w:val="single" w:color="auto"/>
                  <w:color w:val="0000EE"/>
                </w:rPr>
                <w:t>Consolidated balance sheet</w:t>
              </w:r>
            </w:hyperlink>
            <w:r>
              <w:rPr>
                <w:rFonts w:ascii="Arial" w:cs="Arial" w:eastAsia="Arial" w:hAnsi="Arial"/>
                <w:sz w:val="17"/>
                <w:szCs w:val="17"/>
                <w:color w:val="000000"/>
              </w:rPr>
              <w:t>s</w:t>
            </w:r>
          </w:p>
        </w:tc>
        <w:tc>
          <w:tcPr>
            <w:tcW w:w="1560" w:type="dxa"/>
            <w:vAlign w:val="bottom"/>
          </w:tcPr>
          <w:p>
            <w:pPr>
              <w:ind w:left="1320"/>
              <w:spacing w:after="0"/>
              <w:rPr>
                <w:sz w:val="20"/>
                <w:szCs w:val="20"/>
                <w:color w:val="auto"/>
              </w:rPr>
            </w:pPr>
            <w:r>
              <w:rPr>
                <w:rFonts w:ascii="Arial" w:cs="Arial" w:eastAsia="Arial" w:hAnsi="Arial"/>
                <w:sz w:val="17"/>
                <w:szCs w:val="17"/>
                <w:color w:val="auto"/>
                <w:w w:val="86"/>
              </w:rPr>
              <w:t>F-3</w:t>
            </w:r>
          </w:p>
        </w:tc>
      </w:tr>
      <w:tr>
        <w:trPr>
          <w:trHeight w:val="201"/>
        </w:trPr>
        <w:tc>
          <w:tcPr>
            <w:tcW w:w="9140" w:type="dxa"/>
            <w:vAlign w:val="bottom"/>
          </w:tcPr>
          <w:p>
            <w:pPr>
              <w:ind w:left="500"/>
              <w:spacing w:after="0"/>
              <w:rPr>
                <w:rFonts w:ascii="Arial" w:cs="Arial" w:eastAsia="Arial" w:hAnsi="Arial"/>
                <w:sz w:val="17"/>
                <w:szCs w:val="17"/>
                <w:u w:val="single" w:color="auto"/>
                <w:color w:val="0000EE"/>
              </w:rPr>
            </w:pPr>
            <w:hyperlink w:anchor="page198">
              <w:r>
                <w:rPr>
                  <w:rFonts w:ascii="Arial" w:cs="Arial" w:eastAsia="Arial" w:hAnsi="Arial"/>
                  <w:sz w:val="17"/>
                  <w:szCs w:val="17"/>
                  <w:u w:val="single" w:color="auto"/>
                  <w:color w:val="0000EE"/>
                </w:rPr>
                <w:t>Consolidated statements of operations and comprehensive loss</w:t>
              </w:r>
            </w:hyperlink>
          </w:p>
        </w:tc>
        <w:tc>
          <w:tcPr>
            <w:tcW w:w="1560" w:type="dxa"/>
            <w:vAlign w:val="bottom"/>
          </w:tcPr>
          <w:p>
            <w:pPr>
              <w:ind w:left="1320"/>
              <w:spacing w:after="0"/>
              <w:rPr>
                <w:sz w:val="20"/>
                <w:szCs w:val="20"/>
                <w:color w:val="auto"/>
              </w:rPr>
            </w:pPr>
            <w:r>
              <w:rPr>
                <w:rFonts w:ascii="Arial" w:cs="Arial" w:eastAsia="Arial" w:hAnsi="Arial"/>
                <w:sz w:val="17"/>
                <w:szCs w:val="17"/>
                <w:color w:val="auto"/>
                <w:w w:val="86"/>
              </w:rPr>
              <w:t>F-4</w:t>
            </w:r>
          </w:p>
        </w:tc>
      </w:tr>
      <w:tr>
        <w:trPr>
          <w:trHeight w:val="201"/>
        </w:trPr>
        <w:tc>
          <w:tcPr>
            <w:tcW w:w="9140" w:type="dxa"/>
            <w:vAlign w:val="bottom"/>
          </w:tcPr>
          <w:p>
            <w:pPr>
              <w:ind w:left="500"/>
              <w:spacing w:after="0"/>
              <w:rPr>
                <w:rFonts w:ascii="Arial" w:cs="Arial" w:eastAsia="Arial" w:hAnsi="Arial"/>
                <w:sz w:val="17"/>
                <w:szCs w:val="17"/>
                <w:u w:val="single" w:color="auto"/>
                <w:color w:val="0000EE"/>
              </w:rPr>
            </w:pPr>
            <w:hyperlink w:anchor="page199">
              <w:r>
                <w:rPr>
                  <w:rFonts w:ascii="Arial" w:cs="Arial" w:eastAsia="Arial" w:hAnsi="Arial"/>
                  <w:sz w:val="17"/>
                  <w:szCs w:val="17"/>
                  <w:u w:val="single" w:color="auto"/>
                  <w:color w:val="0000EE"/>
                </w:rPr>
                <w:t>Consolidated statements of redeemable convertible preferred stock and stockholders’ (deficit) equity</w:t>
              </w:r>
            </w:hyperlink>
          </w:p>
        </w:tc>
        <w:tc>
          <w:tcPr>
            <w:tcW w:w="1560" w:type="dxa"/>
            <w:vAlign w:val="bottom"/>
          </w:tcPr>
          <w:p>
            <w:pPr>
              <w:ind w:left="1320"/>
              <w:spacing w:after="0"/>
              <w:rPr>
                <w:sz w:val="20"/>
                <w:szCs w:val="20"/>
                <w:color w:val="auto"/>
              </w:rPr>
            </w:pPr>
            <w:r>
              <w:rPr>
                <w:rFonts w:ascii="Arial" w:cs="Arial" w:eastAsia="Arial" w:hAnsi="Arial"/>
                <w:sz w:val="17"/>
                <w:szCs w:val="17"/>
                <w:color w:val="auto"/>
                <w:w w:val="86"/>
              </w:rPr>
              <w:t>F-5</w:t>
            </w:r>
          </w:p>
        </w:tc>
      </w:tr>
      <w:tr>
        <w:trPr>
          <w:trHeight w:val="201"/>
        </w:trPr>
        <w:tc>
          <w:tcPr>
            <w:tcW w:w="9140" w:type="dxa"/>
            <w:vAlign w:val="bottom"/>
          </w:tcPr>
          <w:p>
            <w:pPr>
              <w:ind w:left="500"/>
              <w:spacing w:after="0"/>
              <w:rPr>
                <w:rFonts w:ascii="Arial" w:cs="Arial" w:eastAsia="Arial" w:hAnsi="Arial"/>
                <w:sz w:val="17"/>
                <w:szCs w:val="17"/>
                <w:u w:val="single" w:color="auto"/>
                <w:color w:val="0000EE"/>
              </w:rPr>
            </w:pPr>
            <w:hyperlink w:anchor="page200">
              <w:r>
                <w:rPr>
                  <w:rFonts w:ascii="Arial" w:cs="Arial" w:eastAsia="Arial" w:hAnsi="Arial"/>
                  <w:sz w:val="17"/>
                  <w:szCs w:val="17"/>
                  <w:u w:val="single" w:color="auto"/>
                  <w:color w:val="0000EE"/>
                </w:rPr>
                <w:t>Consolidated statements of cash flows</w:t>
              </w:r>
            </w:hyperlink>
          </w:p>
        </w:tc>
        <w:tc>
          <w:tcPr>
            <w:tcW w:w="1560" w:type="dxa"/>
            <w:vAlign w:val="bottom"/>
          </w:tcPr>
          <w:p>
            <w:pPr>
              <w:ind w:left="1320"/>
              <w:spacing w:after="0"/>
              <w:rPr>
                <w:sz w:val="20"/>
                <w:szCs w:val="20"/>
                <w:color w:val="auto"/>
              </w:rPr>
            </w:pPr>
            <w:r>
              <w:rPr>
                <w:rFonts w:ascii="Arial" w:cs="Arial" w:eastAsia="Arial" w:hAnsi="Arial"/>
                <w:sz w:val="17"/>
                <w:szCs w:val="17"/>
                <w:color w:val="auto"/>
                <w:w w:val="86"/>
              </w:rPr>
              <w:t>F-6</w:t>
            </w:r>
          </w:p>
        </w:tc>
      </w:tr>
      <w:tr>
        <w:trPr>
          <w:trHeight w:val="213"/>
        </w:trPr>
        <w:tc>
          <w:tcPr>
            <w:tcW w:w="9140" w:type="dxa"/>
            <w:vAlign w:val="bottom"/>
          </w:tcPr>
          <w:p>
            <w:pPr>
              <w:ind w:left="500"/>
              <w:spacing w:after="0"/>
              <w:rPr>
                <w:rFonts w:ascii="Arial" w:cs="Arial" w:eastAsia="Arial" w:hAnsi="Arial"/>
                <w:sz w:val="17"/>
                <w:szCs w:val="17"/>
                <w:u w:val="single" w:color="auto"/>
                <w:color w:val="0000EE"/>
              </w:rPr>
            </w:pPr>
            <w:hyperlink w:anchor="page201">
              <w:r>
                <w:rPr>
                  <w:rFonts w:ascii="Arial" w:cs="Arial" w:eastAsia="Arial" w:hAnsi="Arial"/>
                  <w:sz w:val="17"/>
                  <w:szCs w:val="17"/>
                  <w:u w:val="single" w:color="auto"/>
                  <w:color w:val="0000EE"/>
                </w:rPr>
                <w:t>Notes to consolidated financial statements</w:t>
              </w:r>
            </w:hyperlink>
          </w:p>
        </w:tc>
        <w:tc>
          <w:tcPr>
            <w:tcW w:w="1560" w:type="dxa"/>
            <w:vAlign w:val="bottom"/>
          </w:tcPr>
          <w:p>
            <w:pPr>
              <w:ind w:left="1320"/>
              <w:spacing w:after="0"/>
              <w:rPr>
                <w:sz w:val="20"/>
                <w:szCs w:val="20"/>
                <w:color w:val="auto"/>
              </w:rPr>
            </w:pPr>
            <w:r>
              <w:rPr>
                <w:rFonts w:ascii="Arial" w:cs="Arial" w:eastAsia="Arial" w:hAnsi="Arial"/>
                <w:sz w:val="17"/>
                <w:szCs w:val="17"/>
                <w:color w:val="auto"/>
                <w:w w:val="86"/>
              </w:rPr>
              <w:t>F-7</w:t>
            </w:r>
          </w:p>
        </w:tc>
      </w:tr>
      <w:tr>
        <w:trPr>
          <w:trHeight w:val="339"/>
        </w:trPr>
        <w:tc>
          <w:tcPr>
            <w:tcW w:w="9140" w:type="dxa"/>
            <w:vAlign w:val="bottom"/>
          </w:tcPr>
          <w:p>
            <w:pPr>
              <w:ind w:left="5500"/>
              <w:spacing w:after="0"/>
              <w:rPr>
                <w:sz w:val="20"/>
                <w:szCs w:val="20"/>
                <w:color w:val="auto"/>
              </w:rPr>
            </w:pPr>
            <w:r>
              <w:rPr>
                <w:rFonts w:ascii="Arial" w:cs="Arial" w:eastAsia="Arial" w:hAnsi="Arial"/>
                <w:sz w:val="17"/>
                <w:szCs w:val="17"/>
                <w:color w:val="auto"/>
              </w:rPr>
              <w:t>F-1</w:t>
            </w:r>
          </w:p>
        </w:tc>
        <w:tc>
          <w:tcPr>
            <w:tcW w:w="1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00"/>
          </w:cols>
          <w:pgMar w:left="320" w:top="437" w:right="879" w:bottom="1440" w:gutter="0" w:footer="0" w:header="0"/>
        </w:sect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Board of Directors and Stockholders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Lyra Therapeutics, Inc.</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Watertown, MA</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10" w:lineRule="exact"/>
        <w:rPr>
          <w:sz w:val="20"/>
          <w:szCs w:val="20"/>
          <w:color w:val="auto"/>
        </w:rPr>
      </w:pPr>
    </w:p>
    <w:p>
      <w:pPr>
        <w:ind w:left="500" w:right="240" w:firstLine="819"/>
        <w:spacing w:after="0" w:line="269" w:lineRule="auto"/>
        <w:rPr>
          <w:sz w:val="20"/>
          <w:szCs w:val="20"/>
          <w:color w:val="auto"/>
        </w:rPr>
      </w:pPr>
      <w:r>
        <w:rPr>
          <w:rFonts w:ascii="Arial" w:cs="Arial" w:eastAsia="Arial" w:hAnsi="Arial"/>
          <w:sz w:val="16"/>
          <w:szCs w:val="16"/>
          <w:color w:val="auto"/>
        </w:rPr>
        <w:t>We have audited the accompanying consolidated balance sheets of Lyra Therapeutics, Inc. (the “Company”) and subsidiary as of December 31, 2019 and 2018, the related consolidated statements of operations and comprehensive loss, redeemable convertible preferred stock and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years then ended, in conformity with accounting principles generally accepted in the United States of America.</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Basis for Opinion</w:t>
      </w:r>
    </w:p>
    <w:p>
      <w:pPr>
        <w:spacing w:after="0" w:line="210"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left="500" w:right="120" w:firstLine="819"/>
        <w:spacing w:after="0" w:line="27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6" w:lineRule="exact"/>
        <w:rPr>
          <w:sz w:val="20"/>
          <w:szCs w:val="20"/>
          <w:color w:val="auto"/>
        </w:rPr>
      </w:pPr>
    </w:p>
    <w:p>
      <w:pPr>
        <w:ind w:left="500" w:right="20" w:firstLine="819"/>
        <w:spacing w:after="0" w:line="251" w:lineRule="auto"/>
        <w:rPr>
          <w:sz w:val="20"/>
          <w:szCs w:val="20"/>
          <w:color w:val="auto"/>
        </w:rPr>
      </w:pPr>
      <w:r>
        <w:rPr>
          <w:rFonts w:ascii="Arial" w:cs="Arial" w:eastAsia="Arial" w:hAnsi="Arial"/>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BDO USA, LLP</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served as the Company’s auditor since 2013.</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Boston, Massachusetts</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February 14, 2020, except for Note 13 b and c, which are as of April 27, 2020</w:t>
      </w:r>
    </w:p>
    <w:p>
      <w:pPr>
        <w:spacing w:after="0" w:line="13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680"/>
          </w:cols>
          <w:pgMar w:left="320" w:top="437" w:right="89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06"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CONSOLIDATED BALANCE SHEETS</w:t>
      </w:r>
    </w:p>
    <w:p>
      <w:pPr>
        <w:spacing w:after="0" w:line="206"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8"/>
            <w:vMerge w:val="restart"/>
          </w:tcPr>
          <w:p>
            <w:pPr>
              <w:spacing w:after="0"/>
              <w:rPr>
                <w:sz w:val="20"/>
                <w:szCs w:val="20"/>
                <w:color w:val="auto"/>
              </w:rPr>
            </w:pPr>
            <w:r>
              <w:rPr>
                <w:rFonts w:ascii="Arial" w:cs="Arial" w:eastAsia="Arial" w:hAnsi="Arial"/>
                <w:sz w:val="13"/>
                <w:szCs w:val="13"/>
                <w:b w:val="1"/>
                <w:bCs w:val="1"/>
                <w:color w:val="auto"/>
                <w:w w:val="89"/>
              </w:rPr>
              <w:t>December 31,</w:t>
            </w:r>
          </w:p>
        </w:tc>
        <w:tc>
          <w:tcPr>
            <w:tcW w:w="740" w:type="dxa"/>
            <w:vAlign w:val="bottom"/>
            <w:gridSpan w:val="3"/>
            <w:vMerge w:val="restart"/>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88"/>
        </w:trPr>
        <w:tc>
          <w:tcPr>
            <w:tcW w:w="7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bottom w:val="single" w:sz="8" w:color="auto"/>
            </w:tcBorders>
            <w:gridSpan w:val="8"/>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60" w:type="dxa"/>
            <w:vAlign w:val="bottom"/>
            <w:gridSpan w:val="3"/>
            <w:vMerge w:val="restart"/>
          </w:tcPr>
          <w:p>
            <w:pPr>
              <w:spacing w:after="0" w:line="138"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7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93"/>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5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500" w:type="dxa"/>
            <w:vAlign w:val="bottom"/>
          </w:tcPr>
          <w:p>
            <w:pPr>
              <w:spacing w:after="0" w:line="138" w:lineRule="exact"/>
              <w:rPr>
                <w:sz w:val="20"/>
                <w:szCs w:val="20"/>
                <w:color w:val="auto"/>
              </w:rPr>
            </w:pPr>
            <w:r>
              <w:rPr>
                <w:rFonts w:ascii="Arial" w:cs="Arial" w:eastAsia="Arial" w:hAnsi="Arial"/>
                <w:sz w:val="13"/>
                <w:szCs w:val="13"/>
                <w:color w:val="auto"/>
              </w:rPr>
              <w:t>Current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9,808</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23,888</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9,808</w:t>
            </w:r>
          </w:p>
        </w:tc>
        <w:tc>
          <w:tcPr>
            <w:tcW w:w="0" w:type="dxa"/>
            <w:vAlign w:val="bottom"/>
          </w:tcPr>
          <w:p>
            <w:pPr>
              <w:spacing w:after="0"/>
              <w:rPr>
                <w:sz w:val="1"/>
                <w:szCs w:val="1"/>
                <w:color w:val="auto"/>
              </w:rPr>
            </w:pPr>
          </w:p>
        </w:tc>
      </w:tr>
      <w:tr>
        <w:trPr>
          <w:trHeight w:val="138"/>
        </w:trPr>
        <w:tc>
          <w:tcPr>
            <w:tcW w:w="7500" w:type="dxa"/>
            <w:vAlign w:val="bottom"/>
          </w:tcPr>
          <w:p>
            <w:pPr>
              <w:ind w:left="280"/>
              <w:spacing w:after="0" w:line="138" w:lineRule="exact"/>
              <w:rPr>
                <w:sz w:val="20"/>
                <w:szCs w:val="20"/>
                <w:color w:val="auto"/>
              </w:rPr>
            </w:pPr>
            <w:r>
              <w:rPr>
                <w:rFonts w:ascii="Arial" w:cs="Arial" w:eastAsia="Arial" w:hAnsi="Arial"/>
                <w:sz w:val="13"/>
                <w:szCs w:val="13"/>
                <w:color w:val="auto"/>
              </w:rPr>
              <w:t>Grants receivable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4"/>
          </w:tcPr>
          <w:p>
            <w:pPr>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tcPr>
          <w:p>
            <w:pPr>
              <w:jc w:val="right"/>
              <w:ind w:right="380"/>
              <w:spacing w:after="0" w:line="138" w:lineRule="exact"/>
              <w:rPr>
                <w:sz w:val="20"/>
                <w:szCs w:val="20"/>
                <w:color w:val="auto"/>
              </w:rPr>
            </w:pPr>
            <w:r>
              <w:rPr>
                <w:rFonts w:ascii="Arial" w:cs="Arial" w:eastAsia="Arial" w:hAnsi="Arial"/>
                <w:sz w:val="13"/>
                <w:szCs w:val="13"/>
                <w:color w:val="auto"/>
              </w:rPr>
              <w:t>167</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Prepaid expenses and other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311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872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48"/>
        </w:trPr>
        <w:tc>
          <w:tcPr>
            <w:tcW w:w="7500" w:type="dxa"/>
            <w:vAlign w:val="bottom"/>
          </w:tcPr>
          <w:p>
            <w:pPr>
              <w:ind w:left="540"/>
              <w:spacing w:after="0" w:line="143" w:lineRule="exact"/>
              <w:rPr>
                <w:sz w:val="20"/>
                <w:szCs w:val="20"/>
                <w:color w:val="auto"/>
              </w:rPr>
            </w:pPr>
            <w:r>
              <w:rPr>
                <w:rFonts w:ascii="Arial" w:cs="Arial" w:eastAsia="Arial" w:hAnsi="Arial"/>
                <w:sz w:val="13"/>
                <w:szCs w:val="13"/>
                <w:color w:val="auto"/>
              </w:rPr>
              <w:t>Total current assets</w:t>
            </w: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4"/>
          </w:tcPr>
          <w:p>
            <w:pPr>
              <w:jc w:val="right"/>
              <w:spacing w:after="0" w:line="143" w:lineRule="exact"/>
              <w:rPr>
                <w:sz w:val="20"/>
                <w:szCs w:val="20"/>
                <w:color w:val="auto"/>
              </w:rPr>
            </w:pPr>
            <w:r>
              <w:rPr>
                <w:rFonts w:ascii="Arial" w:cs="Arial" w:eastAsia="Arial" w:hAnsi="Arial"/>
                <w:sz w:val="13"/>
                <w:szCs w:val="13"/>
                <w:color w:val="auto"/>
              </w:rPr>
              <w:t>10,119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4"/>
          </w:tcPr>
          <w:p>
            <w:pPr>
              <w:jc w:val="right"/>
              <w:spacing w:after="0" w:line="143" w:lineRule="exact"/>
              <w:rPr>
                <w:sz w:val="20"/>
                <w:szCs w:val="20"/>
                <w:color w:val="auto"/>
              </w:rPr>
            </w:pPr>
            <w:r>
              <w:rPr>
                <w:rFonts w:ascii="Arial" w:cs="Arial" w:eastAsia="Arial" w:hAnsi="Arial"/>
                <w:sz w:val="13"/>
                <w:szCs w:val="13"/>
                <w:color w:val="auto"/>
              </w:rPr>
              <w:t>24,927</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10,119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Property and equipment,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237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tcPr>
          <w:p>
            <w:pPr>
              <w:spacing w:after="0" w:line="138" w:lineRule="exact"/>
              <w:rPr>
                <w:sz w:val="20"/>
                <w:szCs w:val="20"/>
                <w:color w:val="auto"/>
              </w:rPr>
            </w:pPr>
            <w:r>
              <w:rPr>
                <w:rFonts w:ascii="Arial" w:cs="Arial" w:eastAsia="Arial" w:hAnsi="Arial"/>
                <w:sz w:val="13"/>
                <w:szCs w:val="13"/>
                <w:color w:val="auto"/>
              </w:rPr>
              <w:t>Operating lease right-of-use asset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5"/>
          </w:tcPr>
          <w:p>
            <w:pPr>
              <w:jc w:val="right"/>
              <w:ind w:right="20"/>
              <w:spacing w:after="0" w:line="138" w:lineRule="exact"/>
              <w:rPr>
                <w:sz w:val="20"/>
                <w:szCs w:val="20"/>
                <w:color w:val="auto"/>
              </w:rPr>
            </w:pPr>
            <w:r>
              <w:rPr>
                <w:rFonts w:ascii="Arial" w:cs="Arial" w:eastAsia="Arial" w:hAnsi="Arial"/>
                <w:sz w:val="13"/>
                <w:szCs w:val="13"/>
                <w:color w:val="auto"/>
              </w:rPr>
              <w:t>3,182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3,182</w:t>
            </w: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Restricted cash</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329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329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500" w:type="dxa"/>
            <w:vAlign w:val="bottom"/>
          </w:tcPr>
          <w:p>
            <w:pPr>
              <w:spacing w:after="0" w:line="138" w:lineRule="exact"/>
              <w:rPr>
                <w:sz w:val="20"/>
                <w:szCs w:val="20"/>
                <w:color w:val="auto"/>
              </w:rPr>
            </w:pPr>
            <w:r>
              <w:rPr>
                <w:rFonts w:ascii="Arial" w:cs="Arial" w:eastAsia="Arial" w:hAnsi="Arial"/>
                <w:sz w:val="13"/>
                <w:szCs w:val="13"/>
                <w:color w:val="auto"/>
              </w:rPr>
              <w:t>Deferred offering costs</w:t>
            </w: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4"/>
          </w:tcPr>
          <w:p>
            <w:pPr>
              <w:jc w:val="right"/>
              <w:spacing w:after="0" w:line="138" w:lineRule="exact"/>
              <w:rPr>
                <w:sz w:val="20"/>
                <w:szCs w:val="20"/>
                <w:color w:val="auto"/>
              </w:rPr>
            </w:pPr>
            <w:r>
              <w:rPr>
                <w:rFonts w:ascii="Arial" w:cs="Arial" w:eastAsia="Arial" w:hAnsi="Arial"/>
                <w:sz w:val="13"/>
                <w:szCs w:val="13"/>
                <w:color w:val="auto"/>
              </w:rPr>
              <w:t>1,096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60"/>
              <w:spacing w:after="0" w:line="138"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1,096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14,963</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25,359</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14,963</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Redeemable Convertible Preferred Stock and Stockholders’ (Deficit)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tcPr>
          <w:p>
            <w:pPr>
              <w:ind w:left="280"/>
              <w:spacing w:after="0" w:line="138" w:lineRule="exact"/>
              <w:rPr>
                <w:sz w:val="20"/>
                <w:szCs w:val="20"/>
                <w:color w:val="auto"/>
              </w:rPr>
            </w:pPr>
            <w:r>
              <w:rPr>
                <w:rFonts w:ascii="Arial" w:cs="Arial" w:eastAsia="Arial" w:hAnsi="Arial"/>
                <w:sz w:val="13"/>
                <w:szCs w:val="13"/>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5"/>
          </w:tcPr>
          <w:p>
            <w:pPr>
              <w:jc w:val="right"/>
              <w:ind w:right="20"/>
              <w:spacing w:after="0" w:line="138" w:lineRule="exact"/>
              <w:rPr>
                <w:sz w:val="20"/>
                <w:szCs w:val="20"/>
                <w:color w:val="auto"/>
              </w:rPr>
            </w:pPr>
            <w:r>
              <w:rPr>
                <w:rFonts w:ascii="Arial" w:cs="Arial" w:eastAsia="Arial" w:hAnsi="Arial"/>
                <w:sz w:val="13"/>
                <w:szCs w:val="13"/>
                <w:color w:val="auto"/>
              </w:rPr>
              <w:t>1,069</w:t>
            </w:r>
          </w:p>
        </w:tc>
        <w:tc>
          <w:tcPr>
            <w:tcW w:w="200" w:type="dxa"/>
            <w:vAlign w:val="bottom"/>
          </w:tcPr>
          <w:p>
            <w:pPr>
              <w:spacing w:after="0"/>
              <w:rPr>
                <w:sz w:val="12"/>
                <w:szCs w:val="12"/>
                <w:color w:val="auto"/>
              </w:rPr>
            </w:pPr>
          </w:p>
        </w:tc>
        <w:tc>
          <w:tcPr>
            <w:tcW w:w="2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5"/>
          </w:tcPr>
          <w:p>
            <w:pPr>
              <w:jc w:val="right"/>
              <w:ind w:right="380"/>
              <w:spacing w:after="0" w:line="138" w:lineRule="exact"/>
              <w:rPr>
                <w:sz w:val="20"/>
                <w:szCs w:val="20"/>
                <w:color w:val="auto"/>
              </w:rPr>
            </w:pPr>
            <w:r>
              <w:rPr>
                <w:rFonts w:ascii="Arial" w:cs="Arial" w:eastAsia="Arial" w:hAnsi="Arial"/>
                <w:sz w:val="13"/>
                <w:szCs w:val="13"/>
                <w:color w:val="auto"/>
              </w:rPr>
              <w:t>631</w:t>
            </w: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Accrued expenses and other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3,240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1,329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3,240</w:t>
            </w:r>
          </w:p>
        </w:tc>
        <w:tc>
          <w:tcPr>
            <w:tcW w:w="0" w:type="dxa"/>
            <w:vAlign w:val="bottom"/>
          </w:tcPr>
          <w:p>
            <w:pPr>
              <w:spacing w:after="0"/>
              <w:rPr>
                <w:sz w:val="1"/>
                <w:szCs w:val="1"/>
                <w:color w:val="auto"/>
              </w:rPr>
            </w:pPr>
          </w:p>
        </w:tc>
      </w:tr>
      <w:tr>
        <w:trPr>
          <w:trHeight w:val="143"/>
        </w:trPr>
        <w:tc>
          <w:tcPr>
            <w:tcW w:w="7500" w:type="dxa"/>
            <w:vAlign w:val="bottom"/>
          </w:tcPr>
          <w:p>
            <w:pPr>
              <w:ind w:left="280"/>
              <w:spacing w:after="0" w:line="138" w:lineRule="exact"/>
              <w:rPr>
                <w:sz w:val="20"/>
                <w:szCs w:val="20"/>
                <w:color w:val="auto"/>
              </w:rPr>
            </w:pPr>
            <w:r>
              <w:rPr>
                <w:rFonts w:ascii="Arial" w:cs="Arial" w:eastAsia="Arial" w:hAnsi="Arial"/>
                <w:sz w:val="13"/>
                <w:szCs w:val="13"/>
                <w:color w:val="auto"/>
              </w:rPr>
              <w:t>Operating lease liability</w:t>
            </w: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4"/>
          </w:tcPr>
          <w:p>
            <w:pPr>
              <w:jc w:val="right"/>
              <w:spacing w:after="0" w:line="138" w:lineRule="exact"/>
              <w:rPr>
                <w:sz w:val="20"/>
                <w:szCs w:val="20"/>
                <w:color w:val="auto"/>
              </w:rPr>
            </w:pPr>
            <w:r>
              <w:rPr>
                <w:rFonts w:ascii="Arial" w:cs="Arial" w:eastAsia="Arial" w:hAnsi="Arial"/>
                <w:sz w:val="13"/>
                <w:szCs w:val="13"/>
                <w:color w:val="auto"/>
              </w:rPr>
              <w:t>899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60"/>
              <w:spacing w:after="0" w:line="138"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899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Total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5,208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1,960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5,208</w:t>
            </w:r>
          </w:p>
        </w:tc>
        <w:tc>
          <w:tcPr>
            <w:tcW w:w="0" w:type="dxa"/>
            <w:vAlign w:val="bottom"/>
          </w:tcPr>
          <w:p>
            <w:pPr>
              <w:spacing w:after="0"/>
              <w:rPr>
                <w:sz w:val="1"/>
                <w:szCs w:val="1"/>
                <w:color w:val="auto"/>
              </w:rPr>
            </w:pPr>
          </w:p>
        </w:tc>
      </w:tr>
      <w:tr>
        <w:trPr>
          <w:trHeight w:val="138"/>
        </w:trPr>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Deferred rent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500" w:type="dxa"/>
            <w:vAlign w:val="bottom"/>
          </w:tcPr>
          <w:p>
            <w:pPr>
              <w:spacing w:after="0" w:line="138" w:lineRule="exact"/>
              <w:rPr>
                <w:sz w:val="20"/>
                <w:szCs w:val="20"/>
                <w:color w:val="auto"/>
              </w:rPr>
            </w:pPr>
            <w:r>
              <w:rPr>
                <w:rFonts w:ascii="Arial" w:cs="Arial" w:eastAsia="Arial" w:hAnsi="Arial"/>
                <w:sz w:val="13"/>
                <w:szCs w:val="13"/>
                <w:color w:val="auto"/>
              </w:rPr>
              <w:t>Operating lease liability, net of current portion</w:t>
            </w: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4"/>
          </w:tcPr>
          <w:p>
            <w:pPr>
              <w:jc w:val="right"/>
              <w:spacing w:after="0" w:line="138" w:lineRule="exact"/>
              <w:rPr>
                <w:sz w:val="20"/>
                <w:szCs w:val="20"/>
                <w:color w:val="auto"/>
              </w:rPr>
            </w:pPr>
            <w:r>
              <w:rPr>
                <w:rFonts w:ascii="Arial" w:cs="Arial" w:eastAsia="Arial" w:hAnsi="Arial"/>
                <w:sz w:val="13"/>
                <w:szCs w:val="13"/>
                <w:color w:val="auto"/>
              </w:rPr>
              <w:t>2,427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60"/>
              <w:spacing w:after="0" w:line="138"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2,427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Total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7,635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2,080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7,635</w:t>
            </w:r>
          </w:p>
        </w:tc>
        <w:tc>
          <w:tcPr>
            <w:tcW w:w="0" w:type="dxa"/>
            <w:vAlign w:val="bottom"/>
          </w:tcPr>
          <w:p>
            <w:pPr>
              <w:spacing w:after="0"/>
              <w:rPr>
                <w:sz w:val="1"/>
                <w:szCs w:val="1"/>
                <w:color w:val="auto"/>
              </w:rPr>
            </w:pPr>
          </w:p>
        </w:tc>
      </w:tr>
      <w:tr>
        <w:trPr>
          <w:trHeight w:val="143"/>
        </w:trPr>
        <w:tc>
          <w:tcPr>
            <w:tcW w:w="7500" w:type="dxa"/>
            <w:vAlign w:val="bottom"/>
          </w:tcPr>
          <w:p>
            <w:pPr>
              <w:spacing w:after="0" w:line="143" w:lineRule="exact"/>
              <w:rPr>
                <w:sz w:val="20"/>
                <w:szCs w:val="20"/>
                <w:color w:val="auto"/>
              </w:rPr>
            </w:pPr>
            <w:r>
              <w:rPr>
                <w:rFonts w:ascii="Arial" w:cs="Arial" w:eastAsia="Arial" w:hAnsi="Arial"/>
                <w:sz w:val="13"/>
                <w:szCs w:val="13"/>
                <w:color w:val="auto"/>
              </w:rPr>
              <w:t>Commitments and contingencies (Note 11)</w:t>
            </w: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750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Series A-1 redeemable convertible preferred stock, $0.001 par value; 34,017,033 shares authorized, issued and outstanding at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w w:val="97"/>
              </w:rPr>
              <w:t>December 31, 2019 and 2018 (aggregate liquidation preference of $14,157 at December 31, 2019); no shares authorized, issued or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outstanding, pro forma (unaudited)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39,742</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5"/>
            <w:shd w:val="clear" w:color="auto" w:fill="CCEEFF"/>
          </w:tcPr>
          <w:p>
            <w:pPr>
              <w:jc w:val="right"/>
              <w:ind w:right="380"/>
              <w:spacing w:after="0"/>
              <w:rPr>
                <w:sz w:val="20"/>
                <w:szCs w:val="20"/>
                <w:color w:val="auto"/>
              </w:rPr>
            </w:pPr>
            <w:r>
              <w:rPr>
                <w:rFonts w:ascii="Arial" w:cs="Arial" w:eastAsia="Arial" w:hAnsi="Arial"/>
                <w:sz w:val="13"/>
                <w:szCs w:val="13"/>
                <w:color w:val="auto"/>
              </w:rPr>
              <w:t>39,742</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7500" w:type="dxa"/>
            <w:vAlign w:val="bottom"/>
          </w:tcPr>
          <w:p>
            <w:pPr>
              <w:spacing w:after="0" w:line="120" w:lineRule="exact"/>
              <w:rPr>
                <w:sz w:val="20"/>
                <w:szCs w:val="20"/>
                <w:color w:val="auto"/>
              </w:rPr>
            </w:pPr>
            <w:r>
              <w:rPr>
                <w:rFonts w:ascii="Arial" w:cs="Arial" w:eastAsia="Arial" w:hAnsi="Arial"/>
                <w:sz w:val="13"/>
                <w:szCs w:val="13"/>
                <w:color w:val="auto"/>
              </w:rPr>
              <w:t>Series A-2 redeemable convertible preferred stock, $0.001 par value; 26,680,202 shares authorized, issued and outstanding at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500" w:type="dxa"/>
            <w:vAlign w:val="bottom"/>
          </w:tcPr>
          <w:p>
            <w:pPr>
              <w:ind w:left="140"/>
              <w:spacing w:after="0" w:line="138" w:lineRule="exact"/>
              <w:rPr>
                <w:sz w:val="20"/>
                <w:szCs w:val="20"/>
                <w:color w:val="auto"/>
              </w:rPr>
            </w:pPr>
            <w:r>
              <w:rPr>
                <w:rFonts w:ascii="Arial" w:cs="Arial" w:eastAsia="Arial" w:hAnsi="Arial"/>
                <w:sz w:val="13"/>
                <w:szCs w:val="13"/>
                <w:color w:val="auto"/>
                <w:w w:val="97"/>
              </w:rPr>
              <w:t>December 31, 2019 and 2018 (aggregate liquidation preference of $9,063 at December 31, 2019); no shares authorized, issued 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00" w:type="dxa"/>
            <w:vAlign w:val="bottom"/>
          </w:tcPr>
          <w:p>
            <w:pPr>
              <w:ind w:left="140"/>
              <w:spacing w:after="0"/>
              <w:rPr>
                <w:sz w:val="20"/>
                <w:szCs w:val="20"/>
                <w:color w:val="auto"/>
              </w:rPr>
            </w:pPr>
            <w:r>
              <w:rPr>
                <w:rFonts w:ascii="Arial" w:cs="Arial" w:eastAsia="Arial" w:hAnsi="Arial"/>
                <w:sz w:val="13"/>
                <w:szCs w:val="13"/>
                <w:color w:val="auto"/>
              </w:rPr>
              <w:t>outstanding, pro forma (unaudited)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3"/>
                <w:szCs w:val="13"/>
                <w:color w:val="auto"/>
              </w:rPr>
              <w:t>18,393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5"/>
          </w:tcPr>
          <w:p>
            <w:pPr>
              <w:jc w:val="right"/>
              <w:ind w:right="380"/>
              <w:spacing w:after="0"/>
              <w:rPr>
                <w:sz w:val="20"/>
                <w:szCs w:val="20"/>
                <w:color w:val="auto"/>
              </w:rPr>
            </w:pPr>
            <w:r>
              <w:rPr>
                <w:rFonts w:ascii="Arial" w:cs="Arial" w:eastAsia="Arial" w:hAnsi="Arial"/>
                <w:sz w:val="13"/>
                <w:szCs w:val="13"/>
                <w:color w:val="auto"/>
              </w:rPr>
              <w:t>18,393</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750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Series A-3 redeemable convertible preferred stock, $0.001 par value; 30,070,487 shares authorized, issued and outstanding at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w w:val="97"/>
              </w:rPr>
              <w:t>December 31, 2019 and 2018 (aggregate liquidation preference of $18,779 at December 31, 2019); no shares authorized, issued or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outstanding, pro forma (unaudited)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38,114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5"/>
            <w:shd w:val="clear" w:color="auto" w:fill="CCEEFF"/>
          </w:tcPr>
          <w:p>
            <w:pPr>
              <w:jc w:val="right"/>
              <w:ind w:right="380"/>
              <w:spacing w:after="0"/>
              <w:rPr>
                <w:sz w:val="20"/>
                <w:szCs w:val="20"/>
                <w:color w:val="auto"/>
              </w:rPr>
            </w:pPr>
            <w:r>
              <w:rPr>
                <w:rFonts w:ascii="Arial" w:cs="Arial" w:eastAsia="Arial" w:hAnsi="Arial"/>
                <w:sz w:val="13"/>
                <w:szCs w:val="13"/>
                <w:color w:val="auto"/>
              </w:rPr>
              <w:t>38,114</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7500" w:type="dxa"/>
            <w:vAlign w:val="bottom"/>
          </w:tcPr>
          <w:p>
            <w:pPr>
              <w:spacing w:after="0" w:line="120" w:lineRule="exact"/>
              <w:rPr>
                <w:sz w:val="20"/>
                <w:szCs w:val="20"/>
                <w:color w:val="auto"/>
              </w:rPr>
            </w:pPr>
            <w:r>
              <w:rPr>
                <w:rFonts w:ascii="Arial" w:cs="Arial" w:eastAsia="Arial" w:hAnsi="Arial"/>
                <w:sz w:val="13"/>
                <w:szCs w:val="13"/>
                <w:color w:val="auto"/>
              </w:rPr>
              <w:t>Series A-4 redeemable convertible preferred stock, $0.001 par value; 19,999,999 shares authorized, issued and outstanding at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500" w:type="dxa"/>
            <w:vAlign w:val="bottom"/>
          </w:tcPr>
          <w:p>
            <w:pPr>
              <w:ind w:left="140"/>
              <w:spacing w:after="0" w:line="138" w:lineRule="exact"/>
              <w:rPr>
                <w:sz w:val="20"/>
                <w:szCs w:val="20"/>
                <w:color w:val="auto"/>
              </w:rPr>
            </w:pPr>
            <w:r>
              <w:rPr>
                <w:rFonts w:ascii="Arial" w:cs="Arial" w:eastAsia="Arial" w:hAnsi="Arial"/>
                <w:sz w:val="13"/>
                <w:szCs w:val="13"/>
                <w:color w:val="auto"/>
                <w:w w:val="97"/>
              </w:rPr>
              <w:t>December 31, 2019 and 2018 (aggregate liquidation preference of $6,000 at December 31, 2019); no shares authorized, issued 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00" w:type="dxa"/>
            <w:vAlign w:val="bottom"/>
          </w:tcPr>
          <w:p>
            <w:pPr>
              <w:ind w:left="140"/>
              <w:spacing w:after="0"/>
              <w:rPr>
                <w:sz w:val="20"/>
                <w:szCs w:val="20"/>
                <w:color w:val="auto"/>
              </w:rPr>
            </w:pPr>
            <w:r>
              <w:rPr>
                <w:rFonts w:ascii="Arial" w:cs="Arial" w:eastAsia="Arial" w:hAnsi="Arial"/>
                <w:sz w:val="13"/>
                <w:szCs w:val="13"/>
                <w:color w:val="auto"/>
              </w:rPr>
              <w:t>outstanding, pro forma (unaudited)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3"/>
                <w:szCs w:val="13"/>
                <w:color w:val="auto"/>
              </w:rPr>
              <w:t>6,000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5"/>
          </w:tcPr>
          <w:p>
            <w:pPr>
              <w:jc w:val="right"/>
              <w:ind w:right="380"/>
              <w:spacing w:after="0"/>
              <w:rPr>
                <w:sz w:val="20"/>
                <w:szCs w:val="20"/>
                <w:color w:val="auto"/>
              </w:rPr>
            </w:pPr>
            <w:r>
              <w:rPr>
                <w:rFonts w:ascii="Arial" w:cs="Arial" w:eastAsia="Arial" w:hAnsi="Arial"/>
                <w:sz w:val="13"/>
                <w:szCs w:val="13"/>
                <w:color w:val="auto"/>
              </w:rPr>
              <w:t>6,000</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750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w w:val="98"/>
              </w:rPr>
              <w:t>Series B redeemable convertible preferred stock, $0.001 par value; 100,018,619 shares authorized at December 31, 2019 and 2018;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98,351,953 shares issued and outstanding at December 31, 2019 and 2018 (aggregate liquidation preference of $29,506 at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 31, 2019); no shares authorized, issued or outstanding, pro forma (unaudited)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28,417</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5"/>
            <w:shd w:val="clear" w:color="auto" w:fill="CCEEFF"/>
          </w:tcPr>
          <w:p>
            <w:pPr>
              <w:jc w:val="right"/>
              <w:ind w:right="380"/>
              <w:spacing w:after="0"/>
              <w:rPr>
                <w:sz w:val="20"/>
                <w:szCs w:val="20"/>
                <w:color w:val="auto"/>
              </w:rPr>
            </w:pPr>
            <w:r>
              <w:rPr>
                <w:rFonts w:ascii="Arial" w:cs="Arial" w:eastAsia="Arial" w:hAnsi="Arial"/>
                <w:sz w:val="13"/>
                <w:szCs w:val="13"/>
                <w:color w:val="auto"/>
              </w:rPr>
              <w:t>28,104</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7500" w:type="dxa"/>
            <w:vAlign w:val="bottom"/>
          </w:tcPr>
          <w:p>
            <w:pPr>
              <w:ind w:left="540"/>
              <w:spacing w:after="0"/>
              <w:rPr>
                <w:sz w:val="20"/>
                <w:szCs w:val="20"/>
                <w:color w:val="auto"/>
              </w:rPr>
            </w:pPr>
            <w:r>
              <w:rPr>
                <w:rFonts w:ascii="Arial" w:cs="Arial" w:eastAsia="Arial" w:hAnsi="Arial"/>
                <w:sz w:val="13"/>
                <w:szCs w:val="13"/>
                <w:color w:val="auto"/>
              </w:rPr>
              <w:t>Total redeemable convertible preferred stock</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color w:val="auto"/>
                <w:w w:val="97"/>
              </w:rPr>
              <w:t>130,666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color w:val="auto"/>
                <w:w w:val="97"/>
              </w:rPr>
              <w:t>130,353</w:t>
            </w: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7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Stockholders’ (deficit)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7500" w:type="dxa"/>
            <w:vAlign w:val="bottom"/>
          </w:tcPr>
          <w:p>
            <w:pPr>
              <w:spacing w:after="0" w:line="120" w:lineRule="exact"/>
              <w:rPr>
                <w:sz w:val="20"/>
                <w:szCs w:val="20"/>
                <w:color w:val="auto"/>
              </w:rPr>
            </w:pPr>
            <w:r>
              <w:rPr>
                <w:rFonts w:ascii="Arial" w:cs="Arial" w:eastAsia="Arial" w:hAnsi="Arial"/>
                <w:sz w:val="13"/>
                <w:szCs w:val="13"/>
                <w:color w:val="auto"/>
                <w:w w:val="95"/>
              </w:rPr>
              <w:t>Common stock, $0.001 par value; 275,000,000 shares authorized at December 31, 2019 and 2018; 230,860 and 170,156 shares issued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500" w:type="dxa"/>
            <w:vAlign w:val="bottom"/>
          </w:tcPr>
          <w:p>
            <w:pPr>
              <w:ind w:left="140"/>
              <w:spacing w:after="0" w:line="138" w:lineRule="exact"/>
              <w:rPr>
                <w:sz w:val="20"/>
                <w:szCs w:val="20"/>
                <w:color w:val="auto"/>
              </w:rPr>
            </w:pPr>
            <w:r>
              <w:rPr>
                <w:rFonts w:ascii="Arial" w:cs="Arial" w:eastAsia="Arial" w:hAnsi="Arial"/>
                <w:sz w:val="13"/>
                <w:szCs w:val="13"/>
                <w:color w:val="auto"/>
                <w:w w:val="95"/>
              </w:rPr>
              <w:t>and outstanding at December 31, 2019 and 2018, respectively; 6,295,239 shares issued and outstanding, pro forma at 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00" w:type="dxa"/>
            <w:vAlign w:val="bottom"/>
          </w:tcPr>
          <w:p>
            <w:pPr>
              <w:ind w:left="140"/>
              <w:spacing w:after="0"/>
              <w:rPr>
                <w:sz w:val="20"/>
                <w:szCs w:val="20"/>
                <w:color w:val="auto"/>
              </w:rPr>
            </w:pPr>
            <w:r>
              <w:rPr>
                <w:rFonts w:ascii="Arial" w:cs="Arial" w:eastAsia="Arial" w:hAnsi="Arial"/>
                <w:sz w:val="13"/>
                <w:szCs w:val="13"/>
                <w:color w:val="auto"/>
              </w:rPr>
              <w:t>2019 (unaudited)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4"/>
          </w:tcPr>
          <w:p>
            <w:pP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Additional paid-in capital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4,419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4,377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135,079</w:t>
            </w:r>
          </w:p>
        </w:tc>
        <w:tc>
          <w:tcPr>
            <w:tcW w:w="0" w:type="dxa"/>
            <w:vAlign w:val="bottom"/>
          </w:tcPr>
          <w:p>
            <w:pPr>
              <w:spacing w:after="0"/>
              <w:rPr>
                <w:sz w:val="1"/>
                <w:szCs w:val="1"/>
                <w:color w:val="auto"/>
              </w:rPr>
            </w:pPr>
          </w:p>
        </w:tc>
      </w:tr>
      <w:tr>
        <w:trPr>
          <w:trHeight w:val="138"/>
        </w:trPr>
        <w:tc>
          <w:tcPr>
            <w:tcW w:w="7500" w:type="dxa"/>
            <w:vAlign w:val="bottom"/>
          </w:tcPr>
          <w:p>
            <w:pPr>
              <w:spacing w:after="0" w:line="138" w:lineRule="exact"/>
              <w:rPr>
                <w:sz w:val="20"/>
                <w:szCs w:val="20"/>
                <w:color w:val="auto"/>
              </w:rPr>
            </w:pPr>
            <w:r>
              <w:rPr>
                <w:rFonts w:ascii="Arial" w:cs="Arial" w:eastAsia="Arial" w:hAnsi="Arial"/>
                <w:sz w:val="13"/>
                <w:szCs w:val="13"/>
                <w:color w:val="auto"/>
              </w:rPr>
              <w:t>Accumulated 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6"/>
          </w:tcPr>
          <w:p>
            <w:pPr>
              <w:jc w:val="right"/>
              <w:ind w:right="180"/>
              <w:spacing w:after="0" w:line="138" w:lineRule="exact"/>
              <w:rPr>
                <w:sz w:val="20"/>
                <w:szCs w:val="20"/>
                <w:color w:val="auto"/>
              </w:rPr>
            </w:pPr>
            <w:r>
              <w:rPr>
                <w:rFonts w:ascii="Arial" w:cs="Arial" w:eastAsia="Arial" w:hAnsi="Arial"/>
                <w:sz w:val="13"/>
                <w:szCs w:val="13"/>
                <w:color w:val="auto"/>
                <w:w w:val="89"/>
              </w:rPr>
              <w:t>(127,757)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tcPr>
          <w:p>
            <w:pPr>
              <w:jc w:val="right"/>
              <w:ind w:right="340"/>
              <w:spacing w:after="0" w:line="138" w:lineRule="exact"/>
              <w:rPr>
                <w:sz w:val="20"/>
                <w:szCs w:val="20"/>
                <w:color w:val="auto"/>
              </w:rPr>
            </w:pPr>
            <w:r>
              <w:rPr>
                <w:rFonts w:ascii="Arial" w:cs="Arial" w:eastAsia="Arial" w:hAnsi="Arial"/>
                <w:sz w:val="13"/>
                <w:szCs w:val="13"/>
                <w:color w:val="auto"/>
                <w:w w:val="89"/>
              </w:rPr>
              <w:t>(111,451)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(127,757)</w:t>
            </w: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Total stockholders’ (deficit)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6"/>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w w:val="89"/>
              </w:rPr>
              <w:t>(123,338)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w w:val="89"/>
              </w:rPr>
              <w:t>(107,074)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7,328</w:t>
            </w:r>
          </w:p>
        </w:tc>
        <w:tc>
          <w:tcPr>
            <w:tcW w:w="0" w:type="dxa"/>
            <w:vAlign w:val="bottom"/>
          </w:tcPr>
          <w:p>
            <w:pPr>
              <w:spacing w:after="0"/>
              <w:rPr>
                <w:sz w:val="1"/>
                <w:szCs w:val="1"/>
                <w:color w:val="auto"/>
              </w:rPr>
            </w:pPr>
          </w:p>
        </w:tc>
      </w:tr>
      <w:tr>
        <w:trPr>
          <w:trHeight w:val="143"/>
        </w:trPr>
        <w:tc>
          <w:tcPr>
            <w:tcW w:w="7500" w:type="dxa"/>
            <w:vAlign w:val="bottom"/>
          </w:tcPr>
          <w:p>
            <w:pPr>
              <w:ind w:left="540"/>
              <w:spacing w:after="0" w:line="143" w:lineRule="exact"/>
              <w:rPr>
                <w:sz w:val="20"/>
                <w:szCs w:val="20"/>
                <w:color w:val="auto"/>
              </w:rPr>
            </w:pPr>
            <w:r>
              <w:rPr>
                <w:rFonts w:ascii="Arial" w:cs="Arial" w:eastAsia="Arial" w:hAnsi="Arial"/>
                <w:sz w:val="13"/>
                <w:szCs w:val="13"/>
                <w:color w:val="auto"/>
              </w:rPr>
              <w:t>Total liabilities, redeemable convertible preferred stock and stockholders’ (deficit) equity</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480" w:type="dxa"/>
            <w:vAlign w:val="bottom"/>
            <w:tcBorders>
              <w:top w:val="single" w:sz="8" w:color="auto"/>
              <w:bottom w:val="single" w:sz="8" w:color="auto"/>
            </w:tcBorders>
            <w:gridSpan w:val="4"/>
          </w:tcPr>
          <w:p>
            <w:pPr>
              <w:jc w:val="right"/>
              <w:spacing w:after="0" w:line="143" w:lineRule="exact"/>
              <w:rPr>
                <w:sz w:val="20"/>
                <w:szCs w:val="20"/>
                <w:color w:val="auto"/>
              </w:rPr>
            </w:pPr>
            <w:r>
              <w:rPr>
                <w:rFonts w:ascii="Arial" w:cs="Arial" w:eastAsia="Arial" w:hAnsi="Arial"/>
                <w:sz w:val="13"/>
                <w:szCs w:val="13"/>
                <w:color w:val="auto"/>
              </w:rPr>
              <w:t>14,963</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4"/>
          </w:tcPr>
          <w:p>
            <w:pPr>
              <w:jc w:val="right"/>
              <w:spacing w:after="0" w:line="143" w:lineRule="exact"/>
              <w:rPr>
                <w:sz w:val="20"/>
                <w:szCs w:val="20"/>
                <w:color w:val="auto"/>
              </w:rPr>
            </w:pPr>
            <w:r>
              <w:rPr>
                <w:rFonts w:ascii="Arial" w:cs="Arial" w:eastAsia="Arial" w:hAnsi="Arial"/>
                <w:sz w:val="13"/>
                <w:szCs w:val="13"/>
                <w:color w:val="auto"/>
              </w:rPr>
              <w:t>25,359</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14,963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740"/>
          </w:cols>
          <w:pgMar w:left="320" w:top="437" w:right="8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06"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206"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8" w:lineRule="exact"/>
        <w:rPr>
          <w:sz w:val="20"/>
          <w:szCs w:val="20"/>
          <w:color w:val="auto"/>
        </w:rPr>
      </w:pPr>
    </w:p>
    <w:tbl>
      <w:tblPr>
        <w:tblLayout w:type="fixed"/>
        <w:tblInd w:w="500" w:type="dxa"/>
        <w:tblCellMar>
          <w:top w:w="0" w:type="dxa"/>
          <w:left w:w="0" w:type="dxa"/>
          <w:bottom w:w="0" w:type="dxa"/>
          <w:right w:w="0" w:type="dxa"/>
        </w:tblCellMar>
      </w:tblPr>
      <w:tr>
        <w:trPr>
          <w:trHeight w:val="151"/>
        </w:trPr>
        <w:tc>
          <w:tcPr>
            <w:tcW w:w="7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10"/>
          </w:tcPr>
          <w:p>
            <w:pPr>
              <w:jc w:val="right"/>
              <w:ind w:right="260"/>
              <w:spacing w:after="0"/>
              <w:rPr>
                <w:sz w:val="20"/>
                <w:szCs w:val="20"/>
                <w:color w:val="auto"/>
              </w:rPr>
            </w:pPr>
            <w:r>
              <w:rPr>
                <w:rFonts w:ascii="Arial" w:cs="Arial" w:eastAsia="Arial" w:hAnsi="Arial"/>
                <w:sz w:val="13"/>
                <w:szCs w:val="13"/>
                <w:b w:val="1"/>
                <w:bCs w:val="1"/>
                <w:color w:val="auto"/>
                <w:w w:val="96"/>
              </w:rPr>
              <w:t>Year Ended December 31,</w:t>
            </w:r>
          </w:p>
        </w:tc>
        <w:tc>
          <w:tcPr>
            <w:tcW w:w="0" w:type="dxa"/>
            <w:vAlign w:val="bottom"/>
          </w:tcPr>
          <w:p>
            <w:pPr>
              <w:spacing w:after="0"/>
              <w:rPr>
                <w:sz w:val="1"/>
                <w:szCs w:val="1"/>
                <w:color w:val="auto"/>
              </w:rPr>
            </w:pPr>
          </w:p>
        </w:tc>
      </w:tr>
      <w:tr>
        <w:trPr>
          <w:trHeight w:val="158"/>
        </w:trPr>
        <w:tc>
          <w:tcPr>
            <w:tcW w:w="7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Grant revenues</w:t>
            </w:r>
          </w:p>
        </w:tc>
        <w:tc>
          <w:tcPr>
            <w:tcW w:w="10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64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1,244</w:t>
            </w:r>
          </w:p>
        </w:tc>
        <w:tc>
          <w:tcPr>
            <w:tcW w:w="0" w:type="dxa"/>
            <w:vAlign w:val="bottom"/>
          </w:tcPr>
          <w:p>
            <w:pPr>
              <w:spacing w:after="0"/>
              <w:rPr>
                <w:sz w:val="1"/>
                <w:szCs w:val="1"/>
                <w:color w:val="auto"/>
              </w:rPr>
            </w:pPr>
          </w:p>
        </w:tc>
      </w:tr>
      <w:tr>
        <w:trPr>
          <w:trHeight w:val="201"/>
        </w:trPr>
        <w:tc>
          <w:tcPr>
            <w:tcW w:w="7400" w:type="dxa"/>
            <w:vAlign w:val="bottom"/>
          </w:tcPr>
          <w:p>
            <w:pPr>
              <w:spacing w:after="0"/>
              <w:rPr>
                <w:sz w:val="20"/>
                <w:szCs w:val="20"/>
                <w:color w:val="auto"/>
              </w:rPr>
            </w:pPr>
            <w:r>
              <w:rPr>
                <w:rFonts w:ascii="Arial" w:cs="Arial" w:eastAsia="Arial" w:hAnsi="Arial"/>
                <w:sz w:val="17"/>
                <w:szCs w:val="17"/>
                <w:color w:val="auto"/>
              </w:rPr>
              <w:t>Operating expenses: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12,032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4,975</w:t>
            </w:r>
          </w:p>
        </w:tc>
        <w:tc>
          <w:tcPr>
            <w:tcW w:w="0" w:type="dxa"/>
            <w:vAlign w:val="bottom"/>
          </w:tcPr>
          <w:p>
            <w:pPr>
              <w:spacing w:after="0"/>
              <w:rPr>
                <w:sz w:val="1"/>
                <w:szCs w:val="1"/>
                <w:color w:val="auto"/>
              </w:rPr>
            </w:pPr>
          </w:p>
        </w:tc>
      </w:tr>
      <w:tr>
        <w:trPr>
          <w:trHeight w:val="201"/>
        </w:trPr>
        <w:tc>
          <w:tcPr>
            <w:tcW w:w="740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4,487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7"/>
                <w:szCs w:val="17"/>
                <w:color w:val="auto"/>
              </w:rPr>
              <w:t>3,528</w:t>
            </w:r>
          </w:p>
        </w:tc>
        <w:tc>
          <w:tcPr>
            <w:tcW w:w="0" w:type="dxa"/>
            <w:vAlign w:val="bottom"/>
          </w:tcPr>
          <w:p>
            <w:pPr>
              <w:spacing w:after="0"/>
              <w:rPr>
                <w:sz w:val="1"/>
                <w:szCs w:val="1"/>
                <w:color w:val="auto"/>
              </w:rPr>
            </w:pPr>
          </w:p>
        </w:tc>
      </w:tr>
      <w:tr>
        <w:trPr>
          <w:trHeight w:val="25"/>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16,519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8,503</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Loss from operations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4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7"/>
                <w:szCs w:val="17"/>
                <w:color w:val="auto"/>
              </w:rPr>
              <w:t>(16,519)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7"/>
                <w:szCs w:val="17"/>
                <w:color w:val="auto"/>
              </w:rPr>
              <w:t>(7,259)</w:t>
            </w:r>
          </w:p>
        </w:tc>
        <w:tc>
          <w:tcPr>
            <w:tcW w:w="0" w:type="dxa"/>
            <w:vAlign w:val="bottom"/>
          </w:tcPr>
          <w:p>
            <w:pPr>
              <w:spacing w:after="0"/>
              <w:rPr>
                <w:sz w:val="1"/>
                <w:szCs w:val="1"/>
                <w:color w:val="auto"/>
              </w:rPr>
            </w:pPr>
          </w:p>
        </w:tc>
      </w:tr>
      <w:tr>
        <w:trPr>
          <w:trHeight w:val="201"/>
        </w:trPr>
        <w:tc>
          <w:tcPr>
            <w:tcW w:w="7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0" w:type="dxa"/>
            <w:vAlign w:val="bottom"/>
          </w:tcPr>
          <w:p>
            <w:pPr>
              <w:spacing w:after="0"/>
              <w:rPr>
                <w:sz w:val="20"/>
                <w:szCs w:val="20"/>
                <w:color w:val="auto"/>
              </w:rPr>
            </w:pPr>
            <w:r>
              <w:rPr>
                <w:rFonts w:ascii="Arial" w:cs="Arial" w:eastAsia="Arial" w:hAnsi="Arial"/>
                <w:sz w:val="17"/>
                <w:szCs w:val="17"/>
                <w:color w:val="auto"/>
              </w:rPr>
              <w:t>Other income: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 (expense), net</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0" w:type="dxa"/>
            <w:vAlign w:val="bottom"/>
          </w:tcPr>
          <w:p>
            <w:pPr>
              <w:ind w:left="340"/>
              <w:spacing w:after="0"/>
              <w:rPr>
                <w:sz w:val="20"/>
                <w:szCs w:val="20"/>
                <w:color w:val="auto"/>
              </w:rPr>
            </w:pPr>
            <w:r>
              <w:rPr>
                <w:rFonts w:ascii="Arial" w:cs="Arial" w:eastAsia="Arial" w:hAnsi="Arial"/>
                <w:sz w:val="17"/>
                <w:szCs w:val="17"/>
                <w:color w:val="auto"/>
              </w:rPr>
              <w:t>Other income, net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fair value of tranche liability</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Total other income, net</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4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213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5"/>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(16,306)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(6,029)</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Comprehensive loss</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00" w:type="dxa"/>
            <w:vAlign w:val="bottom"/>
            <w:vMerge w:val="continue"/>
          </w:tcPr>
          <w:p>
            <w:pPr>
              <w:spacing w:after="0"/>
              <w:rPr>
                <w:sz w:val="16"/>
                <w:szCs w:val="16"/>
                <w:color w:val="auto"/>
              </w:rPr>
            </w:pPr>
          </w:p>
        </w:tc>
        <w:tc>
          <w:tcPr>
            <w:tcW w:w="102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920" w:type="dxa"/>
            <w:vAlign w:val="bottom"/>
            <w:gridSpan w:val="4"/>
          </w:tcPr>
          <w:p>
            <w:pPr>
              <w:jc w:val="right"/>
              <w:ind w:right="180"/>
              <w:spacing w:after="0" w:line="191" w:lineRule="exact"/>
              <w:rPr>
                <w:sz w:val="20"/>
                <w:szCs w:val="20"/>
                <w:color w:val="auto"/>
              </w:rPr>
            </w:pPr>
            <w:r>
              <w:rPr>
                <w:rFonts w:ascii="Arial" w:cs="Arial" w:eastAsia="Arial" w:hAnsi="Arial"/>
                <w:sz w:val="17"/>
                <w:szCs w:val="17"/>
                <w:color w:val="auto"/>
              </w:rPr>
              <w:t>(16,306)</w:t>
            </w:r>
          </w:p>
        </w:tc>
        <w:tc>
          <w:tcPr>
            <w:tcW w:w="260" w:type="dxa"/>
            <w:vAlign w:val="bottom"/>
            <w:gridSpan w:val="2"/>
          </w:tcPr>
          <w:p>
            <w:pPr>
              <w:jc w:val="right"/>
              <w:ind w:right="20"/>
              <w:spacing w:after="0" w:line="191" w:lineRule="exact"/>
              <w:rPr>
                <w:sz w:val="20"/>
                <w:szCs w:val="20"/>
                <w:color w:val="auto"/>
              </w:rPr>
            </w:pPr>
            <w:r>
              <w:rPr>
                <w:rFonts w:ascii="Arial" w:cs="Arial" w:eastAsia="Arial" w:hAnsi="Arial"/>
                <w:sz w:val="17"/>
                <w:szCs w:val="17"/>
                <w:color w:val="auto"/>
              </w:rPr>
              <w:t>$</w:t>
            </w:r>
          </w:p>
        </w:tc>
        <w:tc>
          <w:tcPr>
            <w:tcW w:w="640" w:type="dxa"/>
            <w:vAlign w:val="bottom"/>
            <w:gridSpan w:val="4"/>
          </w:tcPr>
          <w:p>
            <w:pPr>
              <w:jc w:val="right"/>
              <w:ind w:right="40"/>
              <w:spacing w:after="0" w:line="191" w:lineRule="exact"/>
              <w:rPr>
                <w:sz w:val="20"/>
                <w:szCs w:val="20"/>
                <w:color w:val="auto"/>
              </w:rPr>
            </w:pPr>
            <w:r>
              <w:rPr>
                <w:rFonts w:ascii="Arial" w:cs="Arial" w:eastAsia="Arial" w:hAnsi="Arial"/>
                <w:sz w:val="17"/>
                <w:szCs w:val="17"/>
                <w:color w:val="auto"/>
              </w:rPr>
              <w:t>(6,029)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102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920" w:type="dxa"/>
            <w:vAlign w:val="bottom"/>
            <w:gridSpan w:val="4"/>
            <w:shd w:val="clear" w:color="auto" w:fill="CCEEFF"/>
          </w:tcPr>
          <w:p>
            <w:pPr>
              <w:jc w:val="right"/>
              <w:ind w:right="180"/>
              <w:spacing w:after="0" w:line="191" w:lineRule="exact"/>
              <w:rPr>
                <w:sz w:val="20"/>
                <w:szCs w:val="20"/>
                <w:color w:val="auto"/>
              </w:rPr>
            </w:pPr>
            <w:r>
              <w:rPr>
                <w:rFonts w:ascii="Arial" w:cs="Arial" w:eastAsia="Arial" w:hAnsi="Arial"/>
                <w:sz w:val="17"/>
                <w:szCs w:val="17"/>
                <w:color w:val="auto"/>
              </w:rPr>
              <w:t>(82.23)</w:t>
            </w:r>
          </w:p>
        </w:tc>
        <w:tc>
          <w:tcPr>
            <w:tcW w:w="260" w:type="dxa"/>
            <w:vAlign w:val="bottom"/>
            <w:gridSpan w:val="2"/>
            <w:shd w:val="clear" w:color="auto" w:fill="CCEEFF"/>
          </w:tcPr>
          <w:p>
            <w:pPr>
              <w:jc w:val="right"/>
              <w:ind w:right="20"/>
              <w:spacing w:after="0" w:line="191" w:lineRule="exact"/>
              <w:rPr>
                <w:sz w:val="20"/>
                <w:szCs w:val="20"/>
                <w:color w:val="auto"/>
              </w:rPr>
            </w:pPr>
            <w:r>
              <w:rPr>
                <w:rFonts w:ascii="Arial" w:cs="Arial" w:eastAsia="Arial" w:hAnsi="Arial"/>
                <w:sz w:val="17"/>
                <w:szCs w:val="17"/>
                <w:color w:val="auto"/>
              </w:rPr>
              <w:t>$</w:t>
            </w:r>
          </w:p>
        </w:tc>
        <w:tc>
          <w:tcPr>
            <w:tcW w:w="640" w:type="dxa"/>
            <w:vAlign w:val="bottom"/>
            <w:gridSpan w:val="4"/>
            <w:shd w:val="clear" w:color="auto" w:fill="CCEEFF"/>
          </w:tcPr>
          <w:p>
            <w:pPr>
              <w:jc w:val="right"/>
              <w:ind w:right="40"/>
              <w:spacing w:after="0" w:line="191" w:lineRule="exact"/>
              <w:rPr>
                <w:sz w:val="20"/>
                <w:szCs w:val="20"/>
                <w:color w:val="auto"/>
              </w:rPr>
            </w:pPr>
            <w:r>
              <w:rPr>
                <w:rFonts w:ascii="Arial" w:cs="Arial" w:eastAsia="Arial" w:hAnsi="Arial"/>
                <w:sz w:val="17"/>
                <w:szCs w:val="17"/>
                <w:color w:val="auto"/>
              </w:rPr>
              <w:t>(36.79)</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Weighted-average common shares outstanding—basic and diluted</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spacing w:after="0" w:line="191" w:lineRule="exact"/>
              <w:rPr>
                <w:sz w:val="20"/>
                <w:szCs w:val="20"/>
                <w:color w:val="auto"/>
              </w:rPr>
            </w:pPr>
            <w:r>
              <w:rPr>
                <w:rFonts w:ascii="Arial" w:cs="Arial" w:eastAsia="Arial" w:hAnsi="Arial"/>
                <w:sz w:val="17"/>
                <w:szCs w:val="17"/>
                <w:color w:val="auto"/>
              </w:rPr>
              <w:t>202,093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4"/>
          </w:tcPr>
          <w:p>
            <w:pPr>
              <w:jc w:val="right"/>
              <w:ind w:right="100"/>
              <w:spacing w:after="0" w:line="191" w:lineRule="exact"/>
              <w:rPr>
                <w:sz w:val="20"/>
                <w:szCs w:val="20"/>
                <w:color w:val="auto"/>
              </w:rPr>
            </w:pPr>
            <w:r>
              <w:rPr>
                <w:rFonts w:ascii="Arial" w:cs="Arial" w:eastAsia="Arial" w:hAnsi="Arial"/>
                <w:sz w:val="17"/>
                <w:szCs w:val="17"/>
                <w:color w:val="auto"/>
                <w:w w:val="84"/>
              </w:rPr>
              <w:t>166,084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Pro forma net loss per share attributable to common stockholders—basic and diluted (unaudited)</w:t>
            </w:r>
          </w:p>
        </w:tc>
        <w:tc>
          <w:tcPr>
            <w:tcW w:w="102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920" w:type="dxa"/>
            <w:vAlign w:val="bottom"/>
            <w:gridSpan w:val="4"/>
            <w:shd w:val="clear" w:color="auto" w:fill="CCEEFF"/>
          </w:tcPr>
          <w:p>
            <w:pPr>
              <w:jc w:val="right"/>
              <w:ind w:right="180"/>
              <w:spacing w:after="0" w:line="191" w:lineRule="exact"/>
              <w:rPr>
                <w:sz w:val="20"/>
                <w:szCs w:val="20"/>
                <w:color w:val="auto"/>
              </w:rPr>
            </w:pPr>
            <w:r>
              <w:rPr>
                <w:rFonts w:ascii="Arial" w:cs="Arial" w:eastAsia="Arial" w:hAnsi="Arial"/>
                <w:sz w:val="17"/>
                <w:szCs w:val="17"/>
                <w:color w:val="auto"/>
              </w:rPr>
              <w:t>(2.65)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Pro forma weighted-average common shares outstanding—basic and diluted (unaudited)</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line="191" w:lineRule="exact"/>
              <w:rPr>
                <w:sz w:val="20"/>
                <w:szCs w:val="20"/>
                <w:color w:val="auto"/>
              </w:rPr>
            </w:pPr>
            <w:r>
              <w:rPr>
                <w:rFonts w:ascii="Arial" w:cs="Arial" w:eastAsia="Arial" w:hAnsi="Arial"/>
                <w:sz w:val="17"/>
                <w:szCs w:val="17"/>
                <w:color w:val="auto"/>
                <w:w w:val="87"/>
              </w:rPr>
              <w:t>6,266,472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9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740"/>
          </w:cols>
          <w:pgMar w:left="320" w:top="437" w:right="8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LYRA THERAPEUTICS, INC.</w:t>
      </w:r>
    </w:p>
    <w:p>
      <w:pPr>
        <w:spacing w:after="0" w:line="206" w:lineRule="exact"/>
        <w:rPr>
          <w:sz w:val="20"/>
          <w:szCs w:val="20"/>
          <w:color w:val="auto"/>
        </w:rPr>
      </w:pPr>
    </w:p>
    <w:p>
      <w:pPr>
        <w:jc w:val="center"/>
        <w:ind w:left="1080"/>
        <w:spacing w:after="0" w:line="273" w:lineRule="auto"/>
        <w:rPr>
          <w:sz w:val="20"/>
          <w:szCs w:val="20"/>
          <w:color w:val="auto"/>
        </w:rPr>
      </w:pPr>
      <w:r>
        <w:rPr>
          <w:rFonts w:ascii="Arial" w:cs="Arial" w:eastAsia="Arial" w:hAnsi="Arial"/>
          <w:sz w:val="17"/>
          <w:szCs w:val="17"/>
          <w:b w:val="1"/>
          <w:bCs w:val="1"/>
          <w:color w:val="auto"/>
        </w:rPr>
        <w:t>CONSOLIDATED STATEMENTS OF REDEEMABLE CONVERTIBLE PREFERRED STOCK AND STOCKHOLDERS’ (DEFICIT) EQUITY</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Amounts)</w:t>
      </w:r>
    </w:p>
    <w:p>
      <w:pPr>
        <w:sectPr>
          <w:pgSz w:w="11900" w:h="16838" w:orient="portrait"/>
          <w:cols w:equalWidth="0" w:num="1">
            <w:col w:w="11340"/>
          </w:cols>
          <w:pgMar w:left="320" w:top="437" w:right="239" w:bottom="1440" w:gutter="0" w:footer="0" w:header="0"/>
        </w:sectPr>
      </w:pP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4"/>
              </w:rPr>
              <w:t>Series A-1</w:t>
            </w:r>
          </w:p>
        </w:tc>
        <w:tc>
          <w:tcPr>
            <w:tcW w:w="120" w:type="dxa"/>
            <w:vAlign w:val="bottom"/>
          </w:tcPr>
          <w:p>
            <w:pPr>
              <w:spacing w:after="0"/>
              <w:rPr>
                <w:sz w:val="13"/>
                <w:szCs w:val="13"/>
                <w:color w:val="auto"/>
              </w:rPr>
            </w:pPr>
          </w:p>
        </w:tc>
        <w:tc>
          <w:tcPr>
            <w:tcW w:w="114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1"/>
              </w:rPr>
              <w:t>Series A-2</w:t>
            </w:r>
          </w:p>
        </w:tc>
        <w:tc>
          <w:tcPr>
            <w:tcW w:w="120" w:type="dxa"/>
            <w:vAlign w:val="bottom"/>
          </w:tcPr>
          <w:p>
            <w:pPr>
              <w:spacing w:after="0"/>
              <w:rPr>
                <w:sz w:val="13"/>
                <w:szCs w:val="13"/>
                <w:color w:val="auto"/>
              </w:rPr>
            </w:pPr>
          </w:p>
        </w:tc>
        <w:tc>
          <w:tcPr>
            <w:tcW w:w="114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1"/>
              </w:rPr>
              <w:t>Series A-3</w:t>
            </w:r>
          </w:p>
        </w:tc>
        <w:tc>
          <w:tcPr>
            <w:tcW w:w="100" w:type="dxa"/>
            <w:vAlign w:val="bottom"/>
          </w:tcPr>
          <w:p>
            <w:pPr>
              <w:spacing w:after="0"/>
              <w:rPr>
                <w:sz w:val="13"/>
                <w:szCs w:val="13"/>
                <w:color w:val="auto"/>
              </w:rPr>
            </w:pPr>
          </w:p>
        </w:tc>
        <w:tc>
          <w:tcPr>
            <w:tcW w:w="1120" w:type="dxa"/>
            <w:vAlign w:val="bottom"/>
            <w:gridSpan w:val="7"/>
          </w:tcPr>
          <w:p>
            <w:pPr>
              <w:jc w:val="center"/>
              <w:ind w:right="200"/>
              <w:spacing w:after="0"/>
              <w:rPr>
                <w:sz w:val="20"/>
                <w:szCs w:val="20"/>
                <w:color w:val="auto"/>
              </w:rPr>
            </w:pPr>
            <w:r>
              <w:rPr>
                <w:rFonts w:ascii="Arial" w:cs="Arial" w:eastAsia="Arial" w:hAnsi="Arial"/>
                <w:sz w:val="13"/>
                <w:szCs w:val="13"/>
                <w:b w:val="1"/>
                <w:bCs w:val="1"/>
                <w:color w:val="auto"/>
                <w:w w:val="94"/>
              </w:rPr>
              <w:t>Series A-4</w:t>
            </w:r>
          </w:p>
        </w:tc>
        <w:tc>
          <w:tcPr>
            <w:tcW w:w="200" w:type="dxa"/>
            <w:vAlign w:val="bottom"/>
          </w:tcPr>
          <w:p>
            <w:pPr>
              <w:spacing w:after="0"/>
              <w:rPr>
                <w:sz w:val="13"/>
                <w:szCs w:val="13"/>
                <w:color w:val="auto"/>
              </w:rPr>
            </w:pPr>
          </w:p>
        </w:tc>
        <w:tc>
          <w:tcPr>
            <w:tcW w:w="100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88"/>
              </w:rPr>
              <w:t>Series B</w:t>
            </w: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7"/>
          </w:tcPr>
          <w:p>
            <w:pPr>
              <w:jc w:val="center"/>
              <w:ind w:right="220"/>
              <w:spacing w:after="0" w:line="138" w:lineRule="exact"/>
              <w:rPr>
                <w:sz w:val="20"/>
                <w:szCs w:val="20"/>
                <w:color w:val="auto"/>
              </w:rPr>
            </w:pPr>
            <w:r>
              <w:rPr>
                <w:rFonts w:ascii="Arial" w:cs="Arial" w:eastAsia="Arial" w:hAnsi="Arial"/>
                <w:sz w:val="13"/>
                <w:szCs w:val="13"/>
                <w:b w:val="1"/>
                <w:bCs w:val="1"/>
                <w:color w:val="auto"/>
                <w:w w:val="91"/>
              </w:rPr>
              <w:t>Redeemable</w:t>
            </w:r>
          </w:p>
        </w:tc>
        <w:tc>
          <w:tcPr>
            <w:tcW w:w="120" w:type="dxa"/>
            <w:vAlign w:val="bottom"/>
          </w:tcPr>
          <w:p>
            <w:pPr>
              <w:spacing w:after="0"/>
              <w:rPr>
                <w:sz w:val="12"/>
                <w:szCs w:val="12"/>
                <w:color w:val="auto"/>
              </w:rPr>
            </w:pPr>
          </w:p>
        </w:tc>
        <w:tc>
          <w:tcPr>
            <w:tcW w:w="1140" w:type="dxa"/>
            <w:vAlign w:val="bottom"/>
            <w:gridSpan w:val="7"/>
          </w:tcPr>
          <w:p>
            <w:pPr>
              <w:jc w:val="center"/>
              <w:ind w:right="240"/>
              <w:spacing w:after="0" w:line="138" w:lineRule="exact"/>
              <w:rPr>
                <w:sz w:val="20"/>
                <w:szCs w:val="20"/>
                <w:color w:val="auto"/>
              </w:rPr>
            </w:pPr>
            <w:r>
              <w:rPr>
                <w:rFonts w:ascii="Arial" w:cs="Arial" w:eastAsia="Arial" w:hAnsi="Arial"/>
                <w:sz w:val="13"/>
                <w:szCs w:val="13"/>
                <w:b w:val="1"/>
                <w:bCs w:val="1"/>
                <w:color w:val="auto"/>
                <w:w w:val="91"/>
              </w:rPr>
              <w:t>Redeemable</w:t>
            </w:r>
          </w:p>
        </w:tc>
        <w:tc>
          <w:tcPr>
            <w:tcW w:w="120" w:type="dxa"/>
            <w:vAlign w:val="bottom"/>
          </w:tcPr>
          <w:p>
            <w:pPr>
              <w:spacing w:after="0"/>
              <w:rPr>
                <w:sz w:val="12"/>
                <w:szCs w:val="12"/>
                <w:color w:val="auto"/>
              </w:rPr>
            </w:pPr>
          </w:p>
        </w:tc>
        <w:tc>
          <w:tcPr>
            <w:tcW w:w="1140" w:type="dxa"/>
            <w:vAlign w:val="bottom"/>
            <w:gridSpan w:val="7"/>
          </w:tcPr>
          <w:p>
            <w:pPr>
              <w:jc w:val="center"/>
              <w:ind w:right="240"/>
              <w:spacing w:after="0" w:line="138" w:lineRule="exact"/>
              <w:rPr>
                <w:sz w:val="20"/>
                <w:szCs w:val="20"/>
                <w:color w:val="auto"/>
              </w:rPr>
            </w:pPr>
            <w:r>
              <w:rPr>
                <w:rFonts w:ascii="Arial" w:cs="Arial" w:eastAsia="Arial" w:hAnsi="Arial"/>
                <w:sz w:val="13"/>
                <w:szCs w:val="13"/>
                <w:b w:val="1"/>
                <w:bCs w:val="1"/>
                <w:color w:val="auto"/>
                <w:w w:val="91"/>
              </w:rPr>
              <w:t>Redeemable</w:t>
            </w:r>
          </w:p>
        </w:tc>
        <w:tc>
          <w:tcPr>
            <w:tcW w:w="100" w:type="dxa"/>
            <w:vAlign w:val="bottom"/>
          </w:tcPr>
          <w:p>
            <w:pPr>
              <w:spacing w:after="0"/>
              <w:rPr>
                <w:sz w:val="12"/>
                <w:szCs w:val="12"/>
                <w:color w:val="auto"/>
              </w:rPr>
            </w:pPr>
          </w:p>
        </w:tc>
        <w:tc>
          <w:tcPr>
            <w:tcW w:w="1120" w:type="dxa"/>
            <w:vAlign w:val="bottom"/>
            <w:gridSpan w:val="7"/>
          </w:tcPr>
          <w:p>
            <w:pPr>
              <w:jc w:val="center"/>
              <w:ind w:right="200"/>
              <w:spacing w:after="0" w:line="138" w:lineRule="exact"/>
              <w:rPr>
                <w:sz w:val="20"/>
                <w:szCs w:val="20"/>
                <w:color w:val="auto"/>
              </w:rPr>
            </w:pPr>
            <w:r>
              <w:rPr>
                <w:rFonts w:ascii="Arial" w:cs="Arial" w:eastAsia="Arial" w:hAnsi="Arial"/>
                <w:sz w:val="13"/>
                <w:szCs w:val="13"/>
                <w:b w:val="1"/>
                <w:bCs w:val="1"/>
                <w:color w:val="auto"/>
                <w:w w:val="88"/>
              </w:rPr>
              <w:t>Redeemable</w:t>
            </w:r>
          </w:p>
        </w:tc>
        <w:tc>
          <w:tcPr>
            <w:tcW w:w="200" w:type="dxa"/>
            <w:vAlign w:val="bottom"/>
          </w:tcPr>
          <w:p>
            <w:pPr>
              <w:spacing w:after="0"/>
              <w:rPr>
                <w:sz w:val="12"/>
                <w:szCs w:val="12"/>
                <w:color w:val="auto"/>
              </w:rPr>
            </w:pPr>
          </w:p>
        </w:tc>
        <w:tc>
          <w:tcPr>
            <w:tcW w:w="1000" w:type="dxa"/>
            <w:vAlign w:val="bottom"/>
            <w:gridSpan w:val="7"/>
          </w:tcPr>
          <w:p>
            <w:pPr>
              <w:jc w:val="center"/>
              <w:ind w:right="100"/>
              <w:spacing w:after="0" w:line="138" w:lineRule="exact"/>
              <w:rPr>
                <w:sz w:val="20"/>
                <w:szCs w:val="20"/>
                <w:color w:val="auto"/>
              </w:rPr>
            </w:pPr>
            <w:r>
              <w:rPr>
                <w:rFonts w:ascii="Arial" w:cs="Arial" w:eastAsia="Arial" w:hAnsi="Arial"/>
                <w:sz w:val="13"/>
                <w:szCs w:val="13"/>
                <w:b w:val="1"/>
                <w:bCs w:val="1"/>
                <w:color w:val="auto"/>
                <w:w w:val="91"/>
              </w:rPr>
              <w:t>Redeemable</w:t>
            </w: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7"/>
          </w:tcPr>
          <w:p>
            <w:pPr>
              <w:jc w:val="center"/>
              <w:ind w:right="240"/>
              <w:spacing w:after="0" w:line="138" w:lineRule="exact"/>
              <w:rPr>
                <w:sz w:val="20"/>
                <w:szCs w:val="20"/>
                <w:color w:val="auto"/>
              </w:rPr>
            </w:pPr>
            <w:r>
              <w:rPr>
                <w:rFonts w:ascii="Arial" w:cs="Arial" w:eastAsia="Arial" w:hAnsi="Arial"/>
                <w:sz w:val="13"/>
                <w:szCs w:val="13"/>
                <w:b w:val="1"/>
                <w:bCs w:val="1"/>
                <w:color w:val="auto"/>
                <w:w w:val="95"/>
              </w:rPr>
              <w:t>Convertible</w:t>
            </w:r>
          </w:p>
        </w:tc>
        <w:tc>
          <w:tcPr>
            <w:tcW w:w="120" w:type="dxa"/>
            <w:vAlign w:val="bottom"/>
          </w:tcPr>
          <w:p>
            <w:pPr>
              <w:spacing w:after="0"/>
              <w:rPr>
                <w:sz w:val="12"/>
                <w:szCs w:val="12"/>
                <w:color w:val="auto"/>
              </w:rPr>
            </w:pPr>
          </w:p>
        </w:tc>
        <w:tc>
          <w:tcPr>
            <w:tcW w:w="1140" w:type="dxa"/>
            <w:vAlign w:val="bottom"/>
            <w:gridSpan w:val="7"/>
          </w:tcPr>
          <w:p>
            <w:pPr>
              <w:jc w:val="center"/>
              <w:ind w:right="240"/>
              <w:spacing w:after="0" w:line="138" w:lineRule="exact"/>
              <w:rPr>
                <w:sz w:val="20"/>
                <w:szCs w:val="20"/>
                <w:color w:val="auto"/>
              </w:rPr>
            </w:pPr>
            <w:r>
              <w:rPr>
                <w:rFonts w:ascii="Arial" w:cs="Arial" w:eastAsia="Arial" w:hAnsi="Arial"/>
                <w:sz w:val="13"/>
                <w:szCs w:val="13"/>
                <w:b w:val="1"/>
                <w:bCs w:val="1"/>
                <w:color w:val="auto"/>
                <w:w w:val="92"/>
              </w:rPr>
              <w:t>Convertible</w:t>
            </w:r>
          </w:p>
        </w:tc>
        <w:tc>
          <w:tcPr>
            <w:tcW w:w="120" w:type="dxa"/>
            <w:vAlign w:val="bottom"/>
          </w:tcPr>
          <w:p>
            <w:pPr>
              <w:spacing w:after="0"/>
              <w:rPr>
                <w:sz w:val="12"/>
                <w:szCs w:val="12"/>
                <w:color w:val="auto"/>
              </w:rPr>
            </w:pPr>
          </w:p>
        </w:tc>
        <w:tc>
          <w:tcPr>
            <w:tcW w:w="1140" w:type="dxa"/>
            <w:vAlign w:val="bottom"/>
            <w:gridSpan w:val="7"/>
          </w:tcPr>
          <w:p>
            <w:pPr>
              <w:jc w:val="center"/>
              <w:ind w:right="220"/>
              <w:spacing w:after="0" w:line="138" w:lineRule="exact"/>
              <w:rPr>
                <w:sz w:val="20"/>
                <w:szCs w:val="20"/>
                <w:color w:val="auto"/>
              </w:rPr>
            </w:pPr>
            <w:r>
              <w:rPr>
                <w:rFonts w:ascii="Arial" w:cs="Arial" w:eastAsia="Arial" w:hAnsi="Arial"/>
                <w:sz w:val="13"/>
                <w:szCs w:val="13"/>
                <w:b w:val="1"/>
                <w:bCs w:val="1"/>
                <w:color w:val="auto"/>
                <w:w w:val="95"/>
              </w:rPr>
              <w:t>Convertible</w:t>
            </w:r>
          </w:p>
        </w:tc>
        <w:tc>
          <w:tcPr>
            <w:tcW w:w="100" w:type="dxa"/>
            <w:vAlign w:val="bottom"/>
          </w:tcPr>
          <w:p>
            <w:pPr>
              <w:spacing w:after="0"/>
              <w:rPr>
                <w:sz w:val="12"/>
                <w:szCs w:val="12"/>
                <w:color w:val="auto"/>
              </w:rPr>
            </w:pPr>
          </w:p>
        </w:tc>
        <w:tc>
          <w:tcPr>
            <w:tcW w:w="1120" w:type="dxa"/>
            <w:vAlign w:val="bottom"/>
            <w:gridSpan w:val="7"/>
          </w:tcPr>
          <w:p>
            <w:pPr>
              <w:jc w:val="center"/>
              <w:ind w:right="200"/>
              <w:spacing w:after="0" w:line="138" w:lineRule="exact"/>
              <w:rPr>
                <w:sz w:val="20"/>
                <w:szCs w:val="20"/>
                <w:color w:val="auto"/>
              </w:rPr>
            </w:pPr>
            <w:r>
              <w:rPr>
                <w:rFonts w:ascii="Arial" w:cs="Arial" w:eastAsia="Arial" w:hAnsi="Arial"/>
                <w:sz w:val="13"/>
                <w:szCs w:val="13"/>
                <w:b w:val="1"/>
                <w:bCs w:val="1"/>
                <w:color w:val="auto"/>
                <w:w w:val="95"/>
              </w:rPr>
              <w:t>Convertible</w:t>
            </w:r>
          </w:p>
        </w:tc>
        <w:tc>
          <w:tcPr>
            <w:tcW w:w="200" w:type="dxa"/>
            <w:vAlign w:val="bottom"/>
          </w:tcPr>
          <w:p>
            <w:pPr>
              <w:spacing w:after="0"/>
              <w:rPr>
                <w:sz w:val="12"/>
                <w:szCs w:val="12"/>
                <w:color w:val="auto"/>
              </w:rPr>
            </w:pPr>
          </w:p>
        </w:tc>
        <w:tc>
          <w:tcPr>
            <w:tcW w:w="1000" w:type="dxa"/>
            <w:vAlign w:val="bottom"/>
            <w:gridSpan w:val="7"/>
          </w:tcPr>
          <w:p>
            <w:pPr>
              <w:jc w:val="center"/>
              <w:ind w:right="80"/>
              <w:spacing w:after="0" w:line="138" w:lineRule="exact"/>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58"/>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4"/>
              </w:rPr>
              <w:t>Preferred Stock</w:t>
            </w:r>
          </w:p>
        </w:tc>
        <w:tc>
          <w:tcPr>
            <w:tcW w:w="1260" w:type="dxa"/>
            <w:vAlign w:val="bottom"/>
            <w:gridSpan w:val="8"/>
          </w:tcPr>
          <w:p>
            <w:pPr>
              <w:jc w:val="center"/>
              <w:ind w:right="120"/>
              <w:spacing w:after="0"/>
              <w:rPr>
                <w:sz w:val="20"/>
                <w:szCs w:val="20"/>
                <w:color w:val="auto"/>
              </w:rPr>
            </w:pPr>
            <w:r>
              <w:rPr>
                <w:rFonts w:ascii="Arial" w:cs="Arial" w:eastAsia="Arial" w:hAnsi="Arial"/>
                <w:sz w:val="13"/>
                <w:szCs w:val="13"/>
                <w:b w:val="1"/>
                <w:bCs w:val="1"/>
                <w:color w:val="auto"/>
                <w:w w:val="92"/>
              </w:rPr>
              <w:t>Preferred Stock</w:t>
            </w:r>
          </w:p>
        </w:tc>
        <w:tc>
          <w:tcPr>
            <w:tcW w:w="1260" w:type="dxa"/>
            <w:vAlign w:val="bottom"/>
            <w:gridSpan w:val="8"/>
          </w:tcPr>
          <w:p>
            <w:pPr>
              <w:jc w:val="center"/>
              <w:ind w:right="120"/>
              <w:spacing w:after="0"/>
              <w:rPr>
                <w:sz w:val="20"/>
                <w:szCs w:val="20"/>
                <w:color w:val="auto"/>
              </w:rPr>
            </w:pPr>
            <w:r>
              <w:rPr>
                <w:rFonts w:ascii="Arial" w:cs="Arial" w:eastAsia="Arial" w:hAnsi="Arial"/>
                <w:sz w:val="13"/>
                <w:szCs w:val="13"/>
                <w:b w:val="1"/>
                <w:bCs w:val="1"/>
                <w:color w:val="auto"/>
                <w:w w:val="92"/>
              </w:rPr>
              <w:t>Preferred Stock</w:t>
            </w:r>
          </w:p>
        </w:tc>
        <w:tc>
          <w:tcPr>
            <w:tcW w:w="1220" w:type="dxa"/>
            <w:vAlign w:val="bottom"/>
            <w:gridSpan w:val="8"/>
          </w:tcPr>
          <w:p>
            <w:pPr>
              <w:jc w:val="center"/>
              <w:ind w:right="100"/>
              <w:spacing w:after="0"/>
              <w:rPr>
                <w:sz w:val="20"/>
                <w:szCs w:val="20"/>
                <w:color w:val="auto"/>
              </w:rPr>
            </w:pPr>
            <w:r>
              <w:rPr>
                <w:rFonts w:ascii="Arial" w:cs="Arial" w:eastAsia="Arial" w:hAnsi="Arial"/>
                <w:sz w:val="13"/>
                <w:szCs w:val="13"/>
                <w:b w:val="1"/>
                <w:bCs w:val="1"/>
                <w:color w:val="auto"/>
                <w:w w:val="94"/>
              </w:rPr>
              <w:t>Preferred Stock</w:t>
            </w:r>
          </w:p>
        </w:tc>
        <w:tc>
          <w:tcPr>
            <w:tcW w:w="1200" w:type="dxa"/>
            <w:vAlign w:val="bottom"/>
            <w:gridSpan w:val="8"/>
          </w:tcPr>
          <w:p>
            <w:pPr>
              <w:jc w:val="center"/>
              <w:ind w:left="60"/>
              <w:spacing w:after="0"/>
              <w:rPr>
                <w:sz w:val="20"/>
                <w:szCs w:val="20"/>
                <w:color w:val="auto"/>
              </w:rPr>
            </w:pPr>
            <w:r>
              <w:rPr>
                <w:rFonts w:ascii="Arial" w:cs="Arial" w:eastAsia="Arial" w:hAnsi="Arial"/>
                <w:sz w:val="13"/>
                <w:szCs w:val="13"/>
                <w:b w:val="1"/>
                <w:bCs w:val="1"/>
                <w:color w:val="auto"/>
                <w:w w:val="94"/>
              </w:rPr>
              <w:t>Preferred Stock</w:t>
            </w:r>
          </w:p>
        </w:tc>
        <w:tc>
          <w:tcPr>
            <w:tcW w:w="0" w:type="dxa"/>
            <w:vAlign w:val="bottom"/>
          </w:tcPr>
          <w:p>
            <w:pPr>
              <w:spacing w:after="0"/>
              <w:rPr>
                <w:sz w:val="1"/>
                <w:szCs w:val="1"/>
                <w:color w:val="auto"/>
              </w:rPr>
            </w:pPr>
          </w:p>
        </w:tc>
      </w:tr>
      <w:tr>
        <w:trPr>
          <w:trHeight w:val="131"/>
        </w:trPr>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Balance at</w:t>
            </w:r>
          </w:p>
        </w:tc>
        <w:tc>
          <w:tcPr>
            <w:tcW w:w="12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200"/>
              <w:spacing w:after="0" w:line="131" w:lineRule="exact"/>
              <w:rPr>
                <w:sz w:val="20"/>
                <w:szCs w:val="20"/>
                <w:color w:val="auto"/>
              </w:rPr>
            </w:pPr>
            <w:r>
              <w:rPr>
                <w:rFonts w:ascii="Arial" w:cs="Arial" w:eastAsia="Arial" w:hAnsi="Arial"/>
                <w:sz w:val="13"/>
                <w:szCs w:val="13"/>
                <w:b w:val="1"/>
                <w:bCs w:val="1"/>
                <w:color w:val="auto"/>
                <w:w w:val="82"/>
              </w:rPr>
              <w:t>Shares</w:t>
            </w: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2"/>
                <w:szCs w:val="12"/>
                <w:b w:val="1"/>
                <w:bCs w:val="1"/>
                <w:color w:val="auto"/>
                <w:w w:val="74"/>
              </w:rPr>
              <w:t>Value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gridSpan w:val="2"/>
          </w:tcPr>
          <w:p>
            <w:pPr>
              <w:jc w:val="right"/>
              <w:ind w:right="180"/>
              <w:spacing w:after="0" w:line="131" w:lineRule="exact"/>
              <w:rPr>
                <w:sz w:val="20"/>
                <w:szCs w:val="20"/>
                <w:color w:val="auto"/>
              </w:rPr>
            </w:pPr>
            <w:r>
              <w:rPr>
                <w:rFonts w:ascii="Arial" w:cs="Arial" w:eastAsia="Arial" w:hAnsi="Arial"/>
                <w:sz w:val="13"/>
                <w:szCs w:val="13"/>
                <w:b w:val="1"/>
                <w:bCs w:val="1"/>
                <w:color w:val="auto"/>
                <w:w w:val="82"/>
              </w:rPr>
              <w:t>Shares</w:t>
            </w:r>
          </w:p>
        </w:tc>
        <w:tc>
          <w:tcPr>
            <w:tcW w:w="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200"/>
              <w:spacing w:after="0" w:line="131"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200"/>
              <w:spacing w:after="0" w:line="131" w:lineRule="exact"/>
              <w:rPr>
                <w:sz w:val="20"/>
                <w:szCs w:val="20"/>
                <w:color w:val="auto"/>
              </w:rPr>
            </w:pPr>
            <w:r>
              <w:rPr>
                <w:rFonts w:ascii="Arial" w:cs="Arial" w:eastAsia="Arial" w:hAnsi="Arial"/>
                <w:sz w:val="13"/>
                <w:szCs w:val="13"/>
                <w:b w:val="1"/>
                <w:bCs w:val="1"/>
                <w:color w:val="auto"/>
                <w:w w:val="87"/>
              </w:rPr>
              <w:t>Shares</w:t>
            </w: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2"/>
                <w:szCs w:val="12"/>
                <w:b w:val="1"/>
                <w:bCs w:val="1"/>
                <w:color w:val="auto"/>
                <w:w w:val="74"/>
              </w:rPr>
              <w:t>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w w:val="76"/>
              </w:rPr>
              <w:t>Shares</w:t>
            </w: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3"/>
                <w:szCs w:val="13"/>
                <w:b w:val="1"/>
                <w:bCs w:val="1"/>
                <w:color w:val="auto"/>
                <w:w w:val="92"/>
              </w:rPr>
              <w:t>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840" w:type="dxa"/>
            <w:vAlign w:val="bottom"/>
            <w:vMerge w:val="continue"/>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2017</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34,017,033</w:t>
            </w: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w w:val="92"/>
              </w:rPr>
              <w:t>39,742</w:t>
            </w:r>
          </w:p>
        </w:tc>
        <w:tc>
          <w:tcPr>
            <w:tcW w:w="68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6"/>
              </w:rPr>
              <w:t>26,680,202</w:t>
            </w: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w w:val="92"/>
              </w:rPr>
              <w:t>18,393</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30,070,487</w:t>
            </w: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89"/>
              </w:rPr>
              <w:t>$</w:t>
            </w:r>
          </w:p>
        </w:tc>
        <w:tc>
          <w:tcPr>
            <w:tcW w:w="46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w w:val="92"/>
              </w:rPr>
              <w:t>38,114</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19,999,999</w:t>
            </w: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99"/>
              </w:rPr>
              <w:t>6,000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00" w:type="dxa"/>
            <w:vAlign w:val="bottom"/>
            <w:gridSpan w:val="3"/>
          </w:tcPr>
          <w:p>
            <w:pPr>
              <w:ind w:left="18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Issuance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Series B</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redeemable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convertible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preferred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stock, net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w w:val="88"/>
              </w:rPr>
              <w:t>issuance costs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of $299</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line="126" w:lineRule="exact"/>
              <w:rPr>
                <w:sz w:val="20"/>
                <w:szCs w:val="20"/>
                <w:color w:val="auto"/>
              </w:rPr>
            </w:pPr>
            <w:r>
              <w:rPr>
                <w:rFonts w:ascii="Arial" w:cs="Arial" w:eastAsia="Arial" w:hAnsi="Arial"/>
                <w:sz w:val="12"/>
                <w:szCs w:val="12"/>
                <w:color w:val="auto"/>
                <w:w w:val="99"/>
              </w:rPr>
              <w:t>96,666,656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3"/>
          </w:tcPr>
          <w:p>
            <w:pPr>
              <w:jc w:val="right"/>
              <w:ind w:right="40"/>
              <w:spacing w:after="0" w:line="126" w:lineRule="exact"/>
              <w:rPr>
                <w:sz w:val="20"/>
                <w:szCs w:val="20"/>
                <w:color w:val="auto"/>
              </w:rPr>
            </w:pPr>
            <w:r>
              <w:rPr>
                <w:rFonts w:ascii="Arial" w:cs="Arial" w:eastAsia="Arial" w:hAnsi="Arial"/>
                <w:sz w:val="12"/>
                <w:szCs w:val="12"/>
                <w:color w:val="auto"/>
                <w:w w:val="92"/>
              </w:rPr>
              <w:t>26,618</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Issuance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Series B</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redeemable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convertible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preferred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stock in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exchange for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convertible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debt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1,685,297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3"/>
          </w:tcPr>
          <w:p>
            <w:pPr>
              <w:ind w:left="180"/>
              <w:spacing w:after="0" w:line="126" w:lineRule="exact"/>
              <w:rPr>
                <w:sz w:val="20"/>
                <w:szCs w:val="20"/>
                <w:color w:val="auto"/>
              </w:rPr>
            </w:pPr>
            <w:r>
              <w:rPr>
                <w:rFonts w:ascii="Arial" w:cs="Arial" w:eastAsia="Arial" w:hAnsi="Arial"/>
                <w:sz w:val="12"/>
                <w:szCs w:val="12"/>
                <w:color w:val="auto"/>
                <w:w w:val="99"/>
              </w:rPr>
              <w:t>506</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Accretion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convertible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preferred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stock to</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redemption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value</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Settlement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tranche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liability</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3"/>
          </w:tcPr>
          <w:p>
            <w:pPr>
              <w:ind w:left="180"/>
              <w:spacing w:after="0" w:line="126" w:lineRule="exact"/>
              <w:rPr>
                <w:sz w:val="20"/>
                <w:szCs w:val="20"/>
                <w:color w:val="auto"/>
              </w:rPr>
            </w:pPr>
            <w:r>
              <w:rPr>
                <w:rFonts w:ascii="Arial" w:cs="Arial" w:eastAsia="Arial" w:hAnsi="Arial"/>
                <w:sz w:val="12"/>
                <w:szCs w:val="12"/>
                <w:color w:val="auto"/>
                <w:w w:val="99"/>
              </w:rPr>
              <w:t>899</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Stock-based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w w:val="93"/>
              </w:rPr>
              <w:t>compensation</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3"/>
          </w:tcPr>
          <w:p>
            <w:pPr>
              <w:ind w:left="18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Exercise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w w:val="90"/>
              </w:rPr>
              <w:t>common stock</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options</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3"/>
          </w:tcPr>
          <w:p>
            <w:pPr>
              <w:ind w:left="18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840" w:type="dxa"/>
            <w:vAlign w:val="bottom"/>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b w:val="1"/>
                <w:bCs w:val="1"/>
                <w:color w:val="auto"/>
              </w:rPr>
              <w:t>Balance at</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2018</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34,017,033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w w:val="92"/>
              </w:rPr>
              <w:t>39,742</w:t>
            </w:r>
          </w:p>
        </w:tc>
        <w:tc>
          <w:tcPr>
            <w:tcW w:w="68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6"/>
              </w:rPr>
              <w:t>26,680,202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w w:val="92"/>
              </w:rPr>
              <w:t>18,393</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30,070,487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w w:val="92"/>
              </w:rPr>
              <w:t>38,114</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19,999,999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99"/>
              </w:rPr>
              <w:t>6,000</w:t>
            </w:r>
          </w:p>
        </w:tc>
        <w:tc>
          <w:tcPr>
            <w:tcW w:w="100" w:type="dxa"/>
            <w:vAlign w:val="bottom"/>
          </w:tcPr>
          <w:p>
            <w:pPr>
              <w:spacing w:after="0"/>
              <w:rPr>
                <w:sz w:val="11"/>
                <w:szCs w:val="11"/>
                <w:color w:val="auto"/>
              </w:rPr>
            </w:pP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98,351,953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w w:val="92"/>
              </w:rPr>
              <w:t>28,104</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Accretion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convertible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preferred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stock to</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redemption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value</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3"/>
          </w:tcPr>
          <w:p>
            <w:pPr>
              <w:ind w:left="180"/>
              <w:spacing w:after="0" w:line="126" w:lineRule="exact"/>
              <w:rPr>
                <w:sz w:val="20"/>
                <w:szCs w:val="20"/>
                <w:color w:val="auto"/>
              </w:rPr>
            </w:pPr>
            <w:r>
              <w:rPr>
                <w:rFonts w:ascii="Arial" w:cs="Arial" w:eastAsia="Arial" w:hAnsi="Arial"/>
                <w:sz w:val="12"/>
                <w:szCs w:val="12"/>
                <w:color w:val="auto"/>
                <w:w w:val="99"/>
              </w:rPr>
              <w:t>313</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Stock-based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w w:val="93"/>
              </w:rPr>
              <w:t>compensation</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3"/>
          </w:tcPr>
          <w:p>
            <w:pPr>
              <w:ind w:left="18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Exercise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w w:val="90"/>
              </w:rPr>
              <w:t>common stock</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options</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0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3"/>
          </w:tcPr>
          <w:p>
            <w:pPr>
              <w:ind w:left="18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b w:val="1"/>
                <w:bCs w:val="1"/>
                <w:color w:val="auto"/>
              </w:rPr>
              <w:t>Balance at</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2019</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34,017,033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w w:val="92"/>
              </w:rPr>
              <w:t>39,742</w:t>
            </w:r>
          </w:p>
        </w:tc>
        <w:tc>
          <w:tcPr>
            <w:tcW w:w="68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6"/>
              </w:rPr>
              <w:t>26,680,202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w w:val="92"/>
              </w:rPr>
              <w:t>18,393</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30,070,487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w w:val="92"/>
              </w:rPr>
              <w:t>38,114</w:t>
            </w: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19,999,999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99"/>
              </w:rPr>
              <w:t>6,000</w:t>
            </w:r>
          </w:p>
        </w:tc>
        <w:tc>
          <w:tcPr>
            <w:tcW w:w="100" w:type="dxa"/>
            <w:vAlign w:val="bottom"/>
          </w:tcPr>
          <w:p>
            <w:pPr>
              <w:spacing w:after="0"/>
              <w:rPr>
                <w:sz w:val="11"/>
                <w:szCs w:val="11"/>
                <w:color w:val="auto"/>
              </w:rPr>
            </w:pPr>
          </w:p>
        </w:tc>
        <w:tc>
          <w:tcPr>
            <w:tcW w:w="7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w w:val="99"/>
              </w:rPr>
              <w:t>98,351,953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w w:val="92"/>
              </w:rPr>
              <w:t>28,417</w:t>
            </w: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Arial" w:cs="Arial" w:eastAsia="Arial" w:hAnsi="Arial"/>
                <w:sz w:val="12"/>
                <w:szCs w:val="12"/>
                <w:color w:val="auto"/>
              </w:rPr>
              <w:t>Conversion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preferred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rPr>
              <w:t>stock into</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color w:val="auto"/>
                <w:w w:val="90"/>
              </w:rPr>
              <w:t>common stock</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4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w w:val="93"/>
              </w:rPr>
              <w:t>(34,017,033)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2"/>
                <w:szCs w:val="12"/>
                <w:color w:val="auto"/>
                <w:w w:val="84"/>
              </w:rPr>
              <w:t>(39,742)</w:t>
            </w:r>
          </w:p>
        </w:tc>
        <w:tc>
          <w:tcPr>
            <w:tcW w:w="680" w:type="dxa"/>
            <w:vAlign w:val="bottom"/>
            <w:gridSpan w:val="3"/>
          </w:tcPr>
          <w:p>
            <w:pPr>
              <w:jc w:val="right"/>
              <w:ind w:right="40"/>
              <w:spacing w:after="0"/>
              <w:rPr>
                <w:sz w:val="20"/>
                <w:szCs w:val="20"/>
                <w:color w:val="auto"/>
              </w:rPr>
            </w:pPr>
            <w:r>
              <w:rPr>
                <w:rFonts w:ascii="Arial" w:cs="Arial" w:eastAsia="Arial" w:hAnsi="Arial"/>
                <w:sz w:val="12"/>
                <w:szCs w:val="12"/>
                <w:color w:val="auto"/>
                <w:w w:val="91"/>
              </w:rPr>
              <w:t>(26,680,202)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2"/>
                <w:szCs w:val="12"/>
                <w:color w:val="auto"/>
                <w:w w:val="84"/>
              </w:rPr>
              <w:t>(18,393)</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w w:val="93"/>
              </w:rPr>
              <w:t>(30,070,487)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2"/>
                <w:szCs w:val="12"/>
                <w:color w:val="auto"/>
                <w:w w:val="84"/>
              </w:rPr>
              <w:t>(38,114)</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w w:val="93"/>
              </w:rPr>
              <w:t>(19,999,999)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2"/>
                <w:szCs w:val="12"/>
                <w:color w:val="auto"/>
                <w:w w:val="89"/>
              </w:rPr>
              <w:t>(6,000)</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w w:val="93"/>
              </w:rPr>
              <w:t>(98,351,953)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w w:val="84"/>
              </w:rPr>
              <w:t>(28,417)</w:t>
            </w:r>
          </w:p>
        </w:tc>
        <w:tc>
          <w:tcPr>
            <w:tcW w:w="0" w:type="dxa"/>
            <w:vAlign w:val="bottom"/>
          </w:tcPr>
          <w:p>
            <w:pPr>
              <w:spacing w:after="0"/>
              <w:rPr>
                <w:sz w:val="1"/>
                <w:szCs w:val="1"/>
                <w:color w:val="auto"/>
              </w:rPr>
            </w:pPr>
          </w:p>
        </w:tc>
      </w:tr>
      <w:tr>
        <w:trPr>
          <w:trHeight w:val="115"/>
        </w:trPr>
        <w:tc>
          <w:tcPr>
            <w:tcW w:w="840" w:type="dxa"/>
            <w:vAlign w:val="bottom"/>
          </w:tcPr>
          <w:p>
            <w:pPr>
              <w:spacing w:after="0" w:line="115" w:lineRule="exact"/>
              <w:rPr>
                <w:sz w:val="20"/>
                <w:szCs w:val="20"/>
                <w:color w:val="auto"/>
              </w:rPr>
            </w:pPr>
            <w:r>
              <w:rPr>
                <w:rFonts w:ascii="Arial" w:cs="Arial" w:eastAsia="Arial" w:hAnsi="Arial"/>
                <w:sz w:val="12"/>
                <w:szCs w:val="12"/>
                <w:b w:val="1"/>
                <w:bCs w:val="1"/>
                <w:color w:val="auto"/>
              </w:rPr>
              <w:t>Balance at</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2019 pro</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forma</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00" w:type="dxa"/>
            <w:vAlign w:val="bottom"/>
            <w:gridSpan w:val="4"/>
          </w:tcPr>
          <w:p>
            <w:pPr>
              <w:jc w:val="right"/>
              <w:spacing w:after="0"/>
              <w:rPr>
                <w:sz w:val="20"/>
                <w:szCs w:val="20"/>
                <w:color w:val="auto"/>
              </w:rPr>
            </w:pPr>
            <w:r>
              <w:rPr>
                <w:rFonts w:ascii="Arial" w:cs="Arial" w:eastAsia="Arial" w:hAnsi="Arial"/>
                <w:sz w:val="12"/>
                <w:szCs w:val="12"/>
                <w:color w:val="auto"/>
              </w:rPr>
              <w:t>—  $</w:t>
            </w:r>
          </w:p>
        </w:tc>
        <w:tc>
          <w:tcPr>
            <w:tcW w:w="400" w:type="dxa"/>
            <w:vAlign w:val="bottom"/>
            <w:gridSpan w:val="3"/>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-5547360</wp:posOffset>
            </wp:positionV>
            <wp:extent cx="6881495" cy="55556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81495" cy="5555615"/>
                    </a:xfrm>
                    <a:prstGeom prst="rect">
                      <a:avLst/>
                    </a:prstGeom>
                    <a:noFill/>
                  </pic:spPr>
                </pic:pic>
              </a:graphicData>
            </a:graphic>
          </wp:anchor>
        </w:drawing>
      </w:r>
    </w:p>
    <w:p>
      <w:pPr>
        <w:spacing w:after="0" w:line="181" w:lineRule="exact"/>
        <w:rPr>
          <w:sz w:val="20"/>
          <w:szCs w:val="20"/>
          <w:color w:val="auto"/>
        </w:rPr>
      </w:pPr>
    </w:p>
    <w:p>
      <w:pPr>
        <w:jc w:val="center"/>
        <w:ind w:left="3560"/>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78" w:lineRule="exact"/>
        <w:rPr>
          <w:sz w:val="20"/>
          <w:szCs w:val="20"/>
          <w:color w:val="auto"/>
        </w:rPr>
      </w:pPr>
    </w:p>
    <w:p>
      <w:pPr>
        <w:jc w:val="center"/>
        <w:ind w:left="356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98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760" w:type="dxa"/>
            <w:vAlign w:val="bottom"/>
            <w:gridSpan w:val="4"/>
          </w:tcPr>
          <w:p>
            <w:pPr>
              <w:ind w:left="40"/>
              <w:spacing w:after="0" w:line="138"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jc w:val="center"/>
              <w:ind w:right="60"/>
              <w:spacing w:after="0" w:line="138" w:lineRule="exact"/>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3"/>
        </w:trPr>
        <w:tc>
          <w:tcPr>
            <w:tcW w:w="80" w:type="dxa"/>
            <w:vAlign w:val="bottom"/>
            <w:tcBorders>
              <w:bottom w:val="single" w:sz="8" w:color="auto"/>
            </w:tcBorders>
            <w:vMerge w:val="continue"/>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Arial" w:cs="Arial" w:eastAsia="Arial" w:hAnsi="Arial"/>
                <w:sz w:val="13"/>
                <w:szCs w:val="13"/>
                <w:b w:val="1"/>
                <w:bCs w:val="1"/>
                <w:color w:val="auto"/>
                <w:w w:val="92"/>
              </w:rPr>
              <w:t>Shares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77"/>
              </w:rPr>
              <w:t>Amount</w:t>
            </w:r>
          </w:p>
        </w:tc>
        <w:tc>
          <w:tcPr>
            <w:tcW w:w="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bottom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3"/>
        </w:trPr>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165,713</w:t>
            </w:r>
          </w:p>
        </w:tc>
        <w:tc>
          <w:tcPr>
            <w:tcW w:w="2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30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4,040</w:t>
            </w:r>
          </w:p>
        </w:tc>
        <w:tc>
          <w:tcPr>
            <w:tcW w:w="18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(105,422)</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(101,38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tabs>
          <w:tab w:leader="none" w:pos="860" w:val="left"/>
          <w:tab w:leader="none" w:pos="1560" w:val="left"/>
          <w:tab w:leader="none" w:pos="2440" w:val="left"/>
          <w:tab w:leader="none" w:pos="33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53"/>
        </w:trPr>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(81)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377"/>
        </w:trPr>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51"/>
        </w:trPr>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1"/>
                <w:szCs w:val="21"/>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406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366"/>
        </w:trPr>
        <w:tc>
          <w:tcPr>
            <w:tcW w:w="500" w:type="dxa"/>
            <w:vAlign w:val="bottom"/>
          </w:tcPr>
          <w:p>
            <w:pPr>
              <w:jc w:val="right"/>
              <w:spacing w:after="0"/>
              <w:rPr>
                <w:sz w:val="20"/>
                <w:szCs w:val="20"/>
                <w:color w:val="auto"/>
              </w:rPr>
            </w:pPr>
            <w:r>
              <w:rPr>
                <w:rFonts w:ascii="Arial" w:cs="Arial" w:eastAsia="Arial" w:hAnsi="Arial"/>
                <w:sz w:val="12"/>
                <w:szCs w:val="12"/>
                <w:color w:val="auto"/>
              </w:rPr>
              <w:t>4,443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39"/>
        </w:trPr>
        <w:tc>
          <w:tcPr>
            <w:tcW w:w="5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(6,029)</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(6,02</w:t>
            </w:r>
          </w:p>
        </w:tc>
      </w:tr>
      <w:tr>
        <w:trPr>
          <w:trHeight w:val="20"/>
        </w:trPr>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91"/>
        </w:trPr>
        <w:tc>
          <w:tcPr>
            <w:tcW w:w="500" w:type="dxa"/>
            <w:vAlign w:val="bottom"/>
          </w:tcPr>
          <w:p>
            <w:pPr>
              <w:jc w:val="right"/>
              <w:spacing w:after="0"/>
              <w:rPr>
                <w:sz w:val="20"/>
                <w:szCs w:val="20"/>
                <w:color w:val="auto"/>
              </w:rPr>
            </w:pPr>
            <w:r>
              <w:rPr>
                <w:rFonts w:ascii="Arial" w:cs="Arial" w:eastAsia="Arial" w:hAnsi="Arial"/>
                <w:sz w:val="12"/>
                <w:szCs w:val="12"/>
                <w:color w:val="auto"/>
              </w:rPr>
              <w:t>170,156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4,377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(111,451)</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(107,07</w:t>
            </w:r>
          </w:p>
        </w:tc>
      </w:tr>
      <w:tr>
        <w:trPr>
          <w:trHeight w:val="753"/>
        </w:trPr>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(313)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51"/>
        </w:trPr>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1"/>
                <w:szCs w:val="21"/>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244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354"/>
        </w:trPr>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60,704</w:t>
            </w:r>
          </w:p>
        </w:tc>
        <w:tc>
          <w:tcPr>
            <w:tcW w:w="4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39"/>
        </w:trPr>
        <w:tc>
          <w:tcPr>
            <w:tcW w:w="5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(16,306)</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(16,30</w:t>
            </w:r>
          </w:p>
        </w:tc>
      </w:tr>
      <w:tr>
        <w:trPr>
          <w:trHeight w:val="20"/>
        </w:trPr>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91"/>
        </w:trPr>
        <w:tc>
          <w:tcPr>
            <w:tcW w:w="500" w:type="dxa"/>
            <w:vAlign w:val="bottom"/>
          </w:tcPr>
          <w:p>
            <w:pPr>
              <w:jc w:val="right"/>
              <w:spacing w:after="0"/>
              <w:rPr>
                <w:sz w:val="20"/>
                <w:szCs w:val="20"/>
                <w:color w:val="auto"/>
              </w:rPr>
            </w:pPr>
            <w:r>
              <w:rPr>
                <w:rFonts w:ascii="Arial" w:cs="Arial" w:eastAsia="Arial" w:hAnsi="Arial"/>
                <w:sz w:val="12"/>
                <w:szCs w:val="12"/>
                <w:color w:val="auto"/>
              </w:rPr>
              <w:t>230,860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4,419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(127,757)</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(123,33</w:t>
            </w:r>
          </w:p>
        </w:tc>
      </w:tr>
      <w:tr>
        <w:trPr>
          <w:trHeight w:val="619"/>
        </w:trPr>
        <w:tc>
          <w:tcPr>
            <w:tcW w:w="500" w:type="dxa"/>
            <w:vAlign w:val="bottom"/>
          </w:tcPr>
          <w:p>
            <w:pPr>
              <w:jc w:val="right"/>
              <w:spacing w:after="0"/>
              <w:rPr>
                <w:sz w:val="20"/>
                <w:szCs w:val="20"/>
                <w:color w:val="auto"/>
              </w:rPr>
            </w:pPr>
            <w:r>
              <w:rPr>
                <w:rFonts w:ascii="Arial" w:cs="Arial" w:eastAsia="Arial" w:hAnsi="Arial"/>
                <w:sz w:val="12"/>
                <w:szCs w:val="12"/>
                <w:color w:val="auto"/>
                <w:w w:val="89"/>
              </w:rPr>
              <w:t>6,064,379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130,660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130,66</w:t>
            </w:r>
          </w:p>
        </w:tc>
      </w:tr>
      <w:tr>
        <w:trPr>
          <w:trHeight w:val="20"/>
        </w:trPr>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633"/>
        </w:trPr>
        <w:tc>
          <w:tcPr>
            <w:tcW w:w="500" w:type="dxa"/>
            <w:vAlign w:val="bottom"/>
          </w:tcPr>
          <w:p>
            <w:pPr>
              <w:jc w:val="right"/>
              <w:spacing w:after="0"/>
              <w:rPr>
                <w:sz w:val="20"/>
                <w:szCs w:val="20"/>
                <w:color w:val="auto"/>
              </w:rPr>
            </w:pPr>
            <w:r>
              <w:rPr>
                <w:rFonts w:ascii="Arial" w:cs="Arial" w:eastAsia="Arial" w:hAnsi="Arial"/>
                <w:sz w:val="12"/>
                <w:szCs w:val="12"/>
                <w:color w:val="auto"/>
                <w:w w:val="89"/>
              </w:rPr>
              <w:t>6,295,239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6</w:t>
            </w:r>
          </w:p>
        </w:tc>
        <w:tc>
          <w:tcPr>
            <w:tcW w:w="4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135,079</w:t>
            </w:r>
          </w:p>
        </w:tc>
        <w:tc>
          <w:tcPr>
            <w:tcW w:w="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(127,757)</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7,32</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7700" w:space="180"/>
            <w:col w:w="3460"/>
          </w:cols>
          <w:pgMar w:left="320" w:top="437" w:right="239" w:bottom="1440" w:gutter="0" w:footer="0" w:header="0"/>
          <w:type w:val="continuous"/>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06"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6"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(In Thousands)</w:t>
      </w:r>
    </w:p>
    <w:p>
      <w:pPr>
        <w:spacing w:after="0" w:line="228"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8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131"/>
        </w:trPr>
        <w:tc>
          <w:tcPr>
            <w:tcW w:w="8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7"/>
              <w:spacing w:after="0" w:line="131"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4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left w:val="single" w:sz="8" w:color="CCEEFF"/>
            </w:tcBorders>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(16,306)</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(6,029)</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0" w:type="dxa"/>
            <w:vAlign w:val="bottom"/>
            <w:tcBorders>
              <w:lef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244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Depreciation expense</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20" w:type="dxa"/>
            <w:vAlign w:val="bottom"/>
          </w:tcPr>
          <w:p>
            <w:pPr>
              <w:spacing w:after="0"/>
              <w:rPr>
                <w:sz w:val="20"/>
                <w:szCs w:val="20"/>
                <w:color w:val="auto"/>
              </w:rPr>
            </w:pPr>
            <w:r>
              <w:rPr>
                <w:rFonts w:ascii="Arial" w:cs="Arial" w:eastAsia="Arial" w:hAnsi="Arial"/>
                <w:sz w:val="17"/>
                <w:szCs w:val="17"/>
                <w:color w:val="auto"/>
              </w:rPr>
              <w:t>Reserve for uncollectible accounts</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167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tranche liability</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Non-cash interest expense</w:t>
            </w:r>
          </w:p>
        </w:tc>
        <w:tc>
          <w:tcPr>
            <w:tcW w:w="12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120" w:type="dxa"/>
            <w:vAlign w:val="bottom"/>
            <w:tcBorders>
              <w:lef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20" w:type="dxa"/>
            <w:vAlign w:val="bottom"/>
          </w:tcPr>
          <w:p>
            <w:pPr>
              <w:ind w:left="340"/>
              <w:spacing w:after="0"/>
              <w:rPr>
                <w:sz w:val="20"/>
                <w:szCs w:val="20"/>
                <w:color w:val="auto"/>
              </w:rPr>
            </w:pPr>
            <w:r>
              <w:rPr>
                <w:rFonts w:ascii="Arial" w:cs="Arial" w:eastAsia="Arial" w:hAnsi="Arial"/>
                <w:sz w:val="17"/>
                <w:szCs w:val="17"/>
                <w:color w:val="auto"/>
              </w:rPr>
              <w:t>Grants receivable</w:t>
            </w:r>
          </w:p>
        </w:tc>
        <w:tc>
          <w:tcPr>
            <w:tcW w:w="12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561</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01"/>
        </w:trPr>
        <w:tc>
          <w:tcPr>
            <w:tcW w:w="8420" w:type="dxa"/>
            <w:vAlign w:val="bottom"/>
          </w:tcPr>
          <w:p>
            <w:pPr>
              <w:ind w:left="340"/>
              <w:spacing w:after="0"/>
              <w:rPr>
                <w:sz w:val="20"/>
                <w:szCs w:val="20"/>
                <w:color w:val="auto"/>
              </w:rPr>
            </w:pPr>
            <w:r>
              <w:rPr>
                <w:rFonts w:ascii="Arial" w:cs="Arial" w:eastAsia="Arial" w:hAnsi="Arial"/>
                <w:sz w:val="17"/>
                <w:szCs w:val="17"/>
                <w:color w:val="auto"/>
              </w:rPr>
              <w:t>Operating lease right-of-use asset</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864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(205)</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1"/>
        </w:trPr>
        <w:tc>
          <w:tcPr>
            <w:tcW w:w="8420" w:type="dxa"/>
            <w:vAlign w:val="bottom"/>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1,734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liability</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(840)</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420" w:type="dxa"/>
            <w:vAlign w:val="bottom"/>
          </w:tcPr>
          <w:p>
            <w:pPr>
              <w:ind w:left="340"/>
              <w:spacing w:after="0"/>
              <w:rPr>
                <w:sz w:val="20"/>
                <w:szCs w:val="20"/>
                <w:color w:val="auto"/>
              </w:rPr>
            </w:pPr>
            <w:r>
              <w:rPr>
                <w:rFonts w:ascii="Arial" w:cs="Arial" w:eastAsia="Arial" w:hAnsi="Arial"/>
                <w:sz w:val="17"/>
                <w:szCs w:val="17"/>
                <w:color w:val="auto"/>
              </w:rPr>
              <w:t>Deferred rent</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operating activities</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(13,754)</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(6,640)</w:t>
            </w: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34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lef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Proceeds from the sale of Series B redeemable convertible preferred stock</w:t>
            </w:r>
          </w:p>
        </w:tc>
        <w:tc>
          <w:tcPr>
            <w:tcW w:w="12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w w:val="96"/>
              </w:rPr>
              <w:t>29,000</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Payment of offering costs related to sale of Series B redeemable convertible preferred stock</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Proceeds from exercise of common stock options</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111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convertible notes payable</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Payments for deferred offering costs</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provided by financing activities</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6"/>
              </w:rPr>
              <w:t>29,213</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7"/>
                <w:szCs w:val="17"/>
                <w:color w:val="auto"/>
              </w:rPr>
              <w:t>Net (decrease) increase in cash and cash equivalents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(14,080)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w w:val="96"/>
              </w:rPr>
              <w:t>22,536</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and restricted cash, beginning of period</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24,217</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7"/>
                <w:szCs w:val="17"/>
                <w:color w:val="auto"/>
              </w:rPr>
              <w:t>Cash and cash equivalents and restricted cash, end of period</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10,137</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w w:val="96"/>
              </w:rPr>
              <w:t>24,217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2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Supplemental disclosure of non-cash financing and investing activities:</w:t>
            </w:r>
          </w:p>
        </w:tc>
        <w:tc>
          <w:tcPr>
            <w:tcW w:w="120" w:type="dxa"/>
            <w:vAlign w:val="bottom"/>
            <w:tcBorders>
              <w:left w:val="single" w:sz="8" w:color="CCEEFF"/>
            </w:tcBorders>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Property and equipment purchases included in 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Conversion of convertible notes payable</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Allocation of redeemable convertible preferred stock to tranche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Settlement of tranche liability</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01"/>
        </w:trPr>
        <w:tc>
          <w:tcPr>
            <w:tcW w:w="8420" w:type="dxa"/>
            <w:vAlign w:val="bottom"/>
          </w:tcPr>
          <w:p>
            <w:pPr>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313</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 obtained in exchange of operating lease obligation</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4,046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8420" w:type="dxa"/>
            <w:vAlign w:val="bottom"/>
          </w:tcPr>
          <w:p>
            <w:pPr>
              <w:spacing w:after="0"/>
              <w:rPr>
                <w:sz w:val="20"/>
                <w:szCs w:val="20"/>
                <w:color w:val="auto"/>
              </w:rPr>
            </w:pPr>
            <w:r>
              <w:rPr>
                <w:rFonts w:ascii="Arial" w:cs="Arial" w:eastAsia="Arial" w:hAnsi="Arial"/>
                <w:sz w:val="17"/>
                <w:szCs w:val="17"/>
                <w:color w:val="auto"/>
              </w:rPr>
              <w:t>Deferred offering costs included in accounts payable and accrued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870</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499"/>
        <w:spacing w:after="0"/>
        <w:rPr>
          <w:sz w:val="20"/>
          <w:szCs w:val="20"/>
          <w:color w:val="auto"/>
        </w:rPr>
      </w:pPr>
      <w:r>
        <w:rPr>
          <w:rFonts w:ascii="Arial" w:cs="Arial" w:eastAsia="Arial" w:hAnsi="Arial"/>
          <w:sz w:val="17"/>
          <w:szCs w:val="17"/>
          <w:i w:val="1"/>
          <w:iCs w:val="1"/>
          <w:color w:val="auto"/>
        </w:rPr>
        <w:t>See accompanying notes to financial statements.</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740"/>
          </w:cols>
          <w:pgMar w:left="320" w:top="437" w:right="8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10" w:lineRule="exact"/>
        <w:rPr>
          <w:sz w:val="20"/>
          <w:szCs w:val="20"/>
          <w:color w:val="auto"/>
        </w:rPr>
      </w:pPr>
    </w:p>
    <w:p>
      <w:pPr>
        <w:ind w:left="500" w:right="100" w:firstLine="819"/>
        <w:spacing w:after="0" w:line="288" w:lineRule="auto"/>
        <w:rPr>
          <w:sz w:val="20"/>
          <w:szCs w:val="20"/>
          <w:color w:val="auto"/>
        </w:rPr>
      </w:pPr>
      <w:r>
        <w:rPr>
          <w:rFonts w:ascii="Arial" w:cs="Arial" w:eastAsia="Arial" w:hAnsi="Arial"/>
          <w:sz w:val="15"/>
          <w:szCs w:val="15"/>
          <w:color w:val="auto"/>
        </w:rPr>
        <w:t>Lyra Therapeutics, Inc. (the “Company”) is a clinical-stage therapeutics company focused on the development and commercialization of novel integrated drug and delivery solutions for the localized treatment of patients with ear, nose and throat (“ENT”) diseases. The Company’s proprietary technology platform, XTreo, is designed to precisely and consistently deliver medicines directly to the affected tissue for sustained periods with a single administration. The Company’s initial product candidates, LYR-210 and LYR-220, are bioresorbable polymeric matrices designed to be administered in a brief, non-invasive, in-office procedure and intended to deliver up to six months of continuous drug therapy to the sinonasal passages for the treatment of chronic rhinosinusitis (“CRS”). The Company was incorporated as a Delaware corporation on November 21, 2005 and is located in Watertown, Massachusetts. On July 16, 2018, the Company formerly changed its name from 480 Biomedical, Inc. to Lyra Therapeutics, Inc.</w:t>
      </w:r>
    </w:p>
    <w:p>
      <w:pPr>
        <w:spacing w:after="0" w:line="158" w:lineRule="exact"/>
        <w:rPr>
          <w:sz w:val="20"/>
          <w:szCs w:val="20"/>
          <w:color w:val="auto"/>
        </w:rPr>
      </w:pPr>
    </w:p>
    <w:p>
      <w:pPr>
        <w:ind w:left="500" w:right="40" w:firstLine="819"/>
        <w:spacing w:after="0" w:line="250" w:lineRule="auto"/>
        <w:rPr>
          <w:sz w:val="20"/>
          <w:szCs w:val="20"/>
          <w:color w:val="auto"/>
        </w:rPr>
      </w:pPr>
      <w:r>
        <w:rPr>
          <w:rFonts w:ascii="Arial" w:cs="Arial" w:eastAsia="Arial" w:hAnsi="Arial"/>
          <w:sz w:val="17"/>
          <w:szCs w:val="17"/>
          <w:color w:val="auto"/>
        </w:rPr>
        <w:t>The Company is subject to risks common to companies in the specialty pharmaceuticals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reliance on third party manufacturers, ability to transition from pilot-scale manufacturing to large-scale production of products and the need to obtain adequate additional financing to fund the development of its product candidates.</w:t>
      </w:r>
    </w:p>
    <w:p>
      <w:pPr>
        <w:spacing w:after="0" w:line="184" w:lineRule="exact"/>
        <w:rPr>
          <w:sz w:val="20"/>
          <w:szCs w:val="20"/>
          <w:color w:val="auto"/>
        </w:rPr>
      </w:pPr>
    </w:p>
    <w:p>
      <w:pPr>
        <w:ind w:left="500" w:right="60" w:firstLine="819"/>
        <w:spacing w:after="0" w:line="290" w:lineRule="auto"/>
        <w:rPr>
          <w:sz w:val="20"/>
          <w:szCs w:val="20"/>
          <w:color w:val="auto"/>
        </w:rPr>
      </w:pPr>
      <w:r>
        <w:rPr>
          <w:rFonts w:ascii="Arial" w:cs="Arial" w:eastAsia="Arial" w:hAnsi="Arial"/>
          <w:sz w:val="15"/>
          <w:szCs w:val="15"/>
          <w:color w:val="auto"/>
        </w:rPr>
        <w:t>Since inception, the Company has funded its operations with proceeds from sales of redeemable convertible preferred stock and funding from government contracts. The Company has incurred recurring net losses since inception of approximately $16.3 million and $6.0 million for the years ended December 31, 2019 and 2018, respectively. In addition, the Company has an accumulated deficit of approximately $127.8 million at December 31, 2019. The Company expects to continue to generate operating losses for the foreseeable future. At December 31, 2019, the Company had approximately $9.8 million of cash and cash equivalents. In January 2020, the Company issued 78,306,611 shares of Series C redeemable convertible preferred stock for $0.38811 per share, in exchange for gross cash proceeds of approximately $30.4 million.</w:t>
      </w:r>
    </w:p>
    <w:p>
      <w:pPr>
        <w:spacing w:after="0" w:line="155"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The Company believes that its cash and cash equivalents as of December 31, 2019 along with the proceeds from its sale of Series C redeemable convertible preferred stock in January 2020 will be sufficient to fund the Company’s operating plan for a period of at least one year from the issuance date of the consolidated financial statements. The future viability of the Company beyond that point is dependent on its ability to raise additional capital to finance its future operations. The Company will seek additional funding through an initial public offering of its common stock or private financings, debt financing, collaboration agreements or government grants. The inability to obtain funding, including an initial public offering, as and when needed, would have a negative impact on the Company’s financial condition and ability to pursue its business strategies. If the Company is unable to obtain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Although management intends to pursue plans to obtain additional funding to finance its operations, there is no assurance that the Company will be successful in obtaining sufficient funding on terms acceptable to the Company to fund continuing operations, if at all. If the Company is unable to complete a sufficient public offering in a timely manner, it would need to pursue other financing alternatives, such as private financing of debt or equity or collaboration agreements.</w:t>
      </w:r>
    </w:p>
    <w:p>
      <w:pPr>
        <w:spacing w:after="0" w:line="11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740"/>
          </w:cols>
          <w:pgMar w:left="320" w:top="438" w:right="8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06" w:lineRule="exact"/>
        <w:rPr>
          <w:sz w:val="20"/>
          <w:szCs w:val="20"/>
          <w:color w:val="auto"/>
        </w:rPr>
      </w:pPr>
    </w:p>
    <w:p>
      <w:pPr>
        <w:ind w:left="500" w:right="40" w:firstLine="819"/>
        <w:spacing w:after="0" w:line="253"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Any reference in these notes to applicable guidance is meant to refer to the authoritative United States generally accepted accounting principles as found in the Accounting Standard Codification (“ASC”) and Accounting Standards Updates (“ASU”) of the Financial Accounting Standards Board (“FASB”).</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Unaudited Pro Forma Financial Information</w:t>
      </w:r>
    </w:p>
    <w:p>
      <w:pPr>
        <w:spacing w:after="0" w:line="206"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The accompanying unaudited pro forma balance sheet as of December 31, 2019 has been prepared to give effect to the automatic conversion of all outstanding shares of redeemable convertible preferred stock into 6,064,379 shares of common stock as if the Company’s proposed initial public offering had occurred on December 31, 2019.</w:t>
      </w:r>
    </w:p>
    <w:p>
      <w:pPr>
        <w:spacing w:after="0" w:line="175" w:lineRule="exact"/>
        <w:rPr>
          <w:sz w:val="20"/>
          <w:szCs w:val="20"/>
          <w:color w:val="auto"/>
        </w:rPr>
      </w:pPr>
    </w:p>
    <w:p>
      <w:pPr>
        <w:ind w:left="500" w:right="20" w:firstLine="819"/>
        <w:spacing w:after="0" w:line="298" w:lineRule="auto"/>
        <w:rPr>
          <w:sz w:val="20"/>
          <w:szCs w:val="20"/>
          <w:color w:val="auto"/>
        </w:rPr>
      </w:pPr>
      <w:r>
        <w:rPr>
          <w:rFonts w:ascii="Arial" w:cs="Arial" w:eastAsia="Arial" w:hAnsi="Arial"/>
          <w:sz w:val="15"/>
          <w:szCs w:val="15"/>
          <w:color w:val="auto"/>
        </w:rPr>
        <w:t>In the accompanying statements of operations and comprehensive loss, the unaudited pro forma net loss attributable to common stockholders used in the calculation of unaudited basic and diluted pro forma net loss per share attributable to common stockholders does not include the effects of the accretion of issuance costs on redeemable convertible preferred stock because it assumes that the conversion of convertible preferred stock into common stock occurred on the later of the beginning of the reporting period or the issuance date of the redeemable convertible preferred stock.</w:t>
      </w:r>
    </w:p>
    <w:p>
      <w:pPr>
        <w:spacing w:after="0" w:line="148"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The unaudited pro forma basic and diluted weighted-average common shares outstanding used in the calculation of unaudited pro forma basic and diluted net loss per share attributable to common stockholders for the year ended December 31, 2019 give effect to the automatic conversion of all outstanding shares of redeemable convertible preferred stock into shares of common stock as if the conversion had occurred on the later of January 1, 2019 or the issuance date of the redeemable convertible preferred stock for the year ended December 31, 2019.</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06" w:lineRule="exact"/>
        <w:rPr>
          <w:sz w:val="20"/>
          <w:szCs w:val="20"/>
          <w:color w:val="auto"/>
        </w:rPr>
      </w:pPr>
    </w:p>
    <w:p>
      <w:pPr>
        <w:ind w:left="500" w:right="260" w:firstLine="819"/>
        <w:spacing w:after="0" w:line="335" w:lineRule="auto"/>
        <w:rPr>
          <w:sz w:val="20"/>
          <w:szCs w:val="20"/>
          <w:color w:val="auto"/>
        </w:rPr>
      </w:pPr>
      <w:r>
        <w:rPr>
          <w:rFonts w:ascii="Arial" w:cs="Arial" w:eastAsia="Arial" w:hAnsi="Arial"/>
          <w:sz w:val="15"/>
          <w:szCs w:val="15"/>
          <w:color w:val="auto"/>
        </w:rPr>
        <w:t>The consolidated financial statements include the accounts of Lyra Therapeutics, Inc. and its wholly owned subsidiary Lyra Therapeutics Security Corporation, which was incorporated in December 2018. All intercompany transactions and balances have been eliminated.</w:t>
      </w:r>
    </w:p>
    <w:p>
      <w:pPr>
        <w:spacing w:after="0" w:line="121" w:lineRule="exact"/>
        <w:rPr>
          <w:sz w:val="20"/>
          <w:szCs w:val="20"/>
          <w:color w:val="auto"/>
        </w:rPr>
      </w:pPr>
    </w:p>
    <w:p>
      <w:pPr>
        <w:ind w:left="500" w:right="300" w:firstLine="819"/>
        <w:spacing w:after="0" w:line="268" w:lineRule="auto"/>
        <w:rPr>
          <w:sz w:val="20"/>
          <w:szCs w:val="20"/>
          <w:color w:val="auto"/>
        </w:rPr>
      </w:pPr>
      <w:r>
        <w:rPr>
          <w:rFonts w:ascii="Arial" w:cs="Arial" w:eastAsia="Arial" w:hAnsi="Arial"/>
          <w:sz w:val="17"/>
          <w:szCs w:val="17"/>
          <w:color w:val="auto"/>
        </w:rPr>
        <w:t>The accompanying consolidated financial statements reflect the application of certain significant accounting policies as described in this note and elsewhere in the accompanying consolidated financial statements and notes.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6" w:lineRule="exact"/>
        <w:rPr>
          <w:sz w:val="20"/>
          <w:szCs w:val="20"/>
          <w:color w:val="auto"/>
        </w:rPr>
      </w:pPr>
    </w:p>
    <w:p>
      <w:pPr>
        <w:ind w:left="500" w:right="60" w:firstLine="819"/>
        <w:spacing w:after="0" w:line="293" w:lineRule="auto"/>
        <w:rPr>
          <w:sz w:val="20"/>
          <w:szCs w:val="20"/>
          <w:color w:val="auto"/>
        </w:rPr>
      </w:pPr>
      <w:r>
        <w:rPr>
          <w:rFonts w:ascii="Arial" w:cs="Arial" w:eastAsia="Arial" w:hAnsi="Arial"/>
          <w:sz w:val="15"/>
          <w:szCs w:val="15"/>
          <w:color w:val="auto"/>
        </w:rPr>
        <w:t>The preparation of the Company’s consolidated financial statements in conformity with GAAP requires management to make estimates and assumptions that affect the reported amounts of assets, liabilities, expenses and related disclosure of contingent assets and liabilities at the date of the consolidated financial statements and reported amounts of expenses during the reporting period. On an ongoing basis, the Company’s management evaluates its estimates, which include but are not limited to management’s judgments of accrued expenses, fair value of common stock, valuation of share-based awards and deferred income taxes. Due to the uncertainty inherent in such estimates, actual results may differ from these estimates.</w:t>
      </w:r>
    </w:p>
    <w:p>
      <w:pPr>
        <w:spacing w:after="0" w:line="8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740"/>
          </w:cols>
          <w:pgMar w:left="320" w:top="437" w:right="8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right="80" w:firstLine="819"/>
        <w:spacing w:after="0" w:line="290" w:lineRule="auto"/>
        <w:rPr>
          <w:sz w:val="20"/>
          <w:szCs w:val="20"/>
          <w:color w:val="auto"/>
        </w:rPr>
      </w:pPr>
      <w:r>
        <w:rPr>
          <w:rFonts w:ascii="Arial" w:cs="Arial" w:eastAsia="Arial" w:hAnsi="Arial"/>
          <w:sz w:val="15"/>
          <w:szCs w:val="15"/>
          <w:color w:val="auto"/>
        </w:rPr>
        <w:t>The Company utilizes significant estimates and assumptions in determining the fair value of its common stock. The Company has utilized various valuation methodologies to estimate the fair value of its common stock. Each valuation methodology includes estimates and assumptions that require the Company’s judgment. These estimates and assumptions include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06"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the Company’s chief executive officer, views the Company’s operations and manages its business as a single operating segment, which is the business of developing targeted medicines to address ENT diseases.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06" w:lineRule="exact"/>
        <w:rPr>
          <w:sz w:val="20"/>
          <w:szCs w:val="20"/>
          <w:color w:val="auto"/>
        </w:rPr>
      </w:pPr>
    </w:p>
    <w:p>
      <w:pPr>
        <w:jc w:val="both"/>
        <w:ind w:left="500" w:firstLine="819"/>
        <w:spacing w:after="0" w:line="257" w:lineRule="auto"/>
        <w:rPr>
          <w:sz w:val="20"/>
          <w:szCs w:val="20"/>
          <w:color w:val="auto"/>
        </w:rPr>
      </w:pPr>
      <w:r>
        <w:rPr>
          <w:rFonts w:ascii="Arial" w:cs="Arial" w:eastAsia="Arial" w:hAnsi="Arial"/>
          <w:sz w:val="17"/>
          <w:szCs w:val="17"/>
          <w:color w:val="auto"/>
        </w:rPr>
        <w:t>Comprehensive income (loss) is defined as the change in equity of a business enterprise during a period from transactions and other events and circumstances from non-owner sources. As the Company did not have any element of other comprehensive income (loss), its comprehensive loss is equal to its net loss for all periods presented.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6" w:lineRule="exact"/>
        <w:rPr>
          <w:sz w:val="20"/>
          <w:szCs w:val="20"/>
          <w:color w:val="auto"/>
        </w:rPr>
      </w:pPr>
    </w:p>
    <w:p>
      <w:pPr>
        <w:ind w:left="500" w:right="80" w:firstLine="819"/>
        <w:spacing w:after="0" w:line="257"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Cash and cash equivalents include cash held in banks and amounts held in money market funds. Cash equivalents are stated at cost, which approximates market value.</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Cash and cash equivalents consist of cash held in banks at December 31, 2019 and 2018.</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6" w:lineRule="exact"/>
        <w:rPr>
          <w:sz w:val="20"/>
          <w:szCs w:val="20"/>
          <w:color w:val="auto"/>
        </w:rPr>
      </w:pPr>
    </w:p>
    <w:p>
      <w:pPr>
        <w:ind w:left="500" w:right="420" w:firstLine="819"/>
        <w:spacing w:after="0" w:line="268" w:lineRule="auto"/>
        <w:rPr>
          <w:sz w:val="20"/>
          <w:szCs w:val="20"/>
          <w:color w:val="auto"/>
        </w:rPr>
      </w:pPr>
      <w:r>
        <w:rPr>
          <w:rFonts w:ascii="Arial" w:cs="Arial" w:eastAsia="Arial" w:hAnsi="Arial"/>
          <w:sz w:val="17"/>
          <w:szCs w:val="17"/>
          <w:color w:val="auto"/>
        </w:rPr>
        <w:t>The Company had restricted cash of approximately $0.3 million as of December 31, 2019 and 2018, which was held in certificates of deposit at the Company’s financial institution to secure the Company’s letter of credit for its facility lease.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Concentrations of Credit Risk and Off-Balance Sheet Risk</w:t>
      </w:r>
    </w:p>
    <w:p>
      <w:pPr>
        <w:spacing w:after="0" w:line="206" w:lineRule="exact"/>
        <w:rPr>
          <w:sz w:val="20"/>
          <w:szCs w:val="20"/>
          <w:color w:val="auto"/>
        </w:rPr>
      </w:pPr>
    </w:p>
    <w:p>
      <w:pPr>
        <w:ind w:left="500" w:right="60" w:firstLine="819"/>
        <w:spacing w:after="0" w:line="307" w:lineRule="auto"/>
        <w:rPr>
          <w:sz w:val="20"/>
          <w:szCs w:val="20"/>
          <w:color w:val="auto"/>
        </w:rPr>
      </w:pPr>
      <w:r>
        <w:rPr>
          <w:rFonts w:ascii="Arial" w:cs="Arial" w:eastAsia="Arial" w:hAnsi="Arial"/>
          <w:sz w:val="15"/>
          <w:szCs w:val="15"/>
          <w:color w:val="auto"/>
        </w:rPr>
        <w:t>Financial instruments that potentially expose the Company to concentrations of credit risk consist primarily of cash, cash equivalents and grants receivable. The Company maintains all its cash and cash equivalents at a single accredited financial institution, in amounts that exceed federally insured limits. The grants receivable as of December 31, 2018 are from various government agencies as discussed below.</w:t>
      </w:r>
    </w:p>
    <w:p>
      <w:pPr>
        <w:spacing w:after="0" w:line="141" w:lineRule="exact"/>
        <w:rPr>
          <w:sz w:val="20"/>
          <w:szCs w:val="20"/>
          <w:color w:val="auto"/>
        </w:rPr>
      </w:pPr>
    </w:p>
    <w:p>
      <w:pPr>
        <w:ind w:left="500" w:right="340" w:firstLine="819"/>
        <w:spacing w:after="0" w:line="268" w:lineRule="auto"/>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foreign exchange hedging arrangements.</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660"/>
          </w:cols>
          <w:pgMar w:left="320" w:top="437" w:right="91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Grants Receivable</w:t>
      </w:r>
    </w:p>
    <w:p>
      <w:pPr>
        <w:spacing w:after="0" w:line="206" w:lineRule="exact"/>
        <w:rPr>
          <w:sz w:val="20"/>
          <w:szCs w:val="20"/>
          <w:color w:val="auto"/>
        </w:rPr>
      </w:pPr>
    </w:p>
    <w:p>
      <w:pPr>
        <w:ind w:left="500" w:right="400" w:firstLine="819"/>
        <w:spacing w:after="0" w:line="280" w:lineRule="auto"/>
        <w:rPr>
          <w:sz w:val="20"/>
          <w:szCs w:val="20"/>
          <w:color w:val="auto"/>
        </w:rPr>
      </w:pPr>
      <w:r>
        <w:rPr>
          <w:rFonts w:ascii="Arial" w:cs="Arial" w:eastAsia="Arial" w:hAnsi="Arial"/>
          <w:sz w:val="16"/>
          <w:szCs w:val="16"/>
          <w:color w:val="auto"/>
        </w:rPr>
        <w:t>As of December 31, 2018, the Company had grants receivable of $0.2 million from the National Institute of Health’s (“NIH”) National Heart, Lung and Blood Institute (“NHLBI”). During the year ended December 31, 2019, the Company fully reserved the grant receivable as the Company determined it was unlikely to collect it and as a result, at December 31, 2019, it had grants receivable of $0.</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Significant Suppliers</w:t>
      </w:r>
    </w:p>
    <w:p>
      <w:pPr>
        <w:spacing w:after="0" w:line="206" w:lineRule="exact"/>
        <w:rPr>
          <w:sz w:val="20"/>
          <w:szCs w:val="20"/>
          <w:color w:val="auto"/>
        </w:rPr>
      </w:pPr>
    </w:p>
    <w:p>
      <w:pPr>
        <w:ind w:left="500" w:right="40" w:firstLine="819"/>
        <w:spacing w:after="0" w:line="253" w:lineRule="auto"/>
        <w:rPr>
          <w:sz w:val="20"/>
          <w:szCs w:val="20"/>
          <w:color w:val="auto"/>
        </w:rPr>
      </w:pPr>
      <w:r>
        <w:rPr>
          <w:rFonts w:ascii="Arial" w:cs="Arial" w:eastAsia="Arial" w:hAnsi="Arial"/>
          <w:sz w:val="17"/>
          <w:szCs w:val="17"/>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drug product and associated applicator related to these programs. These programs could be adversely affected by a significant interruption in the supply of the materials required to manufacture the drug product and associated applicator.</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6" w:lineRule="exact"/>
        <w:rPr>
          <w:sz w:val="20"/>
          <w:szCs w:val="20"/>
          <w:color w:val="auto"/>
        </w:rPr>
      </w:pPr>
    </w:p>
    <w:p>
      <w:pPr>
        <w:ind w:left="500" w:right="20" w:firstLine="819"/>
        <w:spacing w:after="0" w:line="266" w:lineRule="auto"/>
        <w:rPr>
          <w:sz w:val="20"/>
          <w:szCs w:val="20"/>
          <w:color w:val="auto"/>
        </w:rPr>
      </w:pPr>
      <w:r>
        <w:rPr>
          <w:rFonts w:ascii="Arial" w:cs="Arial" w:eastAsia="Arial" w:hAnsi="Arial"/>
          <w:sz w:val="16"/>
          <w:szCs w:val="16"/>
          <w:color w:val="auto"/>
        </w:rPr>
        <w:t xml:space="preserve">Fair value is defined as the price that would be received upon sale of an asset or paid to transfer a liability between market participants at a measurement date.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820”), establishes a three-level valuation hierarchy for instruments measured at fair value that prioritizes the inputs used to measure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or disclosed fair value of the financial instruments and is not a measure of the investment credit quality. The three levels of the fair value hierarchy established by ASC 820 in order of priority are as follows:</w:t>
      </w:r>
    </w:p>
    <w:p>
      <w:pPr>
        <w:spacing w:after="0" w:line="198" w:lineRule="exact"/>
        <w:rPr>
          <w:sz w:val="20"/>
          <w:szCs w:val="20"/>
          <w:color w:val="auto"/>
        </w:rPr>
      </w:pPr>
    </w:p>
    <w:p>
      <w:pPr>
        <w:ind w:left="500"/>
        <w:spacing w:after="0"/>
        <w:tabs>
          <w:tab w:leader="none" w:pos="1620" w:val="left"/>
        </w:tabs>
        <w:rPr>
          <w:sz w:val="20"/>
          <w:szCs w:val="20"/>
          <w:color w:val="auto"/>
        </w:rPr>
      </w:pPr>
      <w:r>
        <w:rPr>
          <w:rFonts w:ascii="Arial" w:cs="Arial" w:eastAsia="Arial" w:hAnsi="Arial"/>
          <w:sz w:val="17"/>
          <w:szCs w:val="17"/>
          <w:color w:val="auto"/>
        </w:rPr>
        <w:t>Level 1 -</w:t>
      </w:r>
      <w:r>
        <w:rPr>
          <w:sz w:val="20"/>
          <w:szCs w:val="20"/>
          <w:color w:val="auto"/>
        </w:rPr>
        <w:tab/>
      </w:r>
      <w:r>
        <w:rPr>
          <w:rFonts w:ascii="Arial" w:cs="Arial" w:eastAsia="Arial" w:hAnsi="Arial"/>
          <w:sz w:val="15"/>
          <w:szCs w:val="15"/>
          <w:color w:val="auto"/>
        </w:rPr>
        <w:t>Quoted prices in active markets for identical assets or liabilities that the Company has the ability to access at the measurement date.</w:t>
      </w:r>
    </w:p>
    <w:p>
      <w:pPr>
        <w:spacing w:after="0" w:line="106" w:lineRule="exact"/>
        <w:rPr>
          <w:sz w:val="20"/>
          <w:szCs w:val="20"/>
          <w:color w:val="auto"/>
        </w:rPr>
      </w:pPr>
    </w:p>
    <w:p>
      <w:pPr>
        <w:ind w:left="1640" w:right="200" w:hanging="1129"/>
        <w:spacing w:after="0" w:line="268" w:lineRule="auto"/>
        <w:tabs>
          <w:tab w:leader="none" w:pos="1620" w:val="left"/>
        </w:tabs>
        <w:rPr>
          <w:sz w:val="20"/>
          <w:szCs w:val="20"/>
          <w:color w:val="auto"/>
        </w:rPr>
      </w:pPr>
      <w:r>
        <w:rPr>
          <w:rFonts w:ascii="Arial" w:cs="Arial" w:eastAsia="Arial" w:hAnsi="Arial"/>
          <w:sz w:val="17"/>
          <w:szCs w:val="17"/>
          <w:color w:val="auto"/>
        </w:rPr>
        <w:t>Level 2 -</w:t>
      </w:r>
      <w:r>
        <w:rPr>
          <w:sz w:val="20"/>
          <w:szCs w:val="20"/>
          <w:color w:val="auto"/>
        </w:rPr>
        <w:tab/>
      </w:r>
      <w:r>
        <w:rPr>
          <w:rFonts w:ascii="Arial" w:cs="Arial" w:eastAsia="Arial" w:hAnsi="Arial"/>
          <w:sz w:val="17"/>
          <w:szCs w:val="17"/>
          <w:color w:val="auto"/>
        </w:rPr>
        <w:t>Inputs other than quoted prices included within Level 1 that are either directly or indirectly observable, such as quoted market prices, interest rates and yield curves.</w:t>
      </w:r>
    </w:p>
    <w:p>
      <w:pPr>
        <w:spacing w:after="0" w:line="66" w:lineRule="exact"/>
        <w:rPr>
          <w:sz w:val="20"/>
          <w:szCs w:val="20"/>
          <w:color w:val="auto"/>
        </w:rPr>
      </w:pPr>
    </w:p>
    <w:p>
      <w:pPr>
        <w:ind w:left="1640" w:right="120" w:hanging="1129"/>
        <w:spacing w:after="0" w:line="268" w:lineRule="auto"/>
        <w:tabs>
          <w:tab w:leader="none" w:pos="1620" w:val="left"/>
        </w:tabs>
        <w:rPr>
          <w:sz w:val="20"/>
          <w:szCs w:val="20"/>
          <w:color w:val="auto"/>
        </w:rPr>
      </w:pPr>
      <w:r>
        <w:rPr>
          <w:rFonts w:ascii="Arial" w:cs="Arial" w:eastAsia="Arial" w:hAnsi="Arial"/>
          <w:sz w:val="17"/>
          <w:szCs w:val="17"/>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and that are significant to determining the fair value of the assets or liabilities, including pricing models, discounted cash flow methodologies and similar techniques.</w:t>
      </w:r>
    </w:p>
    <w:p>
      <w:pPr>
        <w:spacing w:after="0" w:line="166"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left="500" w:right="100" w:firstLine="819"/>
        <w:spacing w:after="0" w:line="257" w:lineRule="auto"/>
        <w:rPr>
          <w:sz w:val="20"/>
          <w:szCs w:val="20"/>
          <w:color w:val="auto"/>
        </w:rPr>
      </w:pPr>
      <w:r>
        <w:rPr>
          <w:rFonts w:ascii="Arial" w:cs="Arial" w:eastAsia="Arial" w:hAnsi="Arial"/>
          <w:sz w:val="17"/>
          <w:szCs w:val="17"/>
          <w:color w:val="auto"/>
        </w:rPr>
        <w:t>An entity may elect to measure many financial instruments and certain other items at fair value at specified election dates. Subsequent unrealized gains and losses on items for which the fair value option has been elected will be reported in net loss. The Company did not elect to measure any financial instruments or other items at fair value.</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740"/>
          </w:cols>
          <w:pgMar w:left="320" w:top="437" w:right="83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Derivative Liabilities</w:t>
      </w:r>
    </w:p>
    <w:p>
      <w:pPr>
        <w:spacing w:after="0" w:line="206" w:lineRule="exact"/>
        <w:rPr>
          <w:sz w:val="20"/>
          <w:szCs w:val="20"/>
          <w:color w:val="auto"/>
        </w:rPr>
      </w:pPr>
    </w:p>
    <w:p>
      <w:pPr>
        <w:ind w:left="500" w:right="20" w:firstLine="819"/>
        <w:spacing w:after="0" w:line="287" w:lineRule="auto"/>
        <w:rPr>
          <w:sz w:val="20"/>
          <w:szCs w:val="20"/>
          <w:color w:val="auto"/>
        </w:rPr>
      </w:pPr>
      <w:r>
        <w:rPr>
          <w:rFonts w:ascii="Arial" w:cs="Arial" w:eastAsia="Arial" w:hAnsi="Arial"/>
          <w:sz w:val="15"/>
          <w:szCs w:val="15"/>
          <w:color w:val="auto"/>
        </w:rPr>
        <w:t>In connection with certain debt and equity financings, the Company may issue financial instruments in which a derivative instrument is “embedded.” Upon issuing the financial instrument, the Company assesses whether the economic characteristics of the embedded derivative are clearly and closely related to the economic characteristics of the remaining component of the financial instrument (i.e., the host contract) and whether a separate, non-embedded instrument with the same terms as the embedded instrument would meet the definition of a derivative instrument. When it is determined that (1) the embedded derivative possesses economic characteristics that are not clearly and closely related to the economic characteristics of the host contract, and (2) a separate, stand-alone instrument with the same terms would qualify as a derivative instrument, the embedded derivative is separated from the host contract and carried at fair value until the derivative is settled. Changes in the fair value of the derivative liabilities are recognized as other income (expense) in the consolidated statement of operations and comprehensive loss.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Classification and Accretion of Redeemable Convertible Preferred Shares</w:t>
      </w:r>
    </w:p>
    <w:p>
      <w:pPr>
        <w:spacing w:after="0" w:line="206" w:lineRule="exact"/>
        <w:rPr>
          <w:sz w:val="20"/>
          <w:szCs w:val="20"/>
          <w:color w:val="auto"/>
        </w:rPr>
      </w:pPr>
    </w:p>
    <w:p>
      <w:pPr>
        <w:ind w:left="500" w:right="20" w:firstLine="819"/>
        <w:spacing w:after="0" w:line="251" w:lineRule="auto"/>
        <w:rPr>
          <w:sz w:val="20"/>
          <w:szCs w:val="20"/>
          <w:color w:val="auto"/>
        </w:rPr>
      </w:pPr>
      <w:r>
        <w:rPr>
          <w:rFonts w:ascii="Arial" w:cs="Arial" w:eastAsia="Arial" w:hAnsi="Arial"/>
          <w:sz w:val="17"/>
          <w:szCs w:val="17"/>
          <w:color w:val="auto"/>
        </w:rPr>
        <w:t>The Company has classified the redeemable convertible preferred stock outside of stockholders’ (deficit) equity in the accompanying consolidated balance sheets in accordance with authoritative guidance for the classification and measurement of redeemable securities as the redeemable convertible preferred stock is redeemable at a determinable price on a fixed date or upon the occurrence of a deemed liquidation event. The carrying values of the redeemable convertible preferred shares are accreted to their redemption values from the date of issuance through the earliest date of redemption.</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06" w:lineRule="exact"/>
        <w:rPr>
          <w:sz w:val="20"/>
          <w:szCs w:val="20"/>
          <w:color w:val="auto"/>
        </w:rPr>
      </w:pPr>
    </w:p>
    <w:p>
      <w:pPr>
        <w:ind w:left="500" w:right="60" w:firstLine="819"/>
        <w:spacing w:after="0" w:line="268"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estimated useful life of each asset as follows:</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3980" w:type="dxa"/>
            <w:vAlign w:val="bottom"/>
            <w:vMerge w:val="restart"/>
          </w:tcPr>
          <w:p>
            <w:pPr>
              <w:spacing w:after="0"/>
              <w:rPr>
                <w:sz w:val="20"/>
                <w:szCs w:val="20"/>
                <w:color w:val="auto"/>
              </w:rPr>
            </w:pPr>
            <w:r>
              <w:rPr>
                <w:rFonts w:ascii="Arial" w:cs="Arial" w:eastAsia="Arial" w:hAnsi="Arial"/>
                <w:sz w:val="17"/>
                <w:szCs w:val="17"/>
                <w:color w:val="auto"/>
              </w:rPr>
              <w:t>Laboratory equipment</w:t>
            </w:r>
          </w:p>
        </w:tc>
        <w:tc>
          <w:tcPr>
            <w:tcW w:w="5360" w:type="dxa"/>
            <w:vAlign w:val="bottom"/>
            <w:gridSpan w:val="3"/>
          </w:tcPr>
          <w:p>
            <w:pPr>
              <w:jc w:val="center"/>
              <w:ind w:left="1565"/>
              <w:spacing w:after="0"/>
              <w:rPr>
                <w:sz w:val="20"/>
                <w:szCs w:val="20"/>
                <w:color w:val="auto"/>
              </w:rPr>
            </w:pPr>
            <w:r>
              <w:rPr>
                <w:rFonts w:ascii="Arial" w:cs="Arial" w:eastAsia="Arial" w:hAnsi="Arial"/>
                <w:sz w:val="13"/>
                <w:szCs w:val="13"/>
                <w:b w:val="1"/>
                <w:bCs w:val="1"/>
                <w:color w:val="auto"/>
                <w:w w:val="93"/>
              </w:rPr>
              <w:t>Estimated Useful Life</w:t>
            </w:r>
          </w:p>
        </w:tc>
        <w:tc>
          <w:tcPr>
            <w:tcW w:w="0" w:type="dxa"/>
            <w:vAlign w:val="bottom"/>
          </w:tcPr>
          <w:p>
            <w:pPr>
              <w:spacing w:after="0"/>
              <w:rPr>
                <w:sz w:val="1"/>
                <w:szCs w:val="1"/>
                <w:color w:val="auto"/>
              </w:rPr>
            </w:pPr>
          </w:p>
        </w:tc>
      </w:tr>
      <w:tr>
        <w:trPr>
          <w:trHeight w:val="181"/>
        </w:trPr>
        <w:tc>
          <w:tcPr>
            <w:tcW w:w="398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color w:val="auto"/>
                <w:w w:val="86"/>
              </w:rPr>
              <w:t>5 years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80" w:type="dxa"/>
            <w:vAlign w:val="bottom"/>
          </w:tcPr>
          <w:p>
            <w:pPr>
              <w:spacing w:after="0"/>
              <w:rPr>
                <w:sz w:val="20"/>
                <w:szCs w:val="20"/>
                <w:color w:val="auto"/>
              </w:rPr>
            </w:pPr>
            <w:r>
              <w:rPr>
                <w:rFonts w:ascii="Arial" w:cs="Arial" w:eastAsia="Arial" w:hAnsi="Arial"/>
                <w:sz w:val="17"/>
                <w:szCs w:val="17"/>
                <w:color w:val="auto"/>
              </w:rPr>
              <w:t>Computer software and equipment</w:t>
            </w:r>
          </w:p>
        </w:tc>
        <w:tc>
          <w:tcPr>
            <w:tcW w:w="2880" w:type="dxa"/>
            <w:vAlign w:val="bottom"/>
          </w:tcPr>
          <w:p>
            <w:pPr>
              <w:spacing w:after="0"/>
              <w:rPr>
                <w:sz w:val="17"/>
                <w:szCs w:val="17"/>
                <w:color w:val="auto"/>
              </w:rPr>
            </w:pPr>
          </w:p>
        </w:tc>
        <w:tc>
          <w:tcPr>
            <w:tcW w:w="2480" w:type="dxa"/>
            <w:vAlign w:val="bottom"/>
            <w:gridSpan w:val="2"/>
          </w:tcPr>
          <w:p>
            <w:pPr>
              <w:jc w:val="center"/>
              <w:ind w:right="1240"/>
              <w:spacing w:after="0"/>
              <w:rPr>
                <w:sz w:val="20"/>
                <w:szCs w:val="20"/>
                <w:color w:val="auto"/>
              </w:rPr>
            </w:pPr>
            <w:r>
              <w:rPr>
                <w:rFonts w:ascii="Arial" w:cs="Arial" w:eastAsia="Arial" w:hAnsi="Arial"/>
                <w:sz w:val="17"/>
                <w:szCs w:val="17"/>
                <w:color w:val="auto"/>
                <w:w w:val="86"/>
              </w:rPr>
              <w:t>3 years</w:t>
            </w:r>
          </w:p>
        </w:tc>
        <w:tc>
          <w:tcPr>
            <w:tcW w:w="0" w:type="dxa"/>
            <w:vAlign w:val="bottom"/>
          </w:tcPr>
          <w:p>
            <w:pPr>
              <w:spacing w:after="0"/>
              <w:rPr>
                <w:sz w:val="1"/>
                <w:szCs w:val="1"/>
                <w:color w:val="auto"/>
              </w:rPr>
            </w:pPr>
          </w:p>
        </w:tc>
      </w:tr>
      <w:tr>
        <w:trPr>
          <w:trHeight w:val="201"/>
        </w:trPr>
        <w:tc>
          <w:tcPr>
            <w:tcW w:w="3980" w:type="dxa"/>
            <w:vAlign w:val="bottom"/>
          </w:tcPr>
          <w:p>
            <w:pPr>
              <w:spacing w:after="0"/>
              <w:rPr>
                <w:sz w:val="20"/>
                <w:szCs w:val="20"/>
                <w:color w:val="auto"/>
              </w:rPr>
            </w:pPr>
            <w:r>
              <w:rPr>
                <w:rFonts w:ascii="Arial" w:cs="Arial" w:eastAsia="Arial" w:hAnsi="Arial"/>
                <w:sz w:val="17"/>
                <w:szCs w:val="17"/>
                <w:color w:val="auto"/>
              </w:rPr>
              <w:t>Office furniture and fixtures</w:t>
            </w:r>
          </w:p>
        </w:tc>
        <w:tc>
          <w:tcPr>
            <w:tcW w:w="2880" w:type="dxa"/>
            <w:vAlign w:val="bottom"/>
          </w:tcPr>
          <w:p>
            <w:pPr>
              <w:spacing w:after="0"/>
              <w:rPr>
                <w:sz w:val="17"/>
                <w:szCs w:val="17"/>
                <w:color w:val="auto"/>
              </w:rPr>
            </w:pPr>
          </w:p>
        </w:tc>
        <w:tc>
          <w:tcPr>
            <w:tcW w:w="2480" w:type="dxa"/>
            <w:vAlign w:val="bottom"/>
            <w:gridSpan w:val="2"/>
          </w:tcPr>
          <w:p>
            <w:pPr>
              <w:jc w:val="center"/>
              <w:ind w:right="1240"/>
              <w:spacing w:after="0"/>
              <w:rPr>
                <w:sz w:val="20"/>
                <w:szCs w:val="20"/>
                <w:color w:val="auto"/>
              </w:rPr>
            </w:pPr>
            <w:r>
              <w:rPr>
                <w:rFonts w:ascii="Arial" w:cs="Arial" w:eastAsia="Arial" w:hAnsi="Arial"/>
                <w:sz w:val="17"/>
                <w:szCs w:val="17"/>
                <w:color w:val="auto"/>
                <w:w w:val="86"/>
              </w:rPr>
              <w:t>7 years</w:t>
            </w:r>
          </w:p>
        </w:tc>
        <w:tc>
          <w:tcPr>
            <w:tcW w:w="0" w:type="dxa"/>
            <w:vAlign w:val="bottom"/>
          </w:tcPr>
          <w:p>
            <w:pPr>
              <w:spacing w:after="0"/>
              <w:rPr>
                <w:sz w:val="1"/>
                <w:szCs w:val="1"/>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5360" w:type="dxa"/>
            <w:vAlign w:val="bottom"/>
            <w:gridSpan w:val="3"/>
          </w:tcPr>
          <w:p>
            <w:pPr>
              <w:jc w:val="center"/>
              <w:ind w:left="1585"/>
              <w:spacing w:after="0"/>
              <w:rPr>
                <w:sz w:val="20"/>
                <w:szCs w:val="20"/>
                <w:color w:val="auto"/>
              </w:rPr>
            </w:pPr>
            <w:r>
              <w:rPr>
                <w:rFonts w:ascii="Arial" w:cs="Arial" w:eastAsia="Arial" w:hAnsi="Arial"/>
                <w:sz w:val="17"/>
                <w:szCs w:val="17"/>
                <w:color w:val="auto"/>
                <w:w w:val="90"/>
              </w:rPr>
              <w:t>Shorter of useful life or remaining term of related lease</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00" w:firstLine="819"/>
        <w:spacing w:after="0" w:line="251" w:lineRule="auto"/>
        <w:rPr>
          <w:sz w:val="20"/>
          <w:szCs w:val="20"/>
          <w:color w:val="auto"/>
        </w:rPr>
      </w:pPr>
      <w:r>
        <w:rPr>
          <w:rFonts w:ascii="Arial" w:cs="Arial" w:eastAsia="Arial" w:hAnsi="Arial"/>
          <w:sz w:val="17"/>
          <w:szCs w:val="17"/>
          <w:color w:val="auto"/>
        </w:rPr>
        <w:t>Costs for capital assets not yet placed into service are capitalized as construction in progress and are depreciated in accordance with the above guidelines once placed into service. Upon retirement or sale, the cost of the assets disposed of and the related accumulated depreciation are eliminated from the balance sheet and related gains or losses are reflected in the consolidated statement of operations and comprehensive loss. Repairs and maintenance that do not improve or extend the lives of the respective assets are expensed as incurred, while costs of major additions and betterments are capitalized.</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06" w:lineRule="exact"/>
        <w:rPr>
          <w:sz w:val="20"/>
          <w:szCs w:val="20"/>
          <w:color w:val="auto"/>
        </w:rPr>
      </w:pPr>
    </w:p>
    <w:p>
      <w:pPr>
        <w:ind w:left="500" w:right="100" w:firstLine="819"/>
        <w:spacing w:after="0" w:line="293" w:lineRule="auto"/>
        <w:rPr>
          <w:sz w:val="20"/>
          <w:szCs w:val="20"/>
          <w:color w:val="auto"/>
        </w:rPr>
      </w:pPr>
      <w:r>
        <w:rPr>
          <w:rFonts w:ascii="Arial" w:cs="Arial" w:eastAsia="Arial" w:hAnsi="Arial"/>
          <w:sz w:val="15"/>
          <w:szCs w:val="15"/>
          <w:color w:val="auto"/>
        </w:rPr>
        <w:t>Long-lived assets consist of property and equipment. 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did not record any impairment losses on long-lived assets during the years ended December 31, 2019 and 2018.</w:t>
      </w:r>
    </w:p>
    <w:p>
      <w:pPr>
        <w:spacing w:after="0" w:line="8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740"/>
          </w:cols>
          <w:pgMar w:left="320" w:top="437" w:right="83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Leases</w:t>
      </w:r>
    </w:p>
    <w:p>
      <w:pPr>
        <w:spacing w:after="0" w:line="206" w:lineRule="exact"/>
        <w:rPr>
          <w:sz w:val="20"/>
          <w:szCs w:val="20"/>
          <w:color w:val="auto"/>
        </w:rPr>
      </w:pPr>
    </w:p>
    <w:p>
      <w:pPr>
        <w:ind w:left="500" w:right="20" w:firstLine="819"/>
        <w:spacing w:after="0" w:line="298" w:lineRule="auto"/>
        <w:rPr>
          <w:sz w:val="20"/>
          <w:szCs w:val="20"/>
          <w:color w:val="auto"/>
        </w:rPr>
      </w:pPr>
      <w:r>
        <w:rPr>
          <w:rFonts w:ascii="Arial" w:cs="Arial" w:eastAsia="Arial" w:hAnsi="Arial"/>
          <w:sz w:val="15"/>
          <w:szCs w:val="15"/>
          <w:color w:val="auto"/>
        </w:rPr>
        <w:t>ASU No. 2016-02, Leases (Topic 842) (“ASU No. 2016-02”), became effective January 1, 2019. As of the effective date of ASU No. 2016-02, the Company determines at the inception of an arrangement whether the arrangement contains a lease. If a lease is identified in an arrangement, the Company recognizes a right-of-use asset and liability on its balance sheet and determines whether the lease should be classified as a finance or operating lease. The Company does not recognize assets or liabilities for leases with lease terms of less than 12 months.</w:t>
      </w:r>
    </w:p>
    <w:p>
      <w:pPr>
        <w:spacing w:after="0" w:line="148" w:lineRule="exact"/>
        <w:rPr>
          <w:sz w:val="20"/>
          <w:szCs w:val="20"/>
          <w:color w:val="auto"/>
        </w:rPr>
      </w:pPr>
    </w:p>
    <w:p>
      <w:pPr>
        <w:ind w:left="500" w:firstLine="819"/>
        <w:spacing w:after="0" w:line="293" w:lineRule="auto"/>
        <w:rPr>
          <w:sz w:val="20"/>
          <w:szCs w:val="20"/>
          <w:color w:val="auto"/>
        </w:rPr>
      </w:pPr>
      <w:r>
        <w:rPr>
          <w:rFonts w:ascii="Arial" w:cs="Arial" w:eastAsia="Arial" w:hAnsi="Arial"/>
          <w:sz w:val="15"/>
          <w:szCs w:val="15"/>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(v) the nature of the leased asset is specialized to the point that it is expected to provide the lessor no alternative use at the end of the lease term. All other leases are recorded as operating leases.</w:t>
      </w:r>
    </w:p>
    <w:p>
      <w:pPr>
        <w:spacing w:after="0" w:line="152" w:lineRule="exact"/>
        <w:rPr>
          <w:sz w:val="20"/>
          <w:szCs w:val="20"/>
          <w:color w:val="auto"/>
        </w:rPr>
      </w:pPr>
    </w:p>
    <w:p>
      <w:pPr>
        <w:ind w:left="500" w:right="100" w:firstLine="819"/>
        <w:spacing w:after="0" w:line="250" w:lineRule="auto"/>
        <w:rPr>
          <w:sz w:val="20"/>
          <w:szCs w:val="20"/>
          <w:color w:val="auto"/>
        </w:rPr>
      </w:pPr>
      <w:r>
        <w:rPr>
          <w:rFonts w:ascii="Arial" w:cs="Arial" w:eastAsia="Arial" w:hAnsi="Arial"/>
          <w:sz w:val="17"/>
          <w:szCs w:val="17"/>
          <w:color w:val="auto"/>
        </w:rPr>
        <w:t>Finance and operating lease assets and liabilities are recognized at the lease commencement date based on the present value of the lease payments over the lease term using the discount rate implicit in the lease. If the rate implicit in the lease is not readily determinable, the Company utilizes its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181" w:lineRule="exact"/>
        <w:rPr>
          <w:sz w:val="20"/>
          <w:szCs w:val="20"/>
          <w:color w:val="auto"/>
        </w:rPr>
      </w:pPr>
    </w:p>
    <w:p>
      <w:pPr>
        <w:ind w:left="500" w:right="200" w:firstLine="819"/>
        <w:spacing w:after="0" w:line="257" w:lineRule="auto"/>
        <w:rPr>
          <w:sz w:val="20"/>
          <w:szCs w:val="20"/>
          <w:color w:val="auto"/>
        </w:rPr>
      </w:pPr>
      <w:r>
        <w:rPr>
          <w:rFonts w:ascii="Arial" w:cs="Arial" w:eastAsia="Arial" w:hAnsi="Arial"/>
          <w:sz w:val="17"/>
          <w:szCs w:val="17"/>
          <w:color w:val="auto"/>
        </w:rPr>
        <w:t>The Company separates lease and non-lease components when determining which lease payments to include in the calculation of its lease assets and liabilities. Variable lease payments are expensed as incurred. If a lease includes an option to extend or terminate the lease, the Company reflects the option in the lease term if it is reasonably certain it will exercise the option.</w:t>
      </w:r>
    </w:p>
    <w:p>
      <w:pPr>
        <w:spacing w:after="0" w:line="175"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Operating leases are recorded in “Operating lease right-of use asset,” “Operating lease liability” and “Operating lease liability, net of current portion” in the Company’s consolidated balance sheets. The Company did not have any finance leases recorded in its consolidated balance sheet as of December 31, 2019.</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06" w:lineRule="exact"/>
        <w:rPr>
          <w:sz w:val="20"/>
          <w:szCs w:val="20"/>
          <w:color w:val="auto"/>
        </w:rPr>
      </w:pPr>
    </w:p>
    <w:p>
      <w:pPr>
        <w:ind w:left="500" w:right="20" w:firstLine="819"/>
        <w:spacing w:after="0" w:line="288" w:lineRule="auto"/>
        <w:rPr>
          <w:sz w:val="20"/>
          <w:szCs w:val="20"/>
          <w:color w:val="auto"/>
        </w:rPr>
      </w:pPr>
      <w:r>
        <w:rPr>
          <w:rFonts w:ascii="Arial" w:cs="Arial" w:eastAsia="Arial" w:hAnsi="Arial"/>
          <w:sz w:val="15"/>
          <w:szCs w:val="15"/>
          <w:color w:val="auto"/>
        </w:rPr>
        <w:t>Research and development costs are expensed as incurred. Research and development expenses include salaries and benefits, materials and supplies, preclinical and clinical trial expenses, manufacturing expenses, stock-based compensation expense, depreciation of equipment, contract services and other outside expenses. Costs of certain development activities, such as clinical trials, are recognized based on an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58" w:lineRule="exact"/>
        <w:rPr>
          <w:sz w:val="20"/>
          <w:szCs w:val="20"/>
          <w:color w:val="auto"/>
        </w:rPr>
      </w:pPr>
    </w:p>
    <w:p>
      <w:pPr>
        <w:ind w:left="500" w:right="300" w:firstLine="819"/>
        <w:spacing w:after="0" w:line="268" w:lineRule="auto"/>
        <w:rPr>
          <w:sz w:val="20"/>
          <w:szCs w:val="20"/>
          <w:color w:val="auto"/>
        </w:rPr>
      </w:pPr>
      <w:r>
        <w:rPr>
          <w:rFonts w:ascii="Arial" w:cs="Arial" w:eastAsia="Arial" w:hAnsi="Arial"/>
          <w:sz w:val="17"/>
          <w:szCs w:val="17"/>
          <w:color w:val="auto"/>
        </w:rPr>
        <w:t>The Company has entered into various research and development contracts with companies both inside and outside of the United States. These agreements are generally cancelable, and related payments are recorded</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740"/>
          </w:cols>
          <w:pgMar w:left="320" w:top="437" w:right="83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right="100"/>
        <w:spacing w:after="0" w:line="325" w:lineRule="auto"/>
        <w:rPr>
          <w:sz w:val="20"/>
          <w:szCs w:val="20"/>
          <w:color w:val="auto"/>
        </w:rPr>
      </w:pPr>
      <w:r>
        <w:rPr>
          <w:rFonts w:ascii="Arial" w:cs="Arial" w:eastAsia="Arial" w:hAnsi="Arial"/>
          <w:sz w:val="14"/>
          <w:szCs w:val="14"/>
          <w:color w:val="auto"/>
        </w:rPr>
        <w:t>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Patent Costs</w:t>
      </w:r>
    </w:p>
    <w:p>
      <w:pPr>
        <w:spacing w:after="0" w:line="206" w:lineRule="exact"/>
        <w:rPr>
          <w:sz w:val="20"/>
          <w:szCs w:val="20"/>
          <w:color w:val="auto"/>
        </w:rPr>
      </w:pPr>
    </w:p>
    <w:p>
      <w:pPr>
        <w:ind w:left="500" w:right="620" w:firstLine="819"/>
        <w:spacing w:after="0" w:line="268" w:lineRule="auto"/>
        <w:rPr>
          <w:sz w:val="20"/>
          <w:szCs w:val="20"/>
          <w:color w:val="auto"/>
        </w:rPr>
      </w:pPr>
      <w:r>
        <w:rPr>
          <w:rFonts w:ascii="Arial" w:cs="Arial" w:eastAsia="Arial" w:hAnsi="Arial"/>
          <w:sz w:val="17"/>
          <w:szCs w:val="17"/>
          <w:color w:val="auto"/>
        </w:rPr>
        <w:t>The Company expenses patent application and related legal costs as incurred and classifies such costs as general and administrative expenses in the accompanying consolidated statements of operations and comprehensive loss.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Accounting for Stock-Based Compensation</w:t>
      </w:r>
    </w:p>
    <w:p>
      <w:pPr>
        <w:spacing w:after="0" w:line="206" w:lineRule="exact"/>
        <w:rPr>
          <w:sz w:val="20"/>
          <w:szCs w:val="20"/>
          <w:color w:val="auto"/>
        </w:rPr>
      </w:pPr>
    </w:p>
    <w:p>
      <w:pPr>
        <w:ind w:left="500" w:right="120" w:firstLine="819"/>
        <w:spacing w:after="0" w:line="271" w:lineRule="auto"/>
        <w:rPr>
          <w:sz w:val="20"/>
          <w:szCs w:val="20"/>
          <w:color w:val="auto"/>
        </w:rPr>
      </w:pPr>
      <w:r>
        <w:rPr>
          <w:rFonts w:ascii="Arial" w:cs="Arial" w:eastAsia="Arial" w:hAnsi="Arial"/>
          <w:sz w:val="16"/>
          <w:szCs w:val="16"/>
          <w:color w:val="auto"/>
        </w:rPr>
        <w:t xml:space="preserve">The Company accounts for its stock-based compensation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stock-based payments to employees and directors to be recognized as expense in the consolidated statements of operations and comprehensive loss based on their grant date fair values.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166" w:lineRule="exact"/>
        <w:rPr>
          <w:sz w:val="20"/>
          <w:szCs w:val="20"/>
          <w:color w:val="auto"/>
        </w:rPr>
      </w:pPr>
    </w:p>
    <w:p>
      <w:pPr>
        <w:ind w:left="500" w:right="40" w:firstLine="819"/>
        <w:spacing w:after="0" w:line="284" w:lineRule="auto"/>
        <w:rPr>
          <w:sz w:val="20"/>
          <w:szCs w:val="20"/>
          <w:color w:val="auto"/>
        </w:rPr>
      </w:pPr>
      <w:r>
        <w:rPr>
          <w:rFonts w:ascii="Arial" w:cs="Arial" w:eastAsia="Arial" w:hAnsi="Arial"/>
          <w:sz w:val="15"/>
          <w:szCs w:val="15"/>
          <w:color w:val="auto"/>
        </w:rPr>
        <w:t xml:space="preserve">The Black-Scholes option pricing model requires inputs based on certain subjective assumptions, including (a) the expected stock price volatility, (b) the expected term of the award, (c) the risk-free interest rate and (d) expected dividends. Due to the lack of a public market for the Company’s common stock and a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w:t>
      </w:r>
      <w:r>
        <w:rPr>
          <w:rFonts w:ascii="Arial" w:cs="Arial" w:eastAsia="Arial" w:hAnsi="Arial"/>
          <w:sz w:val="15"/>
          <w:szCs w:val="15"/>
          <w:i w:val="1"/>
          <w:iCs w:val="1"/>
          <w:color w:val="auto"/>
        </w:rPr>
        <w:t>Share-Based Payment</w:t>
      </w:r>
      <w:r>
        <w:rPr>
          <w:rFonts w:ascii="Arial" w:cs="Arial" w:eastAsia="Arial" w:hAnsi="Arial"/>
          <w:sz w:val="15"/>
          <w:szCs w:val="15"/>
          <w:color w:val="auto"/>
        </w:rPr>
        <w: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cash dividends and has no current plans to pay any cash dividends on its common stock.</w:t>
      </w:r>
    </w:p>
    <w:p>
      <w:pPr>
        <w:spacing w:after="0" w:line="162" w:lineRule="exact"/>
        <w:rPr>
          <w:sz w:val="20"/>
          <w:szCs w:val="20"/>
          <w:color w:val="auto"/>
        </w:rPr>
      </w:pPr>
    </w:p>
    <w:p>
      <w:pPr>
        <w:ind w:left="500" w:right="540" w:firstLine="819"/>
        <w:spacing w:after="0" w:line="268" w:lineRule="auto"/>
        <w:rPr>
          <w:sz w:val="20"/>
          <w:szCs w:val="20"/>
          <w:color w:val="auto"/>
        </w:rPr>
      </w:pPr>
      <w:r>
        <w:rPr>
          <w:rFonts w:ascii="Arial" w:cs="Arial" w:eastAsia="Arial" w:hAnsi="Arial"/>
          <w:sz w:val="17"/>
          <w:szCs w:val="17"/>
          <w:color w:val="auto"/>
        </w:rPr>
        <w:t xml:space="preserve">The Company has elected as a policy to recognize forfeitures as they occur as described in ASU No.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(“ASU No. 2016-09”).</w:t>
      </w:r>
    </w:p>
    <w:p>
      <w:pPr>
        <w:spacing w:after="0" w:line="166"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The Company expenses the fair value of its stock-based compensation awards to employees on a straight-line basis over the requisite service period, which is generally the vesting period. The Company records the expense for stock-based compensation awards subject to performance-based milestone vesting when management determines that achievement of the milestone is probable. Management evaluates when the achievement of a performance-based milestone is probable based on the expected satisfaction of the performance conditions as of the reporting date.</w:t>
      </w:r>
    </w:p>
    <w:p>
      <w:pPr>
        <w:spacing w:after="0" w:line="8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740"/>
          </w:cols>
          <w:pgMar w:left="320" w:top="437" w:right="83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right="60" w:firstLine="819"/>
        <w:spacing w:after="0" w:line="287" w:lineRule="auto"/>
        <w:rPr>
          <w:sz w:val="20"/>
          <w:szCs w:val="20"/>
          <w:color w:val="auto"/>
        </w:rPr>
      </w:pPr>
      <w:r>
        <w:rPr>
          <w:rFonts w:ascii="Arial" w:cs="Arial" w:eastAsia="Arial" w:hAnsi="Arial"/>
          <w:sz w:val="15"/>
          <w:szCs w:val="15"/>
          <w:color w:val="auto"/>
        </w:rPr>
        <w:t xml:space="preserve">The Company adopted ASU No. 2018-07, </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Payment Accounting </w:t>
      </w:r>
      <w:r>
        <w:rPr>
          <w:rFonts w:ascii="Arial" w:cs="Arial" w:eastAsia="Arial" w:hAnsi="Arial"/>
          <w:sz w:val="15"/>
          <w:szCs w:val="15"/>
          <w:color w:val="auto"/>
        </w:rPr>
        <w:t>(“ASU No. 2018-07”) on January 1, 2019 which permits the valuation of stock-based awards granted to non-employees to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measured at fair value at the grant date rather than on an accelerated attribution basis over the vesting period and recognizes non-employee stock-based compensation expense over the related service period of the non-employee award. Prior to January 1, 2019, the Company accounted for stock-based payments to non-employees in accordance with ASC Topic 505, </w:t>
      </w:r>
      <w:r>
        <w:rPr>
          <w:rFonts w:ascii="Arial" w:cs="Arial" w:eastAsia="Arial" w:hAnsi="Arial"/>
          <w:sz w:val="15"/>
          <w:szCs w:val="15"/>
          <w:i w:val="1"/>
          <w:iCs w:val="1"/>
          <w:color w:val="auto"/>
        </w:rPr>
        <w:t>Equity-Based Payments to Non-Employees</w:t>
      </w:r>
      <w:r>
        <w:rPr>
          <w:rFonts w:ascii="Arial" w:cs="Arial" w:eastAsia="Arial" w:hAnsi="Arial"/>
          <w:sz w:val="15"/>
          <w:szCs w:val="15"/>
          <w:color w:val="auto"/>
        </w:rPr>
        <w:t xml:space="preserve"> (“ASC 505”). ASC 505 requires that the expense related to stock-based payments to non-employees be recognized in the consolidated statement of operations and comprehensive loss based on the awards’ vesting date fair values. Under ASC 505, stock-based compensation awards to non-employees were adjusted through stock-based compensation expense at each reporting period end to reflect the current fair value of such awards and were expensed on a straight-line basis.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Income Taxes</w:t>
      </w:r>
    </w:p>
    <w:p>
      <w:pPr>
        <w:spacing w:after="0" w:line="206" w:lineRule="exact"/>
        <w:rPr>
          <w:sz w:val="20"/>
          <w:szCs w:val="20"/>
          <w:color w:val="auto"/>
        </w:rPr>
      </w:pPr>
    </w:p>
    <w:p>
      <w:pPr>
        <w:ind w:left="500" w:firstLine="819"/>
        <w:spacing w:after="0" w:line="274" w:lineRule="auto"/>
        <w:rPr>
          <w:sz w:val="20"/>
          <w:szCs w:val="20"/>
          <w:color w:val="auto"/>
        </w:rPr>
      </w:pPr>
      <w:r>
        <w:rPr>
          <w:rFonts w:ascii="Arial" w:cs="Arial" w:eastAsia="Arial" w:hAnsi="Arial"/>
          <w:sz w:val="16"/>
          <w:szCs w:val="16"/>
          <w:color w:val="auto"/>
        </w:rPr>
        <w:t xml:space="preserve">The Company accounts for income taxes using the liability method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The difference between the financial statement and tax basis of the assets and liabilities is determined annually. Deferred income tax assets and liabilities are computed using the tax laws and rates that are expected to apply for periods in which such differences reverse. Valuation allowances are established, if necessary, to reduce the deferred tax asset to the amount that will more likely than not be realized.</w:t>
      </w:r>
    </w:p>
    <w:p>
      <w:pPr>
        <w:spacing w:after="0" w:line="164" w:lineRule="exact"/>
        <w:rPr>
          <w:sz w:val="20"/>
          <w:szCs w:val="20"/>
          <w:color w:val="auto"/>
        </w:rPr>
      </w:pPr>
    </w:p>
    <w:p>
      <w:pPr>
        <w:ind w:left="500" w:right="80" w:firstLine="819"/>
        <w:spacing w:after="0" w:line="257"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Contingencies</w:t>
      </w:r>
    </w:p>
    <w:p>
      <w:pPr>
        <w:spacing w:after="0" w:line="206" w:lineRule="exact"/>
        <w:rPr>
          <w:sz w:val="20"/>
          <w:szCs w:val="20"/>
          <w:color w:val="auto"/>
        </w:rPr>
      </w:pPr>
    </w:p>
    <w:p>
      <w:pPr>
        <w:ind w:left="500" w:right="160" w:firstLine="819"/>
        <w:spacing w:after="0" w:line="335" w:lineRule="auto"/>
        <w:rPr>
          <w:sz w:val="20"/>
          <w:szCs w:val="20"/>
          <w:color w:val="auto"/>
        </w:rPr>
      </w:pPr>
      <w:r>
        <w:rPr>
          <w:rFonts w:ascii="Arial" w:cs="Arial" w:eastAsia="Arial" w:hAnsi="Arial"/>
          <w:sz w:val="15"/>
          <w:szCs w:val="15"/>
          <w:color w:val="auto"/>
        </w:rPr>
        <w:t>In accordance with ASC Topic 450, Contingencies, the Company records accruals for contingencies and legal proceedings expected to be incurred in connection with a loss contingency when it is probable that a liability has been incurred and the amount can be reasonably estimated.</w:t>
      </w:r>
    </w:p>
    <w:p>
      <w:pPr>
        <w:spacing w:after="0" w:line="121" w:lineRule="exact"/>
        <w:rPr>
          <w:sz w:val="20"/>
          <w:szCs w:val="20"/>
          <w:color w:val="auto"/>
        </w:rPr>
      </w:pPr>
    </w:p>
    <w:p>
      <w:pPr>
        <w:ind w:left="500" w:right="20" w:firstLine="819"/>
        <w:spacing w:after="0" w:line="268" w:lineRule="auto"/>
        <w:rPr>
          <w:sz w:val="20"/>
          <w:szCs w:val="20"/>
          <w:color w:val="auto"/>
        </w:rPr>
      </w:pPr>
      <w:r>
        <w:rPr>
          <w:rFonts w:ascii="Arial" w:cs="Arial" w:eastAsia="Arial" w:hAnsi="Arial"/>
          <w:sz w:val="17"/>
          <w:szCs w:val="17"/>
          <w:color w:val="auto"/>
        </w:rPr>
        <w:t>If a loss contingency is not probable but is reasonably possible, or is probable but cannot be estimated, the nature of the contingent liability, together with an estimate of the range of possible loss if determinable and material, would be disclosed.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Guarantees</w:t>
      </w:r>
    </w:p>
    <w:p>
      <w:pPr>
        <w:spacing w:after="0" w:line="20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 xml:space="preserve">The Company has identified the guarantees described below as disclosable, in accordance with ASC Topic 460, </w:t>
      </w:r>
      <w:r>
        <w:rPr>
          <w:rFonts w:ascii="Arial" w:cs="Arial" w:eastAsia="Arial" w:hAnsi="Arial"/>
          <w:sz w:val="16"/>
          <w:szCs w:val="16"/>
          <w:i w:val="1"/>
          <w:iCs w:val="1"/>
          <w:color w:val="auto"/>
        </w:rPr>
        <w:t>Guarantees</w:t>
      </w:r>
      <w:r>
        <w:rPr>
          <w:rFonts w:ascii="Arial" w:cs="Arial" w:eastAsia="Arial" w:hAnsi="Arial"/>
          <w:sz w:val="16"/>
          <w:szCs w:val="16"/>
          <w:color w:val="auto"/>
        </w:rPr>
        <w:t>.</w:t>
      </w:r>
    </w:p>
    <w:p>
      <w:pPr>
        <w:spacing w:after="0" w:line="218" w:lineRule="exact"/>
        <w:rPr>
          <w:sz w:val="20"/>
          <w:szCs w:val="20"/>
          <w:color w:val="auto"/>
        </w:rPr>
      </w:pPr>
    </w:p>
    <w:p>
      <w:pPr>
        <w:ind w:left="500" w:right="80" w:firstLine="819"/>
        <w:spacing w:after="0" w:line="253"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80" w:lineRule="exact"/>
        <w:rPr>
          <w:sz w:val="20"/>
          <w:szCs w:val="20"/>
          <w:color w:val="auto"/>
        </w:rPr>
      </w:pPr>
    </w:p>
    <w:p>
      <w:pPr>
        <w:ind w:left="500" w:right="260" w:firstLine="819"/>
        <w:spacing w:after="0" w:line="274" w:lineRule="auto"/>
        <w:rPr>
          <w:sz w:val="20"/>
          <w:szCs w:val="20"/>
          <w:color w:val="auto"/>
        </w:rPr>
      </w:pPr>
      <w:r>
        <w:rPr>
          <w:rFonts w:ascii="Arial" w:cs="Arial" w:eastAsia="Arial" w:hAnsi="Arial"/>
          <w:sz w:val="16"/>
          <w:szCs w:val="16"/>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680"/>
          </w:cols>
          <w:pgMar w:left="320" w:top="438" w:right="89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right="20" w:firstLine="819"/>
        <w:spacing w:after="0" w:line="257" w:lineRule="auto"/>
        <w:rPr>
          <w:sz w:val="20"/>
          <w:szCs w:val="20"/>
          <w:color w:val="auto"/>
        </w:rPr>
      </w:pPr>
      <w:r>
        <w:rPr>
          <w:rFonts w:ascii="Arial" w:cs="Arial" w:eastAsia="Arial" w:hAnsi="Arial"/>
          <w:sz w:val="17"/>
          <w:szCs w:val="17"/>
          <w:color w:val="auto"/>
        </w:rPr>
        <w:t>The Company leases office space under a noncancelable operating lease. The Company has standard indemnification arrangements under the lease that requires it to indemnify the landlord against all costs, expenses, fines, suits, claims, demands, liabilities, and actions directly resulting from any breach, violation, or nonperformance of any covenant or condition of the lease.</w:t>
      </w:r>
    </w:p>
    <w:p>
      <w:pPr>
        <w:spacing w:after="0" w:line="175" w:lineRule="exact"/>
        <w:rPr>
          <w:sz w:val="20"/>
          <w:szCs w:val="20"/>
          <w:color w:val="auto"/>
        </w:rPr>
      </w:pPr>
    </w:p>
    <w:p>
      <w:pPr>
        <w:ind w:left="500" w:right="40" w:firstLine="819"/>
        <w:spacing w:after="0" w:line="280" w:lineRule="auto"/>
        <w:rPr>
          <w:sz w:val="20"/>
          <w:szCs w:val="20"/>
          <w:color w:val="auto"/>
        </w:rPr>
      </w:pPr>
      <w:r>
        <w:rPr>
          <w:rFonts w:ascii="Arial" w:cs="Arial" w:eastAsia="Arial" w:hAnsi="Arial"/>
          <w:sz w:val="16"/>
          <w:szCs w:val="16"/>
          <w:color w:val="auto"/>
        </w:rPr>
        <w:t>As of December 31, 2019 and 2018,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06" w:lineRule="exact"/>
        <w:rPr>
          <w:sz w:val="20"/>
          <w:szCs w:val="20"/>
          <w:color w:val="auto"/>
        </w:rPr>
      </w:pPr>
    </w:p>
    <w:p>
      <w:pPr>
        <w:ind w:left="500" w:right="40" w:firstLine="819"/>
        <w:spacing w:after="0" w:line="251"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equity as a reduction of additional paid-in capital generated as a result of the offering. Should the planned equity financing be abandoned, the deferred offering costs will be expensed immediately as a charge to operating expenses in the consolidated statement of operations and comprehensive loss.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 Contracts and Revenue Recognition</w:t>
      </w:r>
    </w:p>
    <w:p>
      <w:pPr>
        <w:spacing w:after="0" w:line="206" w:lineRule="exact"/>
        <w:rPr>
          <w:sz w:val="20"/>
          <w:szCs w:val="20"/>
          <w:color w:val="auto"/>
        </w:rPr>
      </w:pPr>
    </w:p>
    <w:p>
      <w:pPr>
        <w:jc w:val="both"/>
        <w:ind w:left="500" w:right="60" w:firstLine="819"/>
        <w:spacing w:after="0" w:line="253" w:lineRule="auto"/>
        <w:rPr>
          <w:sz w:val="20"/>
          <w:szCs w:val="20"/>
          <w:color w:val="auto"/>
        </w:rPr>
      </w:pPr>
      <w:r>
        <w:rPr>
          <w:rFonts w:ascii="Arial" w:cs="Arial" w:eastAsia="Arial" w:hAnsi="Arial"/>
          <w:sz w:val="17"/>
          <w:szCs w:val="17"/>
          <w:color w:val="auto"/>
        </w:rPr>
        <w:t>The Company generated revenue from government contracts that reimbursed the Company for certain allowable costs for funded projects. For contracts with government agencies, when the Company has concluded that it is the principal in conducting the research and development activities and where the funding arrangement is considered central to the Company’s ongoing operations, the Company classifies the recognized funding received as revenue.</w:t>
      </w:r>
    </w:p>
    <w:p>
      <w:pPr>
        <w:spacing w:after="0" w:line="180" w:lineRule="exact"/>
        <w:rPr>
          <w:sz w:val="20"/>
          <w:szCs w:val="20"/>
          <w:color w:val="auto"/>
        </w:rPr>
      </w:pPr>
    </w:p>
    <w:p>
      <w:pPr>
        <w:jc w:val="both"/>
        <w:ind w:left="500" w:right="80" w:firstLine="819"/>
        <w:spacing w:after="0" w:line="268" w:lineRule="auto"/>
        <w:rPr>
          <w:sz w:val="20"/>
          <w:szCs w:val="20"/>
          <w:color w:val="auto"/>
        </w:rPr>
      </w:pPr>
      <w:r>
        <w:rPr>
          <w:rFonts w:ascii="Arial" w:cs="Arial" w:eastAsia="Arial" w:hAnsi="Arial"/>
          <w:sz w:val="17"/>
          <w:szCs w:val="17"/>
          <w:color w:val="auto"/>
        </w:rPr>
        <w:t>In July 2016, the Company was awarded a grant from the NIH titled “Novel Bioabsorbable, Flexible Polymeric Stent for Pulmonary Artery Stenosis”. The amount awarded of approximately $1.0 million related to the period August 2016 through July 2019.</w:t>
      </w:r>
    </w:p>
    <w:p>
      <w:pPr>
        <w:spacing w:after="0" w:line="166" w:lineRule="exact"/>
        <w:rPr>
          <w:sz w:val="20"/>
          <w:szCs w:val="20"/>
          <w:color w:val="auto"/>
        </w:rPr>
      </w:pPr>
    </w:p>
    <w:p>
      <w:pPr>
        <w:ind w:left="500" w:right="240" w:firstLine="819"/>
        <w:spacing w:after="0" w:line="257" w:lineRule="auto"/>
        <w:rPr>
          <w:sz w:val="20"/>
          <w:szCs w:val="20"/>
          <w:color w:val="auto"/>
        </w:rPr>
      </w:pPr>
      <w:r>
        <w:rPr>
          <w:rFonts w:ascii="Arial" w:cs="Arial" w:eastAsia="Arial" w:hAnsi="Arial"/>
          <w:sz w:val="17"/>
          <w:szCs w:val="17"/>
          <w:color w:val="auto"/>
        </w:rPr>
        <w:t>In September 2016, the Company received a fixed-fee award of approximately $0.4 million from NIH for the development leading to the commercialization of bioresorbable stents (“BRS”) for the treatment of coarctation of the aorta in neonates. In November 2017, the Company was awarded an amendment to the contract increasing the amount by approximately $3.0 million.</w:t>
      </w:r>
    </w:p>
    <w:p>
      <w:pPr>
        <w:spacing w:after="0" w:line="175" w:lineRule="exact"/>
        <w:rPr>
          <w:sz w:val="20"/>
          <w:szCs w:val="20"/>
          <w:color w:val="auto"/>
        </w:rPr>
      </w:pPr>
    </w:p>
    <w:p>
      <w:pPr>
        <w:ind w:left="500" w:right="420" w:firstLine="819"/>
        <w:spacing w:after="0" w:line="257" w:lineRule="auto"/>
        <w:rPr>
          <w:sz w:val="20"/>
          <w:szCs w:val="20"/>
          <w:color w:val="auto"/>
        </w:rPr>
      </w:pPr>
      <w:r>
        <w:rPr>
          <w:rFonts w:ascii="Arial" w:cs="Arial" w:eastAsia="Arial" w:hAnsi="Arial"/>
          <w:sz w:val="17"/>
          <w:szCs w:val="17"/>
          <w:color w:val="auto"/>
        </w:rPr>
        <w:t>Grants are invoiced and revenue is recognized as expenses are incurred as that is the depiction of the timing of the transfer of services. Reimbursements are based on actual costs agreed upon in the proposal (salary, fringe benefits, overhead, and direct costs such as materials and subcontractors).</w:t>
      </w:r>
    </w:p>
    <w:p>
      <w:pPr>
        <w:spacing w:after="0" w:line="175" w:lineRule="exact"/>
        <w:rPr>
          <w:sz w:val="20"/>
          <w:szCs w:val="20"/>
          <w:color w:val="auto"/>
        </w:rPr>
      </w:pPr>
    </w:p>
    <w:p>
      <w:pPr>
        <w:ind w:left="500" w:firstLine="819"/>
        <w:spacing w:after="0" w:line="267" w:lineRule="auto"/>
        <w:rPr>
          <w:sz w:val="20"/>
          <w:szCs w:val="20"/>
          <w:color w:val="auto"/>
        </w:rPr>
      </w:pPr>
      <w:r>
        <w:rPr>
          <w:rFonts w:ascii="Arial" w:cs="Arial" w:eastAsia="Arial" w:hAnsi="Arial"/>
          <w:sz w:val="16"/>
          <w:szCs w:val="16"/>
          <w:color w:val="auto"/>
        </w:rPr>
        <w:t>The Company recognized revenue under these best-efforts, cost-reimbursable and cost-plus fixed-fee awards, as the Company performed services as long as an award agreement had been executed and the fees for these services were fixed or determinable, legally billable and reasonably assured of collection. Recognized amounts reflected the Company’s partial performance under the awards and equal direct and indirect costs incurred plus fixed fees, where applicable. The Company did not recognize revenue under these arrangements for amounts related to contract periods where funding was not yet committed, as amounts above committed funding thresholds would not be considered fixed or determinable or reasonably assured of collection. Revenues and expenses under these arrangements are presented gross in the consolidated statements of operations and comprehensive loss, as the Company had determined it was the primary obligor under these arrangements relative to the research and development activities it performed as the lead technical expert.</w:t>
      </w:r>
    </w:p>
    <w:p>
      <w:pPr>
        <w:spacing w:after="0" w:line="10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740"/>
          </w:cols>
          <w:pgMar w:left="320" w:top="437" w:right="8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right="140" w:firstLine="819"/>
        <w:spacing w:after="0" w:line="253" w:lineRule="auto"/>
        <w:rPr>
          <w:sz w:val="20"/>
          <w:szCs w:val="20"/>
          <w:color w:val="auto"/>
        </w:rPr>
      </w:pPr>
      <w:r>
        <w:rPr>
          <w:rFonts w:ascii="Arial" w:cs="Arial" w:eastAsia="Arial" w:hAnsi="Arial"/>
          <w:sz w:val="17"/>
          <w:szCs w:val="17"/>
          <w:color w:val="auto"/>
        </w:rPr>
        <w:t>Total revenue for the years ended December 31, 2019 and 2018 under the grants was $0 and $1.2 million, respectively. Of the amounts recognized during the years ended December 31, 2018, approximately $1.1 million was received as of year-end. The remaining balance of approximately $0.2 million as of December 31, 2018 was recorded as grants receivable. During the year ended December 31, 2019, the Company fully reserved the grant receivable as the Company determined it was unlikely to collect it.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06"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The Company has reported losses since inception and has computed basic net loss per share attributable to common stockholders by dividing net loss attributable to common stockholders by the weighted-average number of common shares outstanding for the period, without consideration for potentially dilutive securities. The Company has computed diluted net loss per common share after giving consideration to all potentially dilutive common shares, including options to purchase common stock and redeemable convertible preferred stock, outstanding during the period determined using the treasury-stock and if-converted methods,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181"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Basic and diluted net loss per share attributable to common stockholders was calculated as follows (in thousands, except share and per share</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data):</w:t>
      </w:r>
    </w:p>
    <w:p>
      <w:pPr>
        <w:spacing w:after="0" w:line="211" w:lineRule="exact"/>
        <w:rPr>
          <w:sz w:val="20"/>
          <w:szCs w:val="20"/>
          <w:color w:val="auto"/>
        </w:rPr>
      </w:pPr>
    </w:p>
    <w:p>
      <w:pPr>
        <w:jc w:val="center"/>
        <w:ind w:left="8340"/>
        <w:spacing w:after="0"/>
        <w:rPr>
          <w:sz w:val="20"/>
          <w:szCs w:val="20"/>
          <w:color w:val="auto"/>
        </w:rPr>
      </w:pPr>
      <w:r>
        <w:rPr>
          <w:rFonts w:ascii="Arial" w:cs="Arial" w:eastAsia="Arial" w:hAnsi="Arial"/>
          <w:sz w:val="13"/>
          <w:szCs w:val="13"/>
          <w:b w:val="1"/>
          <w:bCs w:val="1"/>
          <w:color w:val="auto"/>
        </w:rPr>
        <w:t>Year Ended</w:t>
      </w:r>
    </w:p>
    <w:p>
      <w:pPr>
        <w:jc w:val="center"/>
        <w:ind w:left="8340"/>
        <w:spacing w:after="0" w:line="235" w:lineRule="auto"/>
        <w:rPr>
          <w:sz w:val="20"/>
          <w:szCs w:val="20"/>
          <w:color w:val="auto"/>
        </w:rPr>
      </w:pPr>
      <w:r>
        <w:rPr>
          <w:rFonts w:ascii="Arial" w:cs="Arial" w:eastAsia="Arial" w:hAnsi="Arial"/>
          <w:sz w:val="13"/>
          <w:szCs w:val="13"/>
          <w:b w:val="1"/>
          <w:bCs w:val="1"/>
          <w:color w:val="auto"/>
        </w:rPr>
        <w:t>December 31,</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31"/>
        </w:trPr>
        <w:tc>
          <w:tcPr>
            <w:tcW w:w="8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rPr>
              <w:t>2019</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w w:val="82"/>
              </w:rPr>
              <w:t>2018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460" w:type="dxa"/>
            <w:vAlign w:val="bottom"/>
          </w:tcPr>
          <w:p>
            <w:pPr>
              <w:ind w:left="340"/>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tcPr>
          <w:p>
            <w:pPr>
              <w:jc w:val="right"/>
              <w:ind w:right="180"/>
              <w:spacing w:after="0"/>
              <w:rPr>
                <w:sz w:val="20"/>
                <w:szCs w:val="20"/>
                <w:color w:val="auto"/>
              </w:rPr>
            </w:pPr>
            <w:r>
              <w:rPr>
                <w:rFonts w:ascii="Arial" w:cs="Arial" w:eastAsia="Arial" w:hAnsi="Arial"/>
                <w:sz w:val="17"/>
                <w:szCs w:val="17"/>
                <w:color w:val="auto"/>
                <w:w w:val="91"/>
              </w:rPr>
              <w:t>(16,306)</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4"/>
          </w:tcPr>
          <w:p>
            <w:pPr>
              <w:jc w:val="right"/>
              <w:ind w:right="40"/>
              <w:spacing w:after="0"/>
              <w:rPr>
                <w:sz w:val="20"/>
                <w:szCs w:val="20"/>
                <w:color w:val="auto"/>
              </w:rPr>
            </w:pPr>
            <w:r>
              <w:rPr>
                <w:rFonts w:ascii="Arial" w:cs="Arial" w:eastAsia="Arial" w:hAnsi="Arial"/>
                <w:sz w:val="17"/>
                <w:szCs w:val="17"/>
                <w:color w:val="auto"/>
              </w:rPr>
              <w:t>(6,029)</w:t>
            </w:r>
          </w:p>
        </w:tc>
        <w:tc>
          <w:tcPr>
            <w:tcW w:w="0" w:type="dxa"/>
            <w:vAlign w:val="bottom"/>
          </w:tcPr>
          <w:p>
            <w:pPr>
              <w:spacing w:after="0"/>
              <w:rPr>
                <w:sz w:val="1"/>
                <w:szCs w:val="1"/>
                <w:color w:val="auto"/>
              </w:rPr>
            </w:pPr>
          </w:p>
        </w:tc>
      </w:tr>
      <w:tr>
        <w:trPr>
          <w:trHeight w:val="201"/>
        </w:trPr>
        <w:tc>
          <w:tcPr>
            <w:tcW w:w="8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Accretion of redeemable convertible preferred stock</w:t>
            </w:r>
          </w:p>
        </w:tc>
        <w:tc>
          <w:tcPr>
            <w:tcW w:w="10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(313)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tcPr>
          <w:p>
            <w:pPr>
              <w:jc w:val="right"/>
              <w:ind w:right="180"/>
              <w:spacing w:after="0"/>
              <w:rPr>
                <w:sz w:val="20"/>
                <w:szCs w:val="20"/>
                <w:color w:val="auto"/>
              </w:rPr>
            </w:pPr>
            <w:r>
              <w:rPr>
                <w:rFonts w:ascii="Arial" w:cs="Arial" w:eastAsia="Arial" w:hAnsi="Arial"/>
                <w:sz w:val="17"/>
                <w:szCs w:val="17"/>
                <w:color w:val="auto"/>
                <w:w w:val="91"/>
              </w:rPr>
              <w:t>(16,619)</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4"/>
          </w:tcPr>
          <w:p>
            <w:pPr>
              <w:jc w:val="right"/>
              <w:ind w:right="40"/>
              <w:spacing w:after="0"/>
              <w:rPr>
                <w:sz w:val="20"/>
                <w:szCs w:val="20"/>
                <w:color w:val="auto"/>
              </w:rPr>
            </w:pPr>
            <w:r>
              <w:rPr>
                <w:rFonts w:ascii="Arial" w:cs="Arial" w:eastAsia="Arial" w:hAnsi="Arial"/>
                <w:sz w:val="17"/>
                <w:szCs w:val="17"/>
                <w:color w:val="auto"/>
              </w:rPr>
              <w:t>(6,110)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460" w:type="dxa"/>
            <w:vAlign w:val="bottom"/>
          </w:tcPr>
          <w:p>
            <w:pPr>
              <w:ind w:left="340"/>
              <w:spacing w:after="0"/>
              <w:rPr>
                <w:sz w:val="20"/>
                <w:szCs w:val="20"/>
                <w:color w:val="auto"/>
              </w:rPr>
            </w:pPr>
            <w:r>
              <w:rPr>
                <w:rFonts w:ascii="Arial" w:cs="Arial" w:eastAsia="Arial" w:hAnsi="Arial"/>
                <w:sz w:val="17"/>
                <w:szCs w:val="17"/>
                <w:color w:val="auto"/>
              </w:rPr>
              <w:t>Weighted-average common shares—basic and diluted</w:t>
            </w:r>
          </w:p>
        </w:tc>
        <w:tc>
          <w:tcPr>
            <w:tcW w:w="100" w:type="dxa"/>
            <w:vAlign w:val="bottom"/>
          </w:tcPr>
          <w:p>
            <w:pPr>
              <w:spacing w:after="0"/>
              <w:rPr>
                <w:sz w:val="17"/>
                <w:szCs w:val="17"/>
                <w:color w:val="auto"/>
              </w:rPr>
            </w:pPr>
          </w:p>
        </w:tc>
        <w:tc>
          <w:tcPr>
            <w:tcW w:w="780" w:type="dxa"/>
            <w:vAlign w:val="bottom"/>
            <w:gridSpan w:val="5"/>
          </w:tcPr>
          <w:p>
            <w:pPr>
              <w:jc w:val="right"/>
              <w:ind w:right="240"/>
              <w:spacing w:after="0"/>
              <w:rPr>
                <w:sz w:val="20"/>
                <w:szCs w:val="20"/>
                <w:color w:val="auto"/>
              </w:rPr>
            </w:pPr>
            <w:r>
              <w:rPr>
                <w:rFonts w:ascii="Arial" w:cs="Arial" w:eastAsia="Arial" w:hAnsi="Arial"/>
                <w:sz w:val="17"/>
                <w:szCs w:val="17"/>
                <w:color w:val="auto"/>
                <w:w w:val="84"/>
              </w:rPr>
              <w:t>202,093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7"/>
                <w:szCs w:val="17"/>
                <w:color w:val="auto"/>
                <w:w w:val="84"/>
              </w:rPr>
              <w:t>166,084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shd w:val="clear" w:color="auto" w:fill="CCEEFF"/>
          </w:tcPr>
          <w:p>
            <w:pPr>
              <w:jc w:val="right"/>
              <w:ind w:right="180"/>
              <w:spacing w:after="0" w:line="191" w:lineRule="exact"/>
              <w:rPr>
                <w:sz w:val="20"/>
                <w:szCs w:val="20"/>
                <w:color w:val="auto"/>
              </w:rPr>
            </w:pPr>
            <w:r>
              <w:rPr>
                <w:rFonts w:ascii="Arial" w:cs="Arial" w:eastAsia="Arial" w:hAnsi="Arial"/>
                <w:sz w:val="17"/>
                <w:szCs w:val="17"/>
                <w:color w:val="auto"/>
              </w:rPr>
              <w:t>(82.23)</w:t>
            </w:r>
          </w:p>
        </w:tc>
        <w:tc>
          <w:tcPr>
            <w:tcW w:w="260" w:type="dxa"/>
            <w:vAlign w:val="bottom"/>
            <w:gridSpan w:val="2"/>
            <w:shd w:val="clear" w:color="auto" w:fill="CCEEFF"/>
          </w:tcPr>
          <w:p>
            <w:pPr>
              <w:jc w:val="right"/>
              <w:ind w:right="20"/>
              <w:spacing w:after="0" w:line="191" w:lineRule="exact"/>
              <w:rPr>
                <w:sz w:val="20"/>
                <w:szCs w:val="20"/>
                <w:color w:val="auto"/>
              </w:rPr>
            </w:pPr>
            <w:r>
              <w:rPr>
                <w:rFonts w:ascii="Arial" w:cs="Arial" w:eastAsia="Arial" w:hAnsi="Arial"/>
                <w:sz w:val="17"/>
                <w:szCs w:val="17"/>
                <w:color w:val="auto"/>
              </w:rPr>
              <w:t>$</w:t>
            </w:r>
          </w:p>
        </w:tc>
        <w:tc>
          <w:tcPr>
            <w:tcW w:w="640" w:type="dxa"/>
            <w:vAlign w:val="bottom"/>
            <w:gridSpan w:val="4"/>
            <w:shd w:val="clear" w:color="auto" w:fill="CCEEFF"/>
          </w:tcPr>
          <w:p>
            <w:pPr>
              <w:jc w:val="right"/>
              <w:ind w:right="40"/>
              <w:spacing w:after="0" w:line="191" w:lineRule="exact"/>
              <w:rPr>
                <w:sz w:val="20"/>
                <w:szCs w:val="20"/>
                <w:color w:val="auto"/>
              </w:rPr>
            </w:pPr>
            <w:r>
              <w:rPr>
                <w:rFonts w:ascii="Arial" w:cs="Arial" w:eastAsia="Arial" w:hAnsi="Arial"/>
                <w:sz w:val="17"/>
                <w:szCs w:val="17"/>
                <w:color w:val="auto"/>
              </w:rPr>
              <w:t>(36.79)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280" w:firstLine="819"/>
        <w:spacing w:after="0" w:line="268" w:lineRule="auto"/>
        <w:rPr>
          <w:sz w:val="20"/>
          <w:szCs w:val="20"/>
          <w:color w:val="auto"/>
        </w:rPr>
      </w:pPr>
      <w:r>
        <w:rPr>
          <w:rFonts w:ascii="Arial" w:cs="Arial" w:eastAsia="Arial" w:hAnsi="Arial"/>
          <w:sz w:val="17"/>
          <w:szCs w:val="17"/>
          <w:color w:val="auto"/>
        </w:rPr>
        <w:t>The following table sets forth the potentially dilutive securities that have been excluded from the calculation of diluted net loss per share because to include them would be anti-dilutive (in common stock equivalent shares retroactively adjusted):</w:t>
      </w:r>
    </w:p>
    <w:p>
      <w:pPr>
        <w:spacing w:after="0" w:line="183" w:lineRule="exact"/>
        <w:rPr>
          <w:sz w:val="20"/>
          <w:szCs w:val="20"/>
          <w:color w:val="auto"/>
        </w:rPr>
      </w:pPr>
    </w:p>
    <w:tbl>
      <w:tblPr>
        <w:tblLayout w:type="fixed"/>
        <w:tblInd w:w="12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20" w:type="dxa"/>
            <w:vAlign w:val="bottom"/>
            <w:gridSpan w:val="10"/>
          </w:tcPr>
          <w:p>
            <w:pPr>
              <w:ind w:left="220"/>
              <w:spacing w:after="0"/>
              <w:rPr>
                <w:sz w:val="20"/>
                <w:szCs w:val="20"/>
                <w:color w:val="auto"/>
              </w:rPr>
            </w:pPr>
            <w:r>
              <w:rPr>
                <w:rFonts w:ascii="Arial" w:cs="Arial" w:eastAsia="Arial" w:hAnsi="Arial"/>
                <w:sz w:val="13"/>
                <w:szCs w:val="13"/>
                <w:b w:val="1"/>
                <w:bCs w:val="1"/>
                <w:color w:val="auto"/>
              </w:rPr>
              <w:t>Year Ended December 31,</w:t>
            </w:r>
          </w:p>
        </w:tc>
      </w:tr>
      <w:tr>
        <w:trPr>
          <w:trHeight w:val="131"/>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89"/>
              </w:rPr>
              <w:t>2019</w:t>
            </w: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82"/>
              </w:rPr>
              <w:t>2018</w:t>
            </w:r>
          </w:p>
        </w:tc>
        <w:tc>
          <w:tcPr>
            <w:tcW w:w="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93"/>
        </w:trPr>
        <w:tc>
          <w:tcPr>
            <w:tcW w:w="20" w:type="dxa"/>
            <w:vAlign w:val="bottom"/>
          </w:tcPr>
          <w:p>
            <w:pPr>
              <w:spacing w:after="0"/>
              <w:rPr>
                <w:sz w:val="16"/>
                <w:szCs w:val="16"/>
                <w:color w:val="auto"/>
              </w:rPr>
            </w:pPr>
          </w:p>
        </w:tc>
        <w:tc>
          <w:tcPr>
            <w:tcW w:w="3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9"/>
              </w:rPr>
              <w:t>Series A-1 redeemable convertible preferred stock</w:t>
            </w:r>
          </w:p>
        </w:tc>
        <w:tc>
          <w:tcPr>
            <w:tcW w:w="3760" w:type="dxa"/>
            <w:vAlign w:val="bottom"/>
            <w:gridSpan w:val="5"/>
            <w:shd w:val="clear" w:color="auto" w:fill="CCEEFF"/>
          </w:tcPr>
          <w:p>
            <w:pPr>
              <w:jc w:val="right"/>
              <w:spacing w:after="0" w:line="194" w:lineRule="exact"/>
              <w:rPr>
                <w:sz w:val="20"/>
                <w:szCs w:val="20"/>
                <w:color w:val="auto"/>
              </w:rPr>
            </w:pPr>
            <w:r>
              <w:rPr>
                <w:rFonts w:ascii="Arial" w:cs="Arial" w:eastAsia="Arial" w:hAnsi="Arial"/>
                <w:sz w:val="17"/>
                <w:szCs w:val="17"/>
                <w:color w:val="auto"/>
              </w:rPr>
              <w:t>986,466</w:t>
            </w:r>
          </w:p>
        </w:tc>
        <w:tc>
          <w:tcPr>
            <w:tcW w:w="1140" w:type="dxa"/>
            <w:vAlign w:val="bottom"/>
            <w:gridSpan w:val="5"/>
            <w:shd w:val="clear" w:color="auto" w:fill="CCEEFF"/>
          </w:tcPr>
          <w:p>
            <w:pPr>
              <w:jc w:val="right"/>
              <w:spacing w:after="0" w:line="194" w:lineRule="exact"/>
              <w:rPr>
                <w:sz w:val="20"/>
                <w:szCs w:val="20"/>
                <w:color w:val="auto"/>
              </w:rPr>
            </w:pPr>
            <w:r>
              <w:rPr>
                <w:rFonts w:ascii="Arial" w:cs="Arial" w:eastAsia="Arial" w:hAnsi="Arial"/>
                <w:sz w:val="17"/>
                <w:szCs w:val="17"/>
                <w:color w:val="auto"/>
              </w:rPr>
              <w:t>986,466</w:t>
            </w:r>
          </w:p>
        </w:tc>
        <w:tc>
          <w:tcPr>
            <w:tcW w:w="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w w:val="99"/>
              </w:rPr>
              <w:t>Series A-2 redeemable convertible preferred stock</w:t>
            </w:r>
          </w:p>
        </w:tc>
        <w:tc>
          <w:tcPr>
            <w:tcW w:w="3760" w:type="dxa"/>
            <w:vAlign w:val="bottom"/>
            <w:gridSpan w:val="5"/>
          </w:tcPr>
          <w:p>
            <w:pPr>
              <w:jc w:val="right"/>
              <w:spacing w:after="0"/>
              <w:rPr>
                <w:sz w:val="20"/>
                <w:szCs w:val="20"/>
                <w:color w:val="auto"/>
              </w:rPr>
            </w:pPr>
            <w:r>
              <w:rPr>
                <w:rFonts w:ascii="Arial" w:cs="Arial" w:eastAsia="Arial" w:hAnsi="Arial"/>
                <w:sz w:val="17"/>
                <w:szCs w:val="17"/>
                <w:color w:val="auto"/>
              </w:rPr>
              <w:t>773,712</w:t>
            </w:r>
          </w:p>
        </w:tc>
        <w:tc>
          <w:tcPr>
            <w:tcW w:w="1140" w:type="dxa"/>
            <w:vAlign w:val="bottom"/>
            <w:gridSpan w:val="5"/>
          </w:tcPr>
          <w:p>
            <w:pPr>
              <w:jc w:val="right"/>
              <w:spacing w:after="0"/>
              <w:rPr>
                <w:sz w:val="20"/>
                <w:szCs w:val="20"/>
                <w:color w:val="auto"/>
              </w:rPr>
            </w:pPr>
            <w:r>
              <w:rPr>
                <w:rFonts w:ascii="Arial" w:cs="Arial" w:eastAsia="Arial" w:hAnsi="Arial"/>
                <w:sz w:val="17"/>
                <w:szCs w:val="17"/>
                <w:color w:val="auto"/>
              </w:rPr>
              <w:t>773,712</w:t>
            </w: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w w:val="99"/>
              </w:rPr>
              <w:t>Series A-3 redeemable convertible preferred stock</w:t>
            </w:r>
          </w:p>
        </w:tc>
        <w:tc>
          <w:tcPr>
            <w:tcW w:w="37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872,031</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872,031</w:t>
            </w: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w w:val="99"/>
              </w:rPr>
              <w:t>Series A-4 redeemable convertible preferred stock</w:t>
            </w:r>
          </w:p>
        </w:tc>
        <w:tc>
          <w:tcPr>
            <w:tcW w:w="3760" w:type="dxa"/>
            <w:vAlign w:val="bottom"/>
            <w:gridSpan w:val="5"/>
          </w:tcPr>
          <w:p>
            <w:pPr>
              <w:jc w:val="right"/>
              <w:spacing w:after="0"/>
              <w:rPr>
                <w:sz w:val="20"/>
                <w:szCs w:val="20"/>
                <w:color w:val="auto"/>
              </w:rPr>
            </w:pPr>
            <w:r>
              <w:rPr>
                <w:rFonts w:ascii="Arial" w:cs="Arial" w:eastAsia="Arial" w:hAnsi="Arial"/>
                <w:sz w:val="17"/>
                <w:szCs w:val="17"/>
                <w:color w:val="auto"/>
              </w:rPr>
              <w:t>579,993</w:t>
            </w:r>
          </w:p>
        </w:tc>
        <w:tc>
          <w:tcPr>
            <w:tcW w:w="1140" w:type="dxa"/>
            <w:vAlign w:val="bottom"/>
            <w:gridSpan w:val="5"/>
          </w:tcPr>
          <w:p>
            <w:pPr>
              <w:jc w:val="right"/>
              <w:spacing w:after="0"/>
              <w:rPr>
                <w:sz w:val="20"/>
                <w:szCs w:val="20"/>
                <w:color w:val="auto"/>
              </w:rPr>
            </w:pPr>
            <w:r>
              <w:rPr>
                <w:rFonts w:ascii="Arial" w:cs="Arial" w:eastAsia="Arial" w:hAnsi="Arial"/>
                <w:sz w:val="17"/>
                <w:szCs w:val="17"/>
                <w:color w:val="auto"/>
              </w:rPr>
              <w:t>579,993</w:t>
            </w: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Series B redeemable convertible preferred stock</w:t>
            </w:r>
          </w:p>
        </w:tc>
        <w:tc>
          <w:tcPr>
            <w:tcW w:w="37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2,852,177</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2,852,177</w:t>
            </w:r>
          </w:p>
        </w:tc>
        <w:tc>
          <w:tcPr>
            <w:tcW w:w="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Stock options</w:t>
            </w:r>
          </w:p>
        </w:tc>
        <w:tc>
          <w:tcPr>
            <w:tcW w:w="2940" w:type="dxa"/>
            <w:vAlign w:val="bottom"/>
          </w:tcPr>
          <w:p>
            <w:pPr>
              <w:spacing w:after="0"/>
              <w:rPr>
                <w:sz w:val="17"/>
                <w:szCs w:val="17"/>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792,439</w:t>
            </w:r>
          </w:p>
        </w:tc>
        <w:tc>
          <w:tcPr>
            <w:tcW w:w="30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553,741</w:t>
            </w: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940" w:type="dxa"/>
            <w:vAlign w:val="bottom"/>
            <w:shd w:val="clear" w:color="auto" w:fill="CCEEFF"/>
          </w:tcPr>
          <w:p>
            <w:pPr>
              <w:spacing w:after="0"/>
              <w:rPr>
                <w:sz w:val="17"/>
                <w:szCs w:val="17"/>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6,856,818</w:t>
            </w:r>
          </w:p>
        </w:tc>
        <w:tc>
          <w:tcPr>
            <w:tcW w:w="300" w:type="dxa"/>
            <w:vAlign w:val="bottom"/>
            <w:shd w:val="clear" w:color="auto" w:fill="CCEEFF"/>
          </w:tcPr>
          <w:p>
            <w:pPr>
              <w:spacing w:after="0"/>
              <w:rPr>
                <w:sz w:val="17"/>
                <w:szCs w:val="17"/>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6,618,120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60" w:type="dxa"/>
            <w:vAlign w:val="bottom"/>
            <w:gridSpan w:val="5"/>
          </w:tcPr>
          <w:p>
            <w:pPr>
              <w:jc w:val="right"/>
              <w:ind w:right="3020"/>
              <w:spacing w:after="0"/>
              <w:rPr>
                <w:sz w:val="20"/>
                <w:szCs w:val="20"/>
                <w:color w:val="auto"/>
              </w:rPr>
            </w:pPr>
            <w:r>
              <w:rPr>
                <w:rFonts w:ascii="Arial" w:cs="Arial" w:eastAsia="Arial" w:hAnsi="Arial"/>
                <w:sz w:val="17"/>
                <w:szCs w:val="17"/>
                <w:color w:val="auto"/>
              </w:rPr>
              <w:t>F-16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40"/>
          </w:cols>
          <w:pgMar w:left="320" w:top="438" w:right="83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206" w:lineRule="exact"/>
        <w:rPr>
          <w:sz w:val="20"/>
          <w:szCs w:val="20"/>
          <w:color w:val="auto"/>
        </w:rPr>
      </w:pPr>
    </w:p>
    <w:p>
      <w:pPr>
        <w:ind w:left="500" w:right="220" w:firstLine="819"/>
        <w:spacing w:after="0" w:line="280" w:lineRule="auto"/>
        <w:rPr>
          <w:sz w:val="20"/>
          <w:szCs w:val="20"/>
          <w:color w:val="auto"/>
        </w:rPr>
      </w:pPr>
      <w:r>
        <w:rPr>
          <w:rFonts w:ascii="Arial" w:cs="Arial" w:eastAsia="Arial" w:hAnsi="Arial"/>
          <w:sz w:val="16"/>
          <w:szCs w:val="16"/>
          <w:color w:val="auto"/>
        </w:rPr>
        <w:t>Unaudited pro forma net loss per share attributable to common stockholders is computed using the weighted-average number of common shares outstanding after giving effect to the conversion of all the redeemable convertible preferred stock into shares of common stock as if such conversion had occurred at the beginning of the period presented or the date of original issuance, if later.</w:t>
      </w:r>
    </w:p>
    <w:p>
      <w:pPr>
        <w:spacing w:after="0" w:line="159" w:lineRule="exact"/>
        <w:rPr>
          <w:sz w:val="20"/>
          <w:szCs w:val="20"/>
          <w:color w:val="auto"/>
        </w:rPr>
      </w:pPr>
    </w:p>
    <w:p>
      <w:pPr>
        <w:ind w:left="500" w:right="140" w:firstLine="819"/>
        <w:spacing w:after="0" w:line="268" w:lineRule="auto"/>
        <w:rPr>
          <w:sz w:val="20"/>
          <w:szCs w:val="20"/>
          <w:color w:val="auto"/>
        </w:rPr>
      </w:pPr>
      <w:r>
        <w:rPr>
          <w:rFonts w:ascii="Arial" w:cs="Arial" w:eastAsia="Arial" w:hAnsi="Arial"/>
          <w:sz w:val="17"/>
          <w:szCs w:val="17"/>
          <w:color w:val="auto"/>
        </w:rPr>
        <w:t>The following table summarizes the Company’s unaudited pro forma net loss per share attributable to common stockholders (in thousands, except share and per share data):</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9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8"/>
        </w:trPr>
        <w:tc>
          <w:tcPr>
            <w:tcW w:w="906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w w:val="99"/>
              </w:rPr>
              <w:t>December 31, 2019</w:t>
            </w:r>
          </w:p>
        </w:tc>
        <w:tc>
          <w:tcPr>
            <w:tcW w:w="0" w:type="dxa"/>
            <w:vAlign w:val="bottom"/>
          </w:tcPr>
          <w:p>
            <w:pPr>
              <w:spacing w:after="0"/>
              <w:rPr>
                <w:sz w:val="1"/>
                <w:szCs w:val="1"/>
                <w:color w:val="auto"/>
              </w:rPr>
            </w:pPr>
          </w:p>
        </w:tc>
      </w:tr>
      <w:tr>
        <w:trPr>
          <w:trHeight w:val="193"/>
        </w:trPr>
        <w:tc>
          <w:tcPr>
            <w:tcW w:w="9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Numerator:</w:t>
            </w: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060" w:type="dxa"/>
            <w:vAlign w:val="bottom"/>
          </w:tcPr>
          <w:p>
            <w:pPr>
              <w:ind w:left="34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(16,306)</w:t>
            </w:r>
          </w:p>
        </w:tc>
        <w:tc>
          <w:tcPr>
            <w:tcW w:w="0" w:type="dxa"/>
            <w:vAlign w:val="bottom"/>
          </w:tcPr>
          <w:p>
            <w:pPr>
              <w:spacing w:after="0"/>
              <w:rPr>
                <w:sz w:val="1"/>
                <w:szCs w:val="1"/>
                <w:color w:val="auto"/>
              </w:rPr>
            </w:pPr>
          </w:p>
        </w:tc>
      </w:tr>
      <w:tr>
        <w:trPr>
          <w:trHeight w:val="201"/>
        </w:trPr>
        <w:tc>
          <w:tcPr>
            <w:tcW w:w="9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Accretion of redeemable convertible preferred stock</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7"/>
                <w:szCs w:val="17"/>
                <w:color w:val="auto"/>
              </w:rPr>
              <w:t>Pro forma net loss attributable to common stockholders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60" w:type="dxa"/>
            <w:vAlign w:val="bottom"/>
            <w:vMerge w:val="continue"/>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(16,619)</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060" w:type="dxa"/>
            <w:vAlign w:val="bottom"/>
          </w:tcPr>
          <w:p>
            <w:pPr>
              <w:ind w:left="340"/>
              <w:spacing w:after="0"/>
              <w:rPr>
                <w:sz w:val="20"/>
                <w:szCs w:val="20"/>
                <w:color w:val="auto"/>
              </w:rPr>
            </w:pPr>
            <w:r>
              <w:rPr>
                <w:rFonts w:ascii="Arial" w:cs="Arial" w:eastAsia="Arial" w:hAnsi="Arial"/>
                <w:sz w:val="17"/>
                <w:szCs w:val="17"/>
                <w:color w:val="auto"/>
              </w:rPr>
              <w:t>Weighted-average common shares—basic and diluted</w:t>
            </w:r>
          </w:p>
        </w:tc>
        <w:tc>
          <w:tcPr>
            <w:tcW w:w="1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202,093</w:t>
            </w:r>
          </w:p>
        </w:tc>
        <w:tc>
          <w:tcPr>
            <w:tcW w:w="0" w:type="dxa"/>
            <w:vAlign w:val="bottom"/>
          </w:tcPr>
          <w:p>
            <w:pPr>
              <w:spacing w:after="0"/>
              <w:rPr>
                <w:sz w:val="1"/>
                <w:szCs w:val="1"/>
                <w:color w:val="auto"/>
              </w:rPr>
            </w:pPr>
          </w:p>
        </w:tc>
      </w:tr>
      <w:tr>
        <w:trPr>
          <w:trHeight w:val="201"/>
        </w:trPr>
        <w:tc>
          <w:tcPr>
            <w:tcW w:w="9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Adjustment for assumed conversion of redeemable convertible preferred stock</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6,064,379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60" w:type="dxa"/>
            <w:vAlign w:val="bottom"/>
          </w:tcPr>
          <w:p>
            <w:pPr>
              <w:spacing w:after="0"/>
              <w:rPr>
                <w:sz w:val="20"/>
                <w:szCs w:val="20"/>
                <w:color w:val="auto"/>
              </w:rPr>
            </w:pPr>
            <w:r>
              <w:rPr>
                <w:rFonts w:ascii="Arial" w:cs="Arial" w:eastAsia="Arial" w:hAnsi="Arial"/>
                <w:sz w:val="17"/>
                <w:szCs w:val="17"/>
                <w:color w:val="auto"/>
              </w:rPr>
              <w:t>Pro forma weighted-average common shares—basic and diluted</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6,266,472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Pro forma net loss per share attributable to common stockholders—basic and diluted</w:t>
            </w:r>
          </w:p>
        </w:tc>
        <w:tc>
          <w:tcPr>
            <w:tcW w:w="1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line="191" w:lineRule="exact"/>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06" w:lineRule="exact"/>
        <w:rPr>
          <w:sz w:val="20"/>
          <w:szCs w:val="20"/>
          <w:color w:val="auto"/>
        </w:rPr>
      </w:pPr>
    </w:p>
    <w:p>
      <w:pPr>
        <w:ind w:left="500" w:right="160" w:firstLine="819"/>
        <w:spacing w:after="0" w:line="268"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w:t>
      </w:r>
    </w:p>
    <w:p>
      <w:pPr>
        <w:spacing w:after="0" w:line="166" w:lineRule="exact"/>
        <w:rPr>
          <w:sz w:val="20"/>
          <w:szCs w:val="20"/>
          <w:color w:val="auto"/>
        </w:rPr>
      </w:pPr>
    </w:p>
    <w:p>
      <w:pPr>
        <w:ind w:left="500" w:right="200" w:firstLine="819"/>
        <w:spacing w:after="0" w:line="285" w:lineRule="auto"/>
        <w:rPr>
          <w:sz w:val="20"/>
          <w:szCs w:val="20"/>
          <w:color w:val="auto"/>
        </w:rPr>
      </w:pPr>
      <w:r>
        <w:rPr>
          <w:rFonts w:ascii="Arial" w:cs="Arial" w:eastAsia="Arial" w:hAnsi="Arial"/>
          <w:sz w:val="15"/>
          <w:szCs w:val="15"/>
          <w:color w:val="auto"/>
        </w:rPr>
        <w:t xml:space="preserve">In February 2016, the FASB issued ASU No. 2016-02. The standard requires that all lessees recognize the assets and liabilities that arise from leases on the balance sheet and disclose qualitative and quantitative information about its leasing arrangements. In July 2018, the FASB issued ASU No. 2018-11, </w:t>
      </w:r>
      <w:r>
        <w:rPr>
          <w:rFonts w:ascii="Arial" w:cs="Arial" w:eastAsia="Arial" w:hAnsi="Arial"/>
          <w:sz w:val="15"/>
          <w:szCs w:val="15"/>
          <w:i w:val="1"/>
          <w:iCs w:val="1"/>
          <w:color w:val="auto"/>
        </w:rPr>
        <w:t>Leases (Topic 842): Targeted Improvements</w:t>
      </w:r>
      <w:r>
        <w:rPr>
          <w:rFonts w:ascii="Arial" w:cs="Arial" w:eastAsia="Arial" w:hAnsi="Arial"/>
          <w:sz w:val="15"/>
          <w:szCs w:val="15"/>
          <w:color w:val="auto"/>
        </w:rPr>
        <w:t xml:space="preserve"> (“ASU No. 2018-11”), which offers a transition option to entities adopting ASC Topic</w:t>
      </w:r>
    </w:p>
    <w:p>
      <w:pPr>
        <w:ind w:left="500" w:right="20" w:firstLine="3"/>
        <w:spacing w:after="0" w:line="283" w:lineRule="auto"/>
        <w:tabs>
          <w:tab w:leader="none" w:pos="835" w:val="left"/>
        </w:tabs>
        <w:numPr>
          <w:ilvl w:val="0"/>
          <w:numId w:val="136"/>
        </w:numPr>
        <w:rPr>
          <w:rFonts w:ascii="Arial" w:cs="Arial" w:eastAsia="Arial" w:hAnsi="Arial"/>
          <w:sz w:val="15"/>
          <w:szCs w:val="15"/>
          <w:color w:val="auto"/>
        </w:rPr>
      </w:pPr>
      <w:r>
        <w:rPr>
          <w:rFonts w:ascii="Arial" w:cs="Arial" w:eastAsia="Arial" w:hAnsi="Arial"/>
          <w:sz w:val="15"/>
          <w:szCs w:val="15"/>
          <w:color w:val="auto"/>
        </w:rPr>
        <w:t>Under ASU No. 2018-11 entities can elect to apply ASC 842 using a modified-retrospective adoption approach resulting in a cumulative effect adjustment to accumulated deficit at the beginning of the year in which the new lease standard is adopted, rather than adjustments to the earliest comparative period presented in their financial statements. Pursuant to the guidance under ASU No. 2016-02, the Company elected the optional package of practical expedients, which allow the Company to not reassess: (i) whether expired or existing contracts contain leases; (ii) lease classification for any expired or existing leases; and (iii) initial direct costs for any existing leases. The standard also allows entities to make certain policy elections, some of which the Company also plans to elect, including: (i) a policy to not record short-term leases on the balance sheet and (ii) a policy to not separate lease and non-lease components for certain classes of underlying assets. The Company adopted ASC No. 842 as of January 1, 2019 using the modified-retrospective method and recorded a right-of-use asset of approximately $4.0 million and corresponding liability of approximately $4.2 million related to its real estate lease with a term of more than 12 months which is not treated as financing lease under ASC 842, accordingly. These adjustments had no impact on the Company’s consolidated statement of operations and comprehensive loss and no material impact on the Company’s accumulated deficit.</w:t>
      </w:r>
    </w:p>
    <w:p>
      <w:pPr>
        <w:spacing w:after="0" w:line="163" w:lineRule="exact"/>
        <w:rPr>
          <w:sz w:val="20"/>
          <w:szCs w:val="20"/>
          <w:color w:val="auto"/>
        </w:rPr>
      </w:pPr>
    </w:p>
    <w:p>
      <w:pPr>
        <w:ind w:left="500" w:right="480" w:firstLine="819"/>
        <w:spacing w:after="0" w:line="268"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and</w:t>
      </w:r>
      <w:r>
        <w:rPr>
          <w:rFonts w:ascii="Arial" w:cs="Arial" w:eastAsia="Arial" w:hAnsi="Arial"/>
          <w:sz w:val="17"/>
          <w:szCs w:val="17"/>
          <w:color w:val="auto"/>
        </w:rPr>
        <w:t xml:space="preserve"> </w:t>
      </w:r>
      <w:r>
        <w:rPr>
          <w:rFonts w:ascii="Arial" w:cs="Arial" w:eastAsia="Arial" w:hAnsi="Arial"/>
          <w:sz w:val="17"/>
          <w:szCs w:val="17"/>
          <w:i w:val="1"/>
          <w:iCs w:val="1"/>
          <w:color w:val="auto"/>
        </w:rPr>
        <w:t>Derivatives and Hedging (Topic 815): I. Accounting for Certain</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740"/>
          </w:cols>
          <w:pgMar w:left="320" w:top="437" w:right="8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right="40"/>
        <w:spacing w:after="0" w:line="284" w:lineRule="auto"/>
        <w:rPr>
          <w:sz w:val="20"/>
          <w:szCs w:val="20"/>
          <w:color w:val="auto"/>
        </w:rPr>
      </w:pPr>
      <w:r>
        <w:rPr>
          <w:rFonts w:ascii="Arial" w:cs="Arial" w:eastAsia="Arial" w:hAnsi="Arial"/>
          <w:sz w:val="15"/>
          <w:szCs w:val="15"/>
          <w:i w:val="1"/>
          <w:iCs w:val="1"/>
          <w:color w:val="auto"/>
        </w:rPr>
        <w:t xml:space="preserve">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5"/>
          <w:szCs w:val="15"/>
          <w:color w:val="auto"/>
        </w:rPr>
        <w:t>(“ASU No. 2017-11”). Part I of ASU</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 2017-11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ASU No. 2017-11 addresses the difficulty of navigating Topic 480,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ASU No. 2017-11 do not have an accounting effect. ASU No. 2017-11 is effective for fiscal years, and interim periods within those years, beginning after December 15, 2018. The Company adopted ASU No. 2017-11 as of January 1, 2019. The adoption of ASU No. 2017-11 did not have a material impact on the Company’s consolidated financial position, results of operations or cash flows.</w:t>
      </w:r>
    </w:p>
    <w:p>
      <w:pPr>
        <w:spacing w:after="0" w:line="162"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 xml:space="preserve">Compensation-Stock Compensation (Topic 718): Improvements to Nonemployee Share-Based Payment Accounting </w:t>
      </w:r>
      <w:r>
        <w:rPr>
          <w:rFonts w:ascii="Arial" w:cs="Arial" w:eastAsia="Arial" w:hAnsi="Arial"/>
          <w:sz w:val="16"/>
          <w:szCs w:val="16"/>
          <w:color w:val="auto"/>
        </w:rPr>
        <w:t>(“ASU No. 2018-07”). The new standard largely aligns the accounting for share-based payment awards issued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non-employees by expanding the scope of ASC 718 to apply to non-employee share-based transactions, as long as the transaction is not effectively a form of financing. The Company adopted ASU No. 2018-07 as of January 1, 2019. The adoption of ASU No. 2018-07 did not have a material impact on the Company’s consolidated financial position, results of operations or cash flows.</w:t>
      </w:r>
    </w:p>
    <w:p>
      <w:pPr>
        <w:spacing w:after="0" w:line="166" w:lineRule="exact"/>
        <w:rPr>
          <w:sz w:val="20"/>
          <w:szCs w:val="20"/>
          <w:color w:val="auto"/>
        </w:rPr>
      </w:pPr>
    </w:p>
    <w:p>
      <w:pPr>
        <w:ind w:left="500" w:right="80" w:firstLine="819"/>
        <w:spacing w:after="0" w:line="268"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(loss) is required to be filed. This final rule was effective on November 5, 2018. The adoption of SEC Release No. 33-10532 did not have a material impact on the Company’s its financial position, results of operations or cash flows.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06" w:lineRule="exact"/>
        <w:rPr>
          <w:sz w:val="20"/>
          <w:szCs w:val="20"/>
          <w:color w:val="auto"/>
        </w:rPr>
      </w:pPr>
    </w:p>
    <w:p>
      <w:pPr>
        <w:ind w:left="500" w:right="180" w:firstLine="819"/>
        <w:spacing w:after="0" w:line="274"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for Fair Value Measurement </w:t>
      </w:r>
      <w:r>
        <w:rPr>
          <w:rFonts w:ascii="Arial" w:cs="Arial" w:eastAsia="Arial" w:hAnsi="Arial"/>
          <w:sz w:val="16"/>
          <w:szCs w:val="16"/>
          <w:color w:val="auto"/>
        </w:rPr>
        <w:t>(“ASU No. 2018-13”), which modifies the disclosure requirements on 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guidance will become effective for the Company on January 1, 2020. Early adoption is permitted. The Company currently is evaluating the impact the adoption of ASU 2018-13 will have on its consolidated financial statements.</w:t>
      </w:r>
    </w:p>
    <w:p>
      <w:pPr>
        <w:spacing w:after="0" w:line="164" w:lineRule="exact"/>
        <w:rPr>
          <w:sz w:val="20"/>
          <w:szCs w:val="20"/>
          <w:color w:val="auto"/>
        </w:rPr>
      </w:pPr>
    </w:p>
    <w:p>
      <w:pPr>
        <w:ind w:left="500" w:right="40" w:firstLine="819"/>
        <w:spacing w:after="0" w:line="25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Implementation Costs Incurred in a Cloud Computing Arrangement That Is a Service Contract </w:t>
      </w:r>
      <w:r>
        <w:rPr>
          <w:rFonts w:ascii="Arial" w:cs="Arial" w:eastAsia="Arial" w:hAnsi="Arial"/>
          <w:sz w:val="17"/>
          <w:szCs w:val="17"/>
          <w:color w:val="auto"/>
        </w:rPr>
        <w:t>(“ASU No. 2018-15”), which</w:t>
      </w:r>
      <w:r>
        <w:rPr>
          <w:rFonts w:ascii="Arial" w:cs="Arial" w:eastAsia="Arial" w:hAnsi="Arial"/>
          <w:sz w:val="17"/>
          <w:szCs w:val="17"/>
          <w:i w:val="1"/>
          <w:iCs w:val="1"/>
          <w:color w:val="auto"/>
        </w:rPr>
        <w:t xml:space="preserve"> </w:t>
      </w:r>
      <w:r>
        <w:rPr>
          <w:rFonts w:ascii="Arial" w:cs="Arial" w:eastAsia="Arial" w:hAnsi="Arial"/>
          <w:sz w:val="17"/>
          <w:szCs w:val="17"/>
          <w:color w:val="auto"/>
        </w:rPr>
        <w:t>clarifies the accounting for implementation costs in cloud computing arrangements. The new guidance will become effective for the Company on January 1, 2020. Early adoption is permitted. The Company is currently evaluating the impact the adoption of ASU 2018-15 will have on its consolidated financial statements.</w:t>
      </w:r>
    </w:p>
    <w:p>
      <w:pPr>
        <w:spacing w:after="0" w:line="12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740"/>
          </w:cols>
          <w:pgMar w:left="320" w:top="437" w:right="83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No. 2019-12”), makes a number of changes meant to add or clarify guidance on accounting for income taxes. The new guidance will become effective for the Company on January 1, 2022. Early adoption is permitted. The Company currently is evaluating the impact the adoption of ASU 2019-12 will have on its consolidated financial statements.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3. Fair Value Measurements</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Company did not have financial assets and liabilities measured at fair value at December 31, 2019 and 2018.</w:t>
      </w:r>
    </w:p>
    <w:p>
      <w:pPr>
        <w:spacing w:after="0" w:line="206" w:lineRule="exact"/>
        <w:rPr>
          <w:sz w:val="20"/>
          <w:szCs w:val="20"/>
          <w:color w:val="auto"/>
        </w:rPr>
      </w:pPr>
    </w:p>
    <w:p>
      <w:pPr>
        <w:ind w:left="500" w:right="240" w:firstLine="819"/>
        <w:spacing w:after="0" w:line="268" w:lineRule="auto"/>
        <w:rPr>
          <w:sz w:val="20"/>
          <w:szCs w:val="20"/>
          <w:color w:val="auto"/>
        </w:rPr>
      </w:pPr>
      <w:r>
        <w:rPr>
          <w:rFonts w:ascii="Arial" w:cs="Arial" w:eastAsia="Arial" w:hAnsi="Arial"/>
          <w:sz w:val="17"/>
          <w:szCs w:val="17"/>
          <w:color w:val="auto"/>
        </w:rPr>
        <w:t>There have been no changes to the valuation methods used during the years ended December 31, 2019 and 2018. There were no transfers within the fair value hierarchy during the years ended December 31, 2019 and 2018.</w:t>
      </w:r>
    </w:p>
    <w:p>
      <w:pPr>
        <w:spacing w:after="0" w:line="166" w:lineRule="exact"/>
        <w:rPr>
          <w:sz w:val="20"/>
          <w:szCs w:val="20"/>
          <w:color w:val="auto"/>
        </w:rPr>
      </w:pPr>
    </w:p>
    <w:p>
      <w:pPr>
        <w:ind w:left="500" w:right="280" w:firstLine="819"/>
        <w:spacing w:after="0" w:line="268" w:lineRule="auto"/>
        <w:rPr>
          <w:sz w:val="20"/>
          <w:szCs w:val="20"/>
          <w:color w:val="auto"/>
        </w:rPr>
      </w:pPr>
      <w:r>
        <w:rPr>
          <w:rFonts w:ascii="Arial" w:cs="Arial" w:eastAsia="Arial" w:hAnsi="Arial"/>
          <w:sz w:val="17"/>
          <w:szCs w:val="17"/>
          <w:color w:val="auto"/>
        </w:rPr>
        <w:t>The carrying values of the Company’s grants receivable, accounts payable and accrued expenses approximate their fair values due to the short-term nature of these liabilities.</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Tranche Rights</w:t>
      </w:r>
    </w:p>
    <w:p>
      <w:pPr>
        <w:spacing w:after="0" w:line="206" w:lineRule="exact"/>
        <w:rPr>
          <w:sz w:val="20"/>
          <w:szCs w:val="20"/>
          <w:color w:val="auto"/>
        </w:rPr>
      </w:pPr>
    </w:p>
    <w:p>
      <w:pPr>
        <w:ind w:left="500" w:right="60" w:firstLine="819"/>
        <w:spacing w:after="0" w:line="269" w:lineRule="auto"/>
        <w:rPr>
          <w:sz w:val="20"/>
          <w:szCs w:val="20"/>
          <w:color w:val="auto"/>
        </w:rPr>
      </w:pPr>
      <w:r>
        <w:rPr>
          <w:rFonts w:ascii="Arial" w:cs="Arial" w:eastAsia="Arial" w:hAnsi="Arial"/>
          <w:sz w:val="16"/>
          <w:szCs w:val="16"/>
          <w:color w:val="auto"/>
        </w:rPr>
        <w:t>The Company’s sales of Series B redeemable convertible preferred stock (“Series B Preferred Stock”) (see Note 6) provided investors with the right to participate in a subsequent offering of Series B Preferred Stock in the event specified development milestone was achieved. The Company classified the tranche rights as a derivative liability on its consolidated balance sheet because it met the definition of a freestanding financial instrument that could have required the Company to transfer assets upon exercise. The Company remeasured the derivative liability associated with the tranche right to fair value at each reporting date, and recognized changes in the fair value of the derivative liability as a component of other income (expense) in the consolidated statements of operations and comprehensive loss.</w:t>
      </w:r>
    </w:p>
    <w:p>
      <w:pPr>
        <w:spacing w:after="0" w:line="169" w:lineRule="exact"/>
        <w:rPr>
          <w:sz w:val="20"/>
          <w:szCs w:val="20"/>
          <w:color w:val="auto"/>
        </w:rPr>
      </w:pPr>
    </w:p>
    <w:p>
      <w:pPr>
        <w:ind w:left="500" w:right="80" w:firstLine="819"/>
        <w:spacing w:after="0" w:line="257" w:lineRule="auto"/>
        <w:rPr>
          <w:sz w:val="20"/>
          <w:szCs w:val="20"/>
          <w:color w:val="auto"/>
        </w:rPr>
      </w:pPr>
      <w:r>
        <w:rPr>
          <w:rFonts w:ascii="Arial" w:cs="Arial" w:eastAsia="Arial" w:hAnsi="Arial"/>
          <w:sz w:val="17"/>
          <w:szCs w:val="17"/>
          <w:color w:val="auto"/>
        </w:rPr>
        <w:t>The fair value of the derivative liability was determined using the Black-Scholes option pricing model, which considered as inputs (a) the expected stock price volatility of the underlying common stock, (b) the expected term of the tranche right, (c) the risk-free interest rate and (d) expected dividends.</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fair value of the tranche right related to the Company’s Series B Preferred Stock upon issuance in June 2018 was approximately</w:t>
      </w:r>
    </w:p>
    <w:p>
      <w:pPr>
        <w:spacing w:after="0" w:line="29" w:lineRule="exact"/>
        <w:rPr>
          <w:sz w:val="20"/>
          <w:szCs w:val="20"/>
          <w:color w:val="auto"/>
        </w:rPr>
      </w:pPr>
    </w:p>
    <w:p>
      <w:pPr>
        <w:ind w:left="500"/>
        <w:spacing w:after="0" w:line="318" w:lineRule="auto"/>
        <w:rPr>
          <w:sz w:val="20"/>
          <w:szCs w:val="20"/>
          <w:color w:val="auto"/>
        </w:rPr>
      </w:pPr>
      <w:r>
        <w:rPr>
          <w:rFonts w:ascii="Arial" w:cs="Arial" w:eastAsia="Arial" w:hAnsi="Arial"/>
          <w:sz w:val="15"/>
          <w:szCs w:val="15"/>
          <w:color w:val="auto"/>
        </w:rPr>
        <w:t>$2.1 million. Upon the issuance of Series B Preferred Stock in October 2018, the tranche right was cancelled, and the fair value of the derivative liability was $0, with the change in fair value recorded in other income (expense) in the consolidated statements of operations and comprehensive loss.</w:t>
      </w:r>
    </w:p>
    <w:p>
      <w:pPr>
        <w:spacing w:after="0" w:line="133" w:lineRule="exact"/>
        <w:rPr>
          <w:sz w:val="20"/>
          <w:szCs w:val="20"/>
          <w:color w:val="auto"/>
        </w:rPr>
      </w:pPr>
    </w:p>
    <w:p>
      <w:pPr>
        <w:ind w:left="500" w:right="20" w:firstLine="819"/>
        <w:spacing w:after="0" w:line="268" w:lineRule="auto"/>
        <w:rPr>
          <w:sz w:val="20"/>
          <w:szCs w:val="20"/>
          <w:color w:val="auto"/>
        </w:rPr>
      </w:pPr>
      <w:r>
        <w:rPr>
          <w:rFonts w:ascii="Arial" w:cs="Arial" w:eastAsia="Arial" w:hAnsi="Arial"/>
          <w:sz w:val="17"/>
          <w:szCs w:val="17"/>
          <w:color w:val="auto"/>
        </w:rPr>
        <w:t>The following table provides a roll forward of the fair value of the Company’s tranche right, for which fair value was determined by Level 3 inputs (in thousands):</w:t>
      </w:r>
    </w:p>
    <w:p>
      <w:pPr>
        <w:spacing w:after="0" w:line="172" w:lineRule="exact"/>
        <w:rPr>
          <w:sz w:val="20"/>
          <w:szCs w:val="20"/>
          <w:color w:val="auto"/>
        </w:rPr>
      </w:pPr>
    </w:p>
    <w:tbl>
      <w:tblPr>
        <w:tblLayout w:type="fixed"/>
        <w:tblInd w:w="278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79"/>
              </w:rPr>
              <w:t>Tranche</w:t>
            </w:r>
          </w:p>
        </w:tc>
      </w:tr>
      <w:tr>
        <w:trPr>
          <w:trHeight w:val="158"/>
        </w:trPr>
        <w:tc>
          <w:tcPr>
            <w:tcW w:w="2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96"/>
              </w:rPr>
              <w:t>Right</w:t>
            </w:r>
          </w:p>
        </w:tc>
        <w:tc>
          <w:tcPr>
            <w:tcW w:w="100" w:type="dxa"/>
            <w:vAlign w:val="bottom"/>
          </w:tcPr>
          <w:p>
            <w:pPr>
              <w:spacing w:after="0"/>
              <w:rPr>
                <w:sz w:val="13"/>
                <w:szCs w:val="13"/>
                <w:color w:val="auto"/>
              </w:rPr>
            </w:pPr>
          </w:p>
        </w:tc>
      </w:tr>
      <w:tr>
        <w:trPr>
          <w:trHeight w:val="193"/>
        </w:trPr>
        <w:tc>
          <w:tcPr>
            <w:tcW w:w="2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2017</w:t>
            </w:r>
          </w:p>
        </w:tc>
        <w:tc>
          <w:tcPr>
            <w:tcW w:w="276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r>
      <w:tr>
        <w:trPr>
          <w:trHeight w:val="201"/>
        </w:trPr>
        <w:tc>
          <w:tcPr>
            <w:tcW w:w="2380" w:type="dxa"/>
            <w:vAlign w:val="bottom"/>
          </w:tcPr>
          <w:p>
            <w:pPr>
              <w:spacing w:after="0"/>
              <w:rPr>
                <w:sz w:val="20"/>
                <w:szCs w:val="20"/>
                <w:color w:val="auto"/>
              </w:rPr>
            </w:pPr>
            <w:r>
              <w:rPr>
                <w:rFonts w:ascii="Arial" w:cs="Arial" w:eastAsia="Arial" w:hAnsi="Arial"/>
                <w:sz w:val="17"/>
                <w:szCs w:val="17"/>
                <w:color w:val="auto"/>
              </w:rPr>
              <w:t>Fair value at issuance</w:t>
            </w:r>
          </w:p>
        </w:tc>
        <w:tc>
          <w:tcPr>
            <w:tcW w:w="276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2,083</w:t>
            </w:r>
          </w:p>
        </w:tc>
      </w:tr>
      <w:tr>
        <w:trPr>
          <w:trHeight w:val="201"/>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w:t>
            </w:r>
          </w:p>
        </w:tc>
        <w:tc>
          <w:tcPr>
            <w:tcW w:w="276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(1,184)</w:t>
            </w:r>
          </w:p>
        </w:tc>
      </w:tr>
      <w:tr>
        <w:trPr>
          <w:trHeight w:val="201"/>
        </w:trPr>
        <w:tc>
          <w:tcPr>
            <w:tcW w:w="2380" w:type="dxa"/>
            <w:vAlign w:val="bottom"/>
          </w:tcPr>
          <w:p>
            <w:pPr>
              <w:spacing w:after="0"/>
              <w:rPr>
                <w:sz w:val="20"/>
                <w:szCs w:val="20"/>
                <w:color w:val="auto"/>
              </w:rPr>
            </w:pPr>
            <w:r>
              <w:rPr>
                <w:rFonts w:ascii="Arial" w:cs="Arial" w:eastAsia="Arial" w:hAnsi="Arial"/>
                <w:sz w:val="17"/>
                <w:szCs w:val="17"/>
                <w:color w:val="auto"/>
              </w:rPr>
              <w:t>Settlement</w:t>
            </w:r>
          </w:p>
        </w:tc>
        <w:tc>
          <w:tcPr>
            <w:tcW w:w="276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(899)</w:t>
            </w:r>
          </w:p>
        </w:tc>
      </w:tr>
      <w:tr>
        <w:trPr>
          <w:trHeight w:val="25"/>
        </w:trPr>
        <w:tc>
          <w:tcPr>
            <w:tcW w:w="2380" w:type="dxa"/>
            <w:vAlign w:val="bottom"/>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2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0"/>
        </w:trPr>
        <w:tc>
          <w:tcPr>
            <w:tcW w:w="2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9"/>
        </w:trPr>
        <w:tc>
          <w:tcPr>
            <w:tcW w:w="2380" w:type="dxa"/>
            <w:vAlign w:val="bottom"/>
          </w:tcPr>
          <w:p>
            <w:pPr>
              <w:spacing w:after="0"/>
              <w:rPr>
                <w:sz w:val="24"/>
                <w:szCs w:val="24"/>
                <w:color w:val="auto"/>
              </w:rPr>
            </w:pPr>
          </w:p>
        </w:tc>
        <w:tc>
          <w:tcPr>
            <w:tcW w:w="2760" w:type="dxa"/>
            <w:vAlign w:val="bottom"/>
          </w:tcPr>
          <w:p>
            <w:pPr>
              <w:jc w:val="right"/>
              <w:ind w:right="2056"/>
              <w:spacing w:after="0"/>
              <w:rPr>
                <w:sz w:val="20"/>
                <w:szCs w:val="20"/>
                <w:color w:val="auto"/>
              </w:rPr>
            </w:pPr>
            <w:r>
              <w:rPr>
                <w:rFonts w:ascii="Arial" w:cs="Arial" w:eastAsia="Arial" w:hAnsi="Arial"/>
                <w:sz w:val="17"/>
                <w:szCs w:val="17"/>
                <w:color w:val="auto"/>
              </w:rPr>
              <w:t>F-19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40"/>
          </w:cols>
          <w:pgMar w:left="320" w:top="437" w:right="83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4. Property and Equipment</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Property and equipment consist of the following at December 31, 2019 and 2018 (in thousands):</w:t>
      </w:r>
    </w:p>
    <w:p>
      <w:pPr>
        <w:spacing w:after="0" w:line="224" w:lineRule="exact"/>
        <w:rPr>
          <w:sz w:val="20"/>
          <w:szCs w:val="20"/>
          <w:color w:val="auto"/>
        </w:rPr>
      </w:pPr>
    </w:p>
    <w:tbl>
      <w:tblPr>
        <w:tblLayout w:type="fixed"/>
        <w:tblInd w:w="19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9"/>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Property and equipment:</w:t>
            </w: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Laboratory equipment</w:t>
            </w:r>
          </w:p>
        </w:tc>
        <w:tc>
          <w:tcPr>
            <w:tcW w:w="1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w w:val="98"/>
              </w:rPr>
              <w:t>1,715</w:t>
            </w:r>
          </w:p>
        </w:tc>
        <w:tc>
          <w:tcPr>
            <w:tcW w:w="2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7"/>
                <w:szCs w:val="17"/>
                <w:color w:val="auto"/>
                <w:w w:val="98"/>
              </w:rPr>
              <w:t>1,715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Computer software and equipment</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Office furniture and fixtures</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301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Leasehold improvements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Construction in progress</w:t>
            </w:r>
          </w:p>
        </w:tc>
        <w:tc>
          <w:tcPr>
            <w:tcW w:w="1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138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8"/>
              </w:rPr>
              <w:t>3,066</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8"/>
              </w:rPr>
              <w:t>2,905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Accumulated depreciation</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4"/>
          </w:tcPr>
          <w:p>
            <w:pPr>
              <w:jc w:val="right"/>
              <w:ind w:right="240"/>
              <w:spacing w:after="0"/>
              <w:rPr>
                <w:sz w:val="20"/>
                <w:szCs w:val="20"/>
                <w:color w:val="auto"/>
              </w:rPr>
            </w:pPr>
            <w:r>
              <w:rPr>
                <w:rFonts w:ascii="Arial" w:cs="Arial" w:eastAsia="Arial" w:hAnsi="Arial"/>
                <w:sz w:val="17"/>
                <w:szCs w:val="17"/>
                <w:color w:val="auto"/>
                <w:w w:val="85"/>
              </w:rPr>
              <w:t>(2,829)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7"/>
                <w:szCs w:val="17"/>
                <w:color w:val="auto"/>
                <w:w w:val="89"/>
              </w:rPr>
              <w:t>(2,802)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360" w:firstLine="819"/>
        <w:spacing w:after="0" w:line="268" w:lineRule="auto"/>
        <w:rPr>
          <w:sz w:val="20"/>
          <w:szCs w:val="20"/>
          <w:color w:val="auto"/>
        </w:rPr>
      </w:pPr>
      <w:r>
        <w:rPr>
          <w:rFonts w:ascii="Arial" w:cs="Arial" w:eastAsia="Arial" w:hAnsi="Arial"/>
          <w:sz w:val="17"/>
          <w:szCs w:val="17"/>
          <w:color w:val="auto"/>
        </w:rPr>
        <w:t>The Company recognized approximately $27,000 and $0.1 million of depreciation expense for the years ended December 31, 2019 and 2018, respectively.</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5. Accrued Expenses and Other Current Liabilities</w:t>
      </w: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Accrued expenses and other current liabilities consist of the following (in thousands):</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7"/>
          </w:tcPr>
          <w:p>
            <w:pPr>
              <w:ind w:left="180"/>
              <w:spacing w:after="0"/>
              <w:rPr>
                <w:sz w:val="20"/>
                <w:szCs w:val="20"/>
                <w:color w:val="auto"/>
              </w:rPr>
            </w:pPr>
            <w:r>
              <w:rPr>
                <w:rFonts w:ascii="Arial" w:cs="Arial" w:eastAsia="Arial" w:hAnsi="Arial"/>
                <w:sz w:val="13"/>
                <w:szCs w:val="13"/>
                <w:b w:val="1"/>
                <w:bCs w:val="1"/>
                <w:color w:val="auto"/>
              </w:rPr>
              <w:t>December 31,</w:t>
            </w:r>
          </w:p>
        </w:tc>
      </w:tr>
      <w:tr>
        <w:trPr>
          <w:trHeight w:val="158"/>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2018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3"/>
        </w:trPr>
        <w:tc>
          <w:tcPr>
            <w:tcW w:w="20" w:type="dxa"/>
            <w:vAlign w:val="bottom"/>
          </w:tcPr>
          <w:p>
            <w:pPr>
              <w:spacing w:after="0"/>
              <w:rPr>
                <w:sz w:val="16"/>
                <w:szCs w:val="16"/>
                <w:color w:val="auto"/>
              </w:rPr>
            </w:pPr>
          </w:p>
        </w:tc>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Payroll and employee related expenses</w:t>
            </w:r>
          </w:p>
        </w:tc>
        <w:tc>
          <w:tcPr>
            <w:tcW w:w="19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885</w:t>
            </w:r>
          </w:p>
        </w:tc>
        <w:tc>
          <w:tcPr>
            <w:tcW w:w="5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484</w:t>
            </w:r>
          </w:p>
        </w:tc>
        <w:tc>
          <w:tcPr>
            <w:tcW w:w="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Third-party research and development expenses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84"/>
              </w:rPr>
              <w:t>1,344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180</w:t>
            </w: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Professional and consulting fees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Other</w:t>
            </w:r>
          </w:p>
        </w:tc>
        <w:tc>
          <w:tcPr>
            <w:tcW w:w="18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110</w:t>
            </w: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accrued expenses and other current liabilities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3,240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1,329</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6. Redeemable Convertible Preferred Stock</w:t>
      </w:r>
    </w:p>
    <w:p>
      <w:pPr>
        <w:spacing w:after="0" w:line="210" w:lineRule="exact"/>
        <w:rPr>
          <w:sz w:val="20"/>
          <w:szCs w:val="20"/>
          <w:color w:val="auto"/>
        </w:rPr>
      </w:pPr>
    </w:p>
    <w:p>
      <w:pPr>
        <w:ind w:left="500" w:right="40" w:firstLine="819"/>
        <w:spacing w:after="0" w:line="268" w:lineRule="auto"/>
        <w:rPr>
          <w:sz w:val="20"/>
          <w:szCs w:val="20"/>
          <w:color w:val="auto"/>
        </w:rPr>
      </w:pPr>
      <w:r>
        <w:rPr>
          <w:rFonts w:ascii="Arial" w:cs="Arial" w:eastAsia="Arial" w:hAnsi="Arial"/>
          <w:sz w:val="17"/>
          <w:szCs w:val="17"/>
          <w:color w:val="auto"/>
        </w:rPr>
        <w:t>On June 5, 2018, the Company filed an amended and restated certificate of incorporation which authorizes its Board of Directors to issue up to 210,786,340 shares of preferred stock, par value $0.001 per share.</w:t>
      </w:r>
    </w:p>
    <w:p>
      <w:pPr>
        <w:spacing w:after="0" w:line="166" w:lineRule="exact"/>
        <w:rPr>
          <w:sz w:val="20"/>
          <w:szCs w:val="20"/>
          <w:color w:val="auto"/>
        </w:rPr>
      </w:pPr>
    </w:p>
    <w:p>
      <w:pPr>
        <w:ind w:left="500" w:firstLine="819"/>
        <w:spacing w:after="0" w:line="271" w:lineRule="auto"/>
        <w:rPr>
          <w:sz w:val="20"/>
          <w:szCs w:val="20"/>
          <w:color w:val="auto"/>
        </w:rPr>
      </w:pPr>
      <w:r>
        <w:rPr>
          <w:rFonts w:ascii="Arial" w:cs="Arial" w:eastAsia="Arial" w:hAnsi="Arial"/>
          <w:sz w:val="16"/>
          <w:szCs w:val="16"/>
          <w:color w:val="auto"/>
        </w:rPr>
        <w:t>On August 25, 2011, the Company filed an amended and restated certificate of incorporation to recapitalize its outstanding shares of previously outstanding Series A, Series B and Series C preferred stock into 34,017,033 shares of a new Series A-1 redeemable convertible preferred stock (“Series A-1 Preferred Stock”). As the substance of the transaction was a consolidation of the existing stockholders’ holdings into a single class of shares without conferring any substantive additional rights or obligations between the stockholders and the Company, the transaction was recorded at the then existing book value of the previously outstanding Series A, B and C preferred stock.</w:t>
      </w:r>
    </w:p>
    <w:p>
      <w:pPr>
        <w:spacing w:after="0" w:line="166" w:lineRule="exact"/>
        <w:rPr>
          <w:sz w:val="20"/>
          <w:szCs w:val="20"/>
          <w:color w:val="auto"/>
        </w:rPr>
      </w:pPr>
    </w:p>
    <w:p>
      <w:pPr>
        <w:jc w:val="both"/>
        <w:ind w:left="500" w:right="180" w:firstLine="819"/>
        <w:spacing w:after="0" w:line="257" w:lineRule="auto"/>
        <w:rPr>
          <w:sz w:val="20"/>
          <w:szCs w:val="20"/>
          <w:color w:val="auto"/>
        </w:rPr>
      </w:pPr>
      <w:r>
        <w:rPr>
          <w:rFonts w:ascii="Arial" w:cs="Arial" w:eastAsia="Arial" w:hAnsi="Arial"/>
          <w:sz w:val="17"/>
          <w:szCs w:val="17"/>
          <w:color w:val="auto"/>
        </w:rPr>
        <w:t>During 2011, the Company issued 26,680,202 shares of Series A-2 redeemable convertible preferred stock (“Series A-2 Preferred Stock”) for $0.6894 per share, in exchange for cash proceeds of approximately $13.0 million and the conversion of approximately $5.4 million of convertible promissory notes and accrued interest.</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740"/>
          </w:cols>
          <w:pgMar w:left="320" w:top="437" w:right="83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jc w:val="both"/>
        <w:ind w:left="500" w:right="100" w:firstLine="819"/>
        <w:spacing w:after="0" w:line="257" w:lineRule="auto"/>
        <w:rPr>
          <w:sz w:val="20"/>
          <w:szCs w:val="20"/>
          <w:color w:val="auto"/>
        </w:rPr>
      </w:pPr>
      <w:r>
        <w:rPr>
          <w:rFonts w:ascii="Arial" w:cs="Arial" w:eastAsia="Arial" w:hAnsi="Arial"/>
          <w:sz w:val="17"/>
          <w:szCs w:val="17"/>
          <w:color w:val="auto"/>
        </w:rPr>
        <w:t>During 2013, the Company issued 16,736,530 shares of Series A-3 redeemable convertible preferred stock (“Series A-3 Preferred Stock”) for $1.2675 per share, in exchange for cash proceeds of approximately $15.0 million and the conversion of approximately $6.2 million of convertible promissory notes and accrued interest.</w:t>
      </w:r>
    </w:p>
    <w:p>
      <w:pPr>
        <w:spacing w:after="0" w:line="175" w:lineRule="exact"/>
        <w:rPr>
          <w:sz w:val="20"/>
          <w:szCs w:val="20"/>
          <w:color w:val="auto"/>
        </w:rPr>
      </w:pPr>
    </w:p>
    <w:p>
      <w:pPr>
        <w:jc w:val="both"/>
        <w:ind w:left="500" w:right="100" w:firstLine="819"/>
        <w:spacing w:after="0" w:line="335" w:lineRule="auto"/>
        <w:rPr>
          <w:sz w:val="20"/>
          <w:szCs w:val="20"/>
          <w:color w:val="auto"/>
        </w:rPr>
      </w:pPr>
      <w:r>
        <w:rPr>
          <w:rFonts w:ascii="Arial" w:cs="Arial" w:eastAsia="Arial" w:hAnsi="Arial"/>
          <w:sz w:val="15"/>
          <w:szCs w:val="15"/>
          <w:color w:val="auto"/>
        </w:rPr>
        <w:t>During 2015, the Company issued 9,205,805 shares of Series A-3 Preferred Stock for $1.2675 per share, in exchange for cash proceeds of approximately $3.3 million and the conversion of approximately $8.4 million of certain convertible promissory notes and accrued interest.</w:t>
      </w:r>
    </w:p>
    <w:p>
      <w:pPr>
        <w:spacing w:after="0" w:line="121" w:lineRule="exact"/>
        <w:rPr>
          <w:sz w:val="20"/>
          <w:szCs w:val="20"/>
          <w:color w:val="auto"/>
        </w:rPr>
      </w:pPr>
    </w:p>
    <w:p>
      <w:pPr>
        <w:jc w:val="both"/>
        <w:ind w:left="500" w:right="200" w:firstLine="819"/>
        <w:spacing w:after="0" w:line="257" w:lineRule="auto"/>
        <w:rPr>
          <w:sz w:val="20"/>
          <w:szCs w:val="20"/>
          <w:color w:val="auto"/>
        </w:rPr>
      </w:pPr>
      <w:r>
        <w:rPr>
          <w:rFonts w:ascii="Arial" w:cs="Arial" w:eastAsia="Arial" w:hAnsi="Arial"/>
          <w:sz w:val="17"/>
          <w:szCs w:val="17"/>
          <w:color w:val="auto"/>
        </w:rPr>
        <w:t>During 2016, the Company issued 4,128,152 shares of Series A-3 Preferred Stock for $1.2675 per share and 19,999,999 shares of Series A-4 redeemable convertible preferred stock (“Series A-4 Preferred Stock”) for $0.30 per share, in exchange for total cash proceeds of approximately $11.2 million.</w:t>
      </w:r>
    </w:p>
    <w:p>
      <w:pPr>
        <w:spacing w:after="0" w:line="175"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During 2018, the Company issued 98,351,953 shares of Series B Preferred Stock for $0.30 per share, in exchange for total cash proceeds of approximately $29.0 million and the conversion of approximately $0.5 million of convertible promissory notes originally issued in March and April 2018 and accrued interest.</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rights, preferences, and privileges of the Series A-1, A-2, A-3, A-4 and Series B Preferred Stock (collectively, the “Preferred Stock”)</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are the following:</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Dividends</w:t>
      </w:r>
    </w:p>
    <w:p>
      <w:pPr>
        <w:spacing w:after="0" w:line="206" w:lineRule="exact"/>
        <w:rPr>
          <w:sz w:val="20"/>
          <w:szCs w:val="20"/>
          <w:color w:val="auto"/>
        </w:rPr>
      </w:pPr>
    </w:p>
    <w:p>
      <w:pPr>
        <w:ind w:left="500" w:right="20" w:firstLine="819"/>
        <w:spacing w:after="0" w:line="271" w:lineRule="auto"/>
        <w:rPr>
          <w:sz w:val="20"/>
          <w:szCs w:val="20"/>
          <w:color w:val="auto"/>
        </w:rPr>
      </w:pPr>
      <w:r>
        <w:rPr>
          <w:rFonts w:ascii="Arial" w:cs="Arial" w:eastAsia="Arial" w:hAnsi="Arial"/>
          <w:sz w:val="16"/>
          <w:szCs w:val="16"/>
          <w:color w:val="auto"/>
        </w:rPr>
        <w:t>The holders of Preferred Stock are entitled to receive dividends in any fiscal year, when, as, and if declared by the Board of Directors provided that such dividend payable on the Series B Preferred Stock shall not be lesser than the amount of any dividend to be paid on any other class or series of capital stock. The Company shall not declare or pay any cash dividends on shares of common stock until each of the holders of the Preferred Stock then outstanding shall have first received, or there shall have been declared and set aside for payment, a cash dividend on each outstanding share of Preferred Stock. No cash dividends have been declared since the Company’s inception.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Voting</w:t>
      </w:r>
    </w:p>
    <w:p>
      <w:pPr>
        <w:spacing w:after="0" w:line="206" w:lineRule="exact"/>
        <w:rPr>
          <w:sz w:val="20"/>
          <w:szCs w:val="20"/>
          <w:color w:val="auto"/>
        </w:rPr>
      </w:pPr>
    </w:p>
    <w:p>
      <w:pPr>
        <w:jc w:val="both"/>
        <w:ind w:left="500" w:right="340" w:firstLine="819"/>
        <w:spacing w:after="0" w:line="257" w:lineRule="auto"/>
        <w:rPr>
          <w:sz w:val="20"/>
          <w:szCs w:val="20"/>
          <w:color w:val="auto"/>
        </w:rPr>
      </w:pPr>
      <w:r>
        <w:rPr>
          <w:rFonts w:ascii="Arial" w:cs="Arial" w:eastAsia="Arial" w:hAnsi="Arial"/>
          <w:sz w:val="17"/>
          <w:szCs w:val="17"/>
          <w:color w:val="auto"/>
        </w:rPr>
        <w:t>The holders of Preferred Stock are entitled to vote on all matters with the common stockholders as if they were one class of stock. The holders of Preferred Stock are entitled to the number of votes equal to the number of shares of common stock into which such holders’ share of the Preferred Stock is then convertible.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Conversion</w:t>
      </w:r>
    </w:p>
    <w:p>
      <w:pPr>
        <w:spacing w:after="0" w:line="206" w:lineRule="exact"/>
        <w:rPr>
          <w:sz w:val="20"/>
          <w:szCs w:val="20"/>
          <w:color w:val="auto"/>
        </w:rPr>
      </w:pPr>
    </w:p>
    <w:p>
      <w:pPr>
        <w:ind w:left="500" w:right="60" w:firstLine="819"/>
        <w:spacing w:after="0" w:line="269" w:lineRule="auto"/>
        <w:rPr>
          <w:sz w:val="20"/>
          <w:szCs w:val="20"/>
          <w:color w:val="auto"/>
        </w:rPr>
      </w:pPr>
      <w:r>
        <w:rPr>
          <w:rFonts w:ascii="Arial" w:cs="Arial" w:eastAsia="Arial" w:hAnsi="Arial"/>
          <w:sz w:val="16"/>
          <w:szCs w:val="16"/>
          <w:color w:val="auto"/>
        </w:rPr>
        <w:t>Each share of Preferred Stock is convertible, at the option of the holder, at any time, into one share of common stock, adjusted for certain dilutive events and per the conversion rates as defined below under “Liquidation.” In addition, all shares of Preferred Stock will automatically convert into shares of common stock upon the earlier of (i) the closing of a firm commitment underwritten public offering in which the per share price to the public is not less than $2.06 per share, and which results in at least $35.0 million of gross proceeds to the Company or (ii) upon the written notice from the holders of at least 75% of the then-outstanding shares of Preferred Stock, voting together as a separate class on an as-converted basis at the then effective conversion rate. The Preferred Stock will convert at 1:1 ratio into shares of common stock.</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Liquidation</w:t>
      </w:r>
    </w:p>
    <w:p>
      <w:pPr>
        <w:spacing w:after="0" w:line="206" w:lineRule="exact"/>
        <w:rPr>
          <w:sz w:val="20"/>
          <w:szCs w:val="20"/>
          <w:color w:val="auto"/>
        </w:rPr>
      </w:pPr>
    </w:p>
    <w:p>
      <w:pPr>
        <w:ind w:left="500" w:right="400" w:firstLine="819"/>
        <w:spacing w:after="0" w:line="268" w:lineRule="auto"/>
        <w:rPr>
          <w:sz w:val="20"/>
          <w:szCs w:val="20"/>
          <w:color w:val="auto"/>
        </w:rPr>
      </w:pPr>
      <w:r>
        <w:rPr>
          <w:rFonts w:ascii="Arial" w:cs="Arial" w:eastAsia="Arial" w:hAnsi="Arial"/>
          <w:sz w:val="17"/>
          <w:szCs w:val="17"/>
          <w:color w:val="auto"/>
        </w:rPr>
        <w:t>In the event of any voluntary or involuntary liquidation, dissolution, or winding-up of the Company, including a change of control, as defined in its amended and restated certificate of incorporation, the holders of</w:t>
      </w:r>
    </w:p>
    <w:p>
      <w:pPr>
        <w:spacing w:after="0" w:line="10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660"/>
          </w:cols>
          <w:pgMar w:left="320" w:top="437" w:right="91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spacing w:after="0" w:line="282" w:lineRule="auto"/>
        <w:rPr>
          <w:sz w:val="20"/>
          <w:szCs w:val="20"/>
          <w:color w:val="auto"/>
        </w:rPr>
      </w:pPr>
      <w:r>
        <w:rPr>
          <w:rFonts w:ascii="Arial" w:cs="Arial" w:eastAsia="Arial" w:hAnsi="Arial"/>
          <w:sz w:val="15"/>
          <w:szCs w:val="15"/>
          <w:color w:val="auto"/>
        </w:rPr>
        <w:t>the Preferred Stock will be entitled to be paid a preference payment, prior to any payment to holders of common stock or any other capital stock ranking junior on liquidation to the Preferred Stock. In the case of Series A-1 Preferred Stock, this preference payment is equal to the greater of (a) $0.4162 per share, subject to certain adjustments, as defined, plus any dividends declared but unpaid on such shares, or (b) the amount per share which the holders of Series A-1 Preferred Stock would be entitled to if the shares of Series A-1 Preferred Stock had been converted into shares of common stock immediately prior to such voluntary or involuntary liquidation, dissolution, or winding-up of the Company. In the case of Series A-2 Preferred Stock, this preference payment is equal to the greater of (a) $0.3397 per share, subject to certain adjustments, as defined, plus any dividends declared but unpaid on such shares, or (b) the amount per share which the holders of Series A-2 Preferred Stock would be entitled to if the shares of Series A-2 Preferred Stock had been converted into shares of common stock immediately prior to such voluntary or involuntary liquidation, dissolution, or winding-up of the Company. In the case of Series A-3 Preferred Stock, this preference payment is equal to the greater of (a) $0.6245 per share, subject to certain adjustments, as defined, plus any dividends declared but unpaid on such shares, or (b) the amount per share which the holders of Series A-3 Preferred Stock would be entitled to if the shares of Series A-3 Preferred Stock had been converted into shares of common stock immediately prior to such voluntary or involuntary liquidation, dissolution, or winding-up of the Company. In the case of Series A-4 Preferred Stock, this preference payment is equal to the greater of (a) $0.30 per share, subject to certain adjustments, as defined, plus any dividends declared but unpaid on such shares, or (b) the amount per share which the holders of Series A-4 Preferred Stock would be entitled to if the shares of Series A-4 Preferred Stock had been converted into shares of common stock immediately prior to such voluntary or involuntary liquidation, dissolution, or winding-up of the Company. In the case of Series B Preferred Stock, this preference payment is equal to the greater of (a) $0.30 per share, subject to certain adjustments, as defined, plus any dividends declared but unpaid on such shares, or (b) the amount per share which the holders of Series B Preferred Stock would be entitled to if the shares of Series B Preferred Stock had been converted into shares of common stock immediately prior to such voluntary or involuntary liquidation, dissolution, or winding-up of the Company.</w:t>
      </w:r>
    </w:p>
    <w:p>
      <w:pPr>
        <w:spacing w:after="0" w:line="369" w:lineRule="exact"/>
        <w:rPr>
          <w:sz w:val="20"/>
          <w:szCs w:val="20"/>
          <w:color w:val="auto"/>
        </w:rPr>
      </w:pPr>
    </w:p>
    <w:p>
      <w:pPr>
        <w:ind w:left="500" w:right="100" w:firstLine="819"/>
        <w:spacing w:after="0" w:line="257" w:lineRule="auto"/>
        <w:rPr>
          <w:sz w:val="20"/>
          <w:szCs w:val="20"/>
          <w:color w:val="auto"/>
        </w:rPr>
      </w:pPr>
      <w:r>
        <w:rPr>
          <w:rFonts w:ascii="Arial" w:cs="Arial" w:eastAsia="Arial" w:hAnsi="Arial"/>
          <w:sz w:val="17"/>
          <w:szCs w:val="17"/>
          <w:color w:val="auto"/>
        </w:rPr>
        <w:t>After the payment of all required preferential amounts to the holders of Preferred Stock, upon the dissolution, liquidation, or winding-up of the Company, any remaining assets and funds of the Company available for distribution shall be distributed among the holders of the then outstanding common stock, pro rata, according to the number of shares of common stock held by such holders.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Redemption</w:t>
      </w:r>
    </w:p>
    <w:p>
      <w:pPr>
        <w:spacing w:after="0" w:line="206" w:lineRule="exact"/>
        <w:rPr>
          <w:sz w:val="20"/>
          <w:szCs w:val="20"/>
          <w:color w:val="auto"/>
        </w:rPr>
      </w:pPr>
    </w:p>
    <w:p>
      <w:pPr>
        <w:ind w:left="500" w:firstLine="819"/>
        <w:spacing w:after="0" w:line="250" w:lineRule="auto"/>
        <w:rPr>
          <w:sz w:val="20"/>
          <w:szCs w:val="20"/>
          <w:color w:val="auto"/>
        </w:rPr>
      </w:pPr>
      <w:r>
        <w:rPr>
          <w:rFonts w:ascii="Arial" w:cs="Arial" w:eastAsia="Arial" w:hAnsi="Arial"/>
          <w:sz w:val="17"/>
          <w:szCs w:val="17"/>
          <w:color w:val="auto"/>
        </w:rPr>
        <w:t>Series A-1, A-2 A-3, A-4 and B Preferred Stock are required to be redeemed by the Company at a price of $0.4162, $0.3397, $0.6245, $0.30 and $0.30 per share, respectively, subject to certain adjustments, as defined in its amended and restated certificate of incorporation, plus all declared but unpaid dividends in three annual installments commencing 60 days after receipt by the Company, at any time on or after June 5, 2023 (the fifth anniversary of the Series B Preferred Stock original issue date), of written notice requesting redemption of all shares of Preferred Stock from the holders of at least 75% of the then outstanding shares of Preferred Stock (which must include at least 50% of the then outstanding shares of Series B Preferred Stock).</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7. Common Stock</w:t>
      </w:r>
    </w:p>
    <w:p>
      <w:pPr>
        <w:spacing w:after="0" w:line="210" w:lineRule="exact"/>
        <w:rPr>
          <w:sz w:val="20"/>
          <w:szCs w:val="20"/>
          <w:color w:val="auto"/>
        </w:rPr>
      </w:pPr>
    </w:p>
    <w:p>
      <w:pPr>
        <w:ind w:left="500" w:firstLine="819"/>
        <w:spacing w:after="0" w:line="268" w:lineRule="auto"/>
        <w:rPr>
          <w:sz w:val="20"/>
          <w:szCs w:val="20"/>
          <w:color w:val="auto"/>
        </w:rPr>
      </w:pPr>
      <w:r>
        <w:rPr>
          <w:rFonts w:ascii="Arial" w:cs="Arial" w:eastAsia="Arial" w:hAnsi="Arial"/>
          <w:sz w:val="17"/>
          <w:szCs w:val="17"/>
          <w:color w:val="auto"/>
        </w:rPr>
        <w:t>The holders of common stock are entitled to one vote for each share held. Common stockholders are not entitled to receive dividends, unless declared by the Board of Directors.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0740"/>
          </w:cols>
          <w:pgMar w:left="320" w:top="437" w:right="83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jc w:val="right"/>
        <w:ind w:right="1840"/>
        <w:spacing w:after="0"/>
        <w:rPr>
          <w:sz w:val="20"/>
          <w:szCs w:val="20"/>
          <w:color w:val="auto"/>
        </w:rPr>
      </w:pPr>
      <w:r>
        <w:rPr>
          <w:rFonts w:ascii="Arial" w:cs="Arial" w:eastAsia="Arial" w:hAnsi="Arial"/>
          <w:sz w:val="17"/>
          <w:szCs w:val="17"/>
          <w:color w:val="auto"/>
        </w:rPr>
        <w:t>The Company has reserved for future issuances the following shares of common stock as of December 31, 2019:</w:t>
      </w:r>
    </w:p>
    <w:p>
      <w:pPr>
        <w:sectPr>
          <w:pgSz w:w="11900" w:h="16838" w:orient="portrait"/>
          <w:cols w:equalWidth="0" w:num="1">
            <w:col w:w="10700"/>
          </w:cols>
          <w:pgMar w:left="320" w:top="438" w:right="87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Series A-1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-100965</wp:posOffset>
            </wp:positionV>
            <wp:extent cx="3602990" cy="1276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02990" cy="127635"/>
                    </a:xfrm>
                    <a:prstGeom prst="rect">
                      <a:avLst/>
                    </a:prstGeom>
                    <a:noFill/>
                  </pic:spPr>
                </pic:pic>
              </a:graphicData>
            </a:graphic>
          </wp:anchor>
        </w:drawing>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Series A-2 Preferred Stock</w:t>
      </w:r>
    </w:p>
    <w:p>
      <w:pPr>
        <w:spacing w:after="0" w:line="28"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Series A-3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-108585</wp:posOffset>
            </wp:positionV>
            <wp:extent cx="3602990" cy="1276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02990" cy="12763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Series A-4 Preferred Stock</w:t>
      </w:r>
    </w:p>
    <w:p>
      <w:pPr>
        <w:spacing w:after="0" w:line="28"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-116205</wp:posOffset>
            </wp:positionV>
            <wp:extent cx="3602990" cy="1276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02990" cy="12763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17"/>
          <w:szCs w:val="17"/>
          <w:color w:val="auto"/>
        </w:rPr>
        <w:t>Stock options</w:t>
      </w:r>
    </w:p>
    <w:p>
      <w:pPr>
        <w:spacing w:after="0" w:line="18"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-115570</wp:posOffset>
            </wp:positionV>
            <wp:extent cx="3602990" cy="1276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602990" cy="12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280"/>
        <w:spacing w:after="0"/>
        <w:rPr>
          <w:sz w:val="20"/>
          <w:szCs w:val="20"/>
          <w:color w:val="auto"/>
        </w:rPr>
      </w:pPr>
      <w:r>
        <w:rPr>
          <w:rFonts w:ascii="Arial" w:cs="Arial" w:eastAsia="Arial" w:hAnsi="Arial"/>
          <w:sz w:val="13"/>
          <w:szCs w:val="13"/>
          <w:b w:val="1"/>
          <w:bCs w:val="1"/>
          <w:color w:val="auto"/>
        </w:rPr>
        <w:t>As of</w:t>
      </w:r>
    </w:p>
    <w:p>
      <w:pPr>
        <w:spacing w:after="0" w:line="3" w:lineRule="exact"/>
        <w:rPr>
          <w:sz w:val="20"/>
          <w:szCs w:val="20"/>
          <w:color w:val="auto"/>
        </w:rPr>
      </w:pPr>
    </w:p>
    <w:p>
      <w:pPr>
        <w:jc w:val="center"/>
        <w:ind w:right="2280"/>
        <w:spacing w:after="0"/>
        <w:rPr>
          <w:sz w:val="20"/>
          <w:szCs w:val="20"/>
          <w:color w:val="auto"/>
        </w:rPr>
      </w:pPr>
      <w:r>
        <w:rPr>
          <w:rFonts w:ascii="Arial" w:cs="Arial" w:eastAsia="Arial" w:hAnsi="Arial"/>
          <w:sz w:val="11"/>
          <w:szCs w:val="11"/>
          <w:b w:val="1"/>
          <w:bCs w:val="1"/>
          <w:u w:val="single" w:color="auto"/>
          <w:color w:val="auto"/>
        </w:rPr>
        <w:t>December 31, 2019</w:t>
      </w:r>
    </w:p>
    <w:p>
      <w:pPr>
        <w:spacing w:after="0" w:line="32"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986,466</w:t>
      </w:r>
    </w:p>
    <w:p>
      <w:pPr>
        <w:spacing w:after="0" w:line="4"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773,712</w:t>
      </w:r>
    </w:p>
    <w:p>
      <w:pPr>
        <w:spacing w:after="0" w:line="5"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872,031</w:t>
      </w:r>
    </w:p>
    <w:p>
      <w:pPr>
        <w:spacing w:after="0" w:line="5"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579,993</w:t>
      </w:r>
    </w:p>
    <w:p>
      <w:pPr>
        <w:spacing w:after="0" w:line="5"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2,852,177</w:t>
      </w:r>
    </w:p>
    <w:p>
      <w:pPr>
        <w:spacing w:after="0" w:line="5"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1,176,657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858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5"/>
          <w:szCs w:val="15"/>
          <w:color w:val="auto"/>
        </w:rPr>
        <w:t>7,241,036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858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6858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620" w:space="720"/>
            <w:col w:w="3360"/>
          </w:cols>
          <w:pgMar w:left="320" w:top="438" w:right="879" w:bottom="1440" w:gutter="0" w:footer="0" w:header="0"/>
          <w:type w:val="continuous"/>
        </w:sectPr>
      </w:pPr>
    </w:p>
    <w:p>
      <w:pPr>
        <w:spacing w:after="0" w:line="5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8. Stock-Based Compensation Expense</w:t>
      </w:r>
    </w:p>
    <w:p>
      <w:pPr>
        <w:spacing w:after="0" w:line="210" w:lineRule="exact"/>
        <w:rPr>
          <w:sz w:val="20"/>
          <w:szCs w:val="20"/>
          <w:color w:val="auto"/>
        </w:rPr>
      </w:pPr>
    </w:p>
    <w:p>
      <w:pPr>
        <w:ind w:left="500" w:right="60" w:firstLine="819"/>
        <w:spacing w:after="0" w:line="251" w:lineRule="auto"/>
        <w:rPr>
          <w:sz w:val="20"/>
          <w:szCs w:val="20"/>
          <w:color w:val="auto"/>
        </w:rPr>
      </w:pPr>
      <w:r>
        <w:rPr>
          <w:rFonts w:ascii="Arial" w:cs="Arial" w:eastAsia="Arial" w:hAnsi="Arial"/>
          <w:sz w:val="17"/>
          <w:szCs w:val="17"/>
          <w:color w:val="auto"/>
        </w:rPr>
        <w:t>The Company adopted the 2016 Equity Incentive Plan (“2016 Plan”) in February 2016. Upon adoption of the 2016 Plan, no further grants were made under the 2005 Equity Incentive Plan (“2005 Plan”, together with the 2016 Plan, the “Plans”). The 2016 Plan initially provided for the grant of awards for 130,499 shares of common stock. In June 2017, the Company amended the 2016 Plan to provide for the grant of awards for a total of 411,797 shares of common stock. In June 2018, the Company amended the 2016 Plan to provide for the grant of awards for a total of 1,020,792 shares of common stock.</w:t>
      </w:r>
    </w:p>
    <w:p>
      <w:pPr>
        <w:spacing w:after="0" w:line="183" w:lineRule="exact"/>
        <w:rPr>
          <w:sz w:val="20"/>
          <w:szCs w:val="20"/>
          <w:color w:val="auto"/>
        </w:rPr>
      </w:pPr>
    </w:p>
    <w:p>
      <w:pPr>
        <w:jc w:val="both"/>
        <w:ind w:left="500" w:right="80" w:firstLine="819"/>
        <w:spacing w:after="0" w:line="257" w:lineRule="auto"/>
        <w:rPr>
          <w:sz w:val="20"/>
          <w:szCs w:val="20"/>
          <w:color w:val="auto"/>
        </w:rPr>
      </w:pPr>
      <w:r>
        <w:rPr>
          <w:rFonts w:ascii="Arial" w:cs="Arial" w:eastAsia="Arial" w:hAnsi="Arial"/>
          <w:sz w:val="17"/>
          <w:szCs w:val="17"/>
          <w:color w:val="auto"/>
        </w:rPr>
        <w:t>All of the Company’s employees, officers, directors, consultants and advisors are eligible to be granted options, restricted stock, restricted stock units, and other share-based awards under the terms of the 2016 Plan. As of December 31, 2019, 384,218 shares of common stock were available for future grant under the 2016 Plan.</w:t>
      </w:r>
    </w:p>
    <w:p>
      <w:pPr>
        <w:spacing w:after="0" w:line="175" w:lineRule="exact"/>
        <w:rPr>
          <w:sz w:val="20"/>
          <w:szCs w:val="20"/>
          <w:color w:val="auto"/>
        </w:rPr>
      </w:pPr>
    </w:p>
    <w:p>
      <w:pPr>
        <w:ind w:left="500" w:firstLine="819"/>
        <w:spacing w:after="0" w:line="269" w:lineRule="auto"/>
        <w:rPr>
          <w:sz w:val="20"/>
          <w:szCs w:val="20"/>
          <w:color w:val="auto"/>
        </w:rPr>
      </w:pPr>
      <w:r>
        <w:rPr>
          <w:rFonts w:ascii="Arial" w:cs="Arial" w:eastAsia="Arial" w:hAnsi="Arial"/>
          <w:sz w:val="16"/>
          <w:szCs w:val="16"/>
          <w:color w:val="auto"/>
        </w:rPr>
        <w:t>All stock option grants are non-statutory stock options except option grants to employees and officers intended to qualify as incentive stock options under the Internal Revenue Code of 1986, as amended. Stock options may not be granted at less than the fair market value of the Company’s common stock on the date of grant. Vesting periods of awards are determined by the Board of Directors. Vesting periods of awards granted to date range from vesting upon grant to vesting over a four-year period. Vesting conditions are generally based on service provisions, whereby the awards vest over time. Additionally, the Company has granted certain awards which vest upon the achievement of certain financing and revenue milestones. Stock options granted under the Plans expire no more than 10 years from the date of grant.</w:t>
      </w:r>
    </w:p>
    <w:p>
      <w:pPr>
        <w:spacing w:after="0" w:line="16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Stock-based compensation expense included in the Company’s statements of operations and comprehensive loss is as follows (in</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thousands):</w:t>
      </w:r>
    </w:p>
    <w:p>
      <w:pPr>
        <w:spacing w:after="0" w:line="211" w:lineRule="exact"/>
        <w:rPr>
          <w:sz w:val="20"/>
          <w:szCs w:val="20"/>
          <w:color w:val="auto"/>
        </w:rPr>
      </w:pPr>
    </w:p>
    <w:tbl>
      <w:tblPr>
        <w:tblLayout w:type="fixed"/>
        <w:tblInd w:w="2780" w:type="dxa"/>
        <w:tblCellMar>
          <w:top w:w="0" w:type="dxa"/>
          <w:left w:w="0" w:type="dxa"/>
          <w:bottom w:w="0" w:type="dxa"/>
          <w:right w:w="0" w:type="dxa"/>
        </w:tblCellMar>
      </w:tblPr>
      <w:tr>
        <w:trPr>
          <w:trHeight w:val="15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8"/>
          </w:tcPr>
          <w:p>
            <w:pPr>
              <w:ind w:left="180"/>
              <w:spacing w:after="0"/>
              <w:rPr>
                <w:sz w:val="20"/>
                <w:szCs w:val="20"/>
                <w:color w:val="auto"/>
              </w:rPr>
            </w:pPr>
            <w:r>
              <w:rPr>
                <w:rFonts w:ascii="Arial" w:cs="Arial" w:eastAsia="Arial" w:hAnsi="Arial"/>
                <w:sz w:val="13"/>
                <w:szCs w:val="13"/>
                <w:b w:val="1"/>
                <w:bCs w:val="1"/>
                <w:color w:val="auto"/>
              </w:rPr>
              <w:t>Years Ended December 31,</w:t>
            </w:r>
          </w:p>
        </w:tc>
      </w:tr>
      <w:tr>
        <w:trPr>
          <w:trHeight w:val="158"/>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3"/>
        </w:trPr>
        <w:tc>
          <w:tcPr>
            <w:tcW w:w="35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26</w:t>
            </w:r>
          </w:p>
        </w:tc>
        <w:tc>
          <w:tcPr>
            <w:tcW w:w="4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6"/>
                <w:szCs w:val="16"/>
                <w:color w:val="auto"/>
              </w:rPr>
            </w:pPr>
          </w:p>
        </w:tc>
      </w:tr>
      <w:tr>
        <w:trPr>
          <w:trHeight w:val="201"/>
        </w:trPr>
        <w:tc>
          <w:tcPr>
            <w:tcW w:w="35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7"/>
                <w:szCs w:val="17"/>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7"/>
                <w:szCs w:val="17"/>
                <w:color w:val="auto"/>
              </w:rPr>
              <w:t>218</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385</w:t>
            </w:r>
          </w:p>
        </w:tc>
      </w:tr>
      <w:tr>
        <w:trPr>
          <w:trHeight w:val="25"/>
        </w:trPr>
        <w:tc>
          <w:tcPr>
            <w:tcW w:w="3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3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244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406</w:t>
            </w: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500" w:right="60" w:firstLine="819"/>
        <w:spacing w:after="0" w:line="257" w:lineRule="auto"/>
        <w:rPr>
          <w:sz w:val="20"/>
          <w:szCs w:val="20"/>
          <w:color w:val="auto"/>
        </w:rPr>
      </w:pPr>
      <w:r>
        <w:rPr>
          <w:rFonts w:ascii="Arial" w:cs="Arial" w:eastAsia="Arial" w:hAnsi="Arial"/>
          <w:sz w:val="17"/>
          <w:szCs w:val="17"/>
          <w:color w:val="auto"/>
        </w:rPr>
        <w:t>In the year ended December 31, 2018, the Company recorded approximately $36,000 of stock-based compensation for the award related to the achievement of a financial-based milestone. The Company did not record any stock-based compensation associated with milestone-based awards in the year ended December 31, 2019.</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700"/>
          </w:cols>
          <w:pgMar w:left="320" w:top="438" w:right="879" w:bottom="1440" w:gutter="0" w:footer="0" w:header="0"/>
          <w:type w:val="continuous"/>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fair value of each stock option granted to employees, directors and non-employees was estimated on the date of grant using the Black-</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Scholes option-pricing model, with the following weighted-average assumptions:</w:t>
      </w:r>
    </w:p>
    <w:p>
      <w:pPr>
        <w:spacing w:after="0" w:line="211" w:lineRule="exact"/>
        <w:rPr>
          <w:sz w:val="20"/>
          <w:szCs w:val="20"/>
          <w:color w:val="auto"/>
        </w:rPr>
      </w:pPr>
    </w:p>
    <w:tbl>
      <w:tblPr>
        <w:tblLayout w:type="fixed"/>
        <w:tblInd w:w="2780" w:type="dxa"/>
        <w:tblCellMar>
          <w:top w:w="0" w:type="dxa"/>
          <w:left w:w="0" w:type="dxa"/>
          <w:bottom w:w="0" w:type="dxa"/>
          <w:right w:w="0" w:type="dxa"/>
        </w:tblCellMar>
      </w:tblPr>
      <w:tr>
        <w:trPr>
          <w:trHeight w:val="158"/>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2"/>
              </w:rPr>
              <w:t>Years Ended December 31,</w:t>
            </w:r>
          </w:p>
        </w:tc>
        <w:tc>
          <w:tcPr>
            <w:tcW w:w="480" w:type="dxa"/>
            <w:vAlign w:val="bottom"/>
            <w:gridSpan w:val="2"/>
          </w:tcPr>
          <w:p>
            <w:pPr>
              <w:spacing w:after="0"/>
              <w:rPr>
                <w:sz w:val="13"/>
                <w:szCs w:val="13"/>
                <w:color w:val="auto"/>
              </w:rPr>
            </w:pPr>
          </w:p>
        </w:tc>
      </w:tr>
      <w:tr>
        <w:trPr>
          <w:trHeight w:val="131"/>
        </w:trPr>
        <w:tc>
          <w:tcPr>
            <w:tcW w:w="3440" w:type="dxa"/>
            <w:vAlign w:val="bottom"/>
          </w:tcPr>
          <w:p>
            <w:pPr>
              <w:spacing w:after="0"/>
              <w:rPr>
                <w:sz w:val="11"/>
                <w:szCs w:val="11"/>
                <w:color w:val="auto"/>
              </w:rPr>
            </w:pPr>
          </w:p>
        </w:tc>
        <w:tc>
          <w:tcPr>
            <w:tcW w:w="340" w:type="dxa"/>
            <w:vAlign w:val="bottom"/>
            <w:tcBorders>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6"/>
              </w:rPr>
              <w:t>2019</w:t>
            </w:r>
          </w:p>
        </w:tc>
        <w:tc>
          <w:tcPr>
            <w:tcW w:w="1240" w:type="dxa"/>
            <w:vAlign w:val="bottom"/>
          </w:tcPr>
          <w:p>
            <w:pPr>
              <w:spacing w:after="0"/>
              <w:rPr>
                <w:sz w:val="11"/>
                <w:szCs w:val="11"/>
                <w:color w:val="auto"/>
              </w:rPr>
            </w:pPr>
          </w:p>
        </w:tc>
        <w:tc>
          <w:tcPr>
            <w:tcW w:w="340" w:type="dxa"/>
            <w:vAlign w:val="bottom"/>
            <w:tcBorders>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6"/>
              </w:rPr>
              <w:t>2018</w:t>
            </w:r>
          </w:p>
        </w:tc>
        <w:tc>
          <w:tcPr>
            <w:tcW w:w="320" w:type="dxa"/>
            <w:vAlign w:val="bottom"/>
          </w:tcPr>
          <w:p>
            <w:pPr>
              <w:spacing w:after="0"/>
              <w:rPr>
                <w:sz w:val="11"/>
                <w:szCs w:val="11"/>
                <w:color w:val="auto"/>
              </w:rPr>
            </w:pPr>
          </w:p>
        </w:tc>
      </w:tr>
      <w:tr>
        <w:trPr>
          <w:trHeight w:val="193"/>
        </w:trPr>
        <w:tc>
          <w:tcPr>
            <w:tcW w:w="34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1580" w:type="dxa"/>
            <w:vAlign w:val="bottom"/>
            <w:gridSpan w:val="3"/>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2.2%</w:t>
            </w:r>
          </w:p>
        </w:tc>
        <w:tc>
          <w:tcPr>
            <w:tcW w:w="66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3.1%</w:t>
            </w:r>
          </w:p>
        </w:tc>
      </w:tr>
      <w:tr>
        <w:trPr>
          <w:trHeight w:val="201"/>
        </w:trPr>
        <w:tc>
          <w:tcPr>
            <w:tcW w:w="34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00" w:type="dxa"/>
            <w:vAlign w:val="bottom"/>
          </w:tcPr>
          <w:p>
            <w:pPr>
              <w:spacing w:after="0"/>
              <w:rPr>
                <w:sz w:val="17"/>
                <w:szCs w:val="17"/>
                <w:color w:val="auto"/>
              </w:rPr>
            </w:pPr>
          </w:p>
        </w:tc>
        <w:tc>
          <w:tcPr>
            <w:tcW w:w="1380" w:type="dxa"/>
            <w:vAlign w:val="bottom"/>
            <w:gridSpan w:val="2"/>
          </w:tcPr>
          <w:p>
            <w:pPr>
              <w:jc w:val="right"/>
              <w:ind w:right="98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 %</w:t>
            </w: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58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6.1</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6.1</w:t>
            </w:r>
          </w:p>
        </w:tc>
      </w:tr>
      <w:tr>
        <w:trPr>
          <w:trHeight w:val="213"/>
        </w:trPr>
        <w:tc>
          <w:tcPr>
            <w:tcW w:w="3440" w:type="dxa"/>
            <w:vAlign w:val="bottom"/>
          </w:tcPr>
          <w:p>
            <w:pPr>
              <w:spacing w:after="0"/>
              <w:rPr>
                <w:sz w:val="20"/>
                <w:szCs w:val="20"/>
                <w:color w:val="auto"/>
              </w:rPr>
            </w:pPr>
            <w:r>
              <w:rPr>
                <w:rFonts w:ascii="Arial" w:cs="Arial" w:eastAsia="Arial" w:hAnsi="Arial"/>
                <w:sz w:val="17"/>
                <w:szCs w:val="17"/>
                <w:color w:val="auto"/>
              </w:rPr>
              <w:t>Expected volatility</w:t>
            </w:r>
          </w:p>
        </w:tc>
        <w:tc>
          <w:tcPr>
            <w:tcW w:w="1580" w:type="dxa"/>
            <w:vAlign w:val="bottom"/>
            <w:gridSpan w:val="3"/>
          </w:tcPr>
          <w:p>
            <w:pPr>
              <w:jc w:val="right"/>
              <w:ind w:right="980"/>
              <w:spacing w:after="0"/>
              <w:rPr>
                <w:sz w:val="20"/>
                <w:szCs w:val="20"/>
                <w:color w:val="auto"/>
              </w:rPr>
            </w:pPr>
            <w:r>
              <w:rPr>
                <w:rFonts w:ascii="Arial" w:cs="Arial" w:eastAsia="Arial" w:hAnsi="Arial"/>
                <w:sz w:val="17"/>
                <w:szCs w:val="17"/>
                <w:color w:val="auto"/>
              </w:rPr>
              <w:t>76.8%</w:t>
            </w: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80.7%</w:t>
            </w:r>
          </w:p>
        </w:tc>
      </w:tr>
    </w:tbl>
    <w:p>
      <w:pPr>
        <w:spacing w:after="0" w:line="17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 summary of the stock option activity under the Plans for the year ended December 31, 2019 is as follows:</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Weighted-</w:t>
            </w:r>
          </w:p>
        </w:tc>
        <w:tc>
          <w:tcPr>
            <w:tcW w:w="340" w:type="dxa"/>
            <w:vAlign w:val="bottom"/>
          </w:tcPr>
          <w:p>
            <w:pPr>
              <w:spacing w:after="0"/>
              <w:rPr>
                <w:sz w:val="12"/>
                <w:szCs w:val="12"/>
                <w:color w:val="auto"/>
              </w:rPr>
            </w:pPr>
          </w:p>
        </w:tc>
        <w:tc>
          <w:tcPr>
            <w:tcW w:w="8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89"/>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2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3"/>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center"/>
              <w:ind w:right="240"/>
              <w:spacing w:after="0" w:line="138" w:lineRule="exact"/>
              <w:rPr>
                <w:sz w:val="20"/>
                <w:szCs w:val="20"/>
                <w:color w:val="auto"/>
              </w:rPr>
            </w:pPr>
            <w:r>
              <w:rPr>
                <w:rFonts w:ascii="Arial" w:cs="Arial" w:eastAsia="Arial" w:hAnsi="Arial"/>
                <w:sz w:val="13"/>
                <w:szCs w:val="13"/>
                <w:b w:val="1"/>
                <w:bCs w:val="1"/>
                <w:color w:val="auto"/>
                <w:w w:val="93"/>
              </w:rPr>
              <w:t>Average</w:t>
            </w:r>
          </w:p>
        </w:tc>
        <w:tc>
          <w:tcPr>
            <w:tcW w:w="122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6"/>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2"/>
                <w:szCs w:val="12"/>
                <w:color w:val="auto"/>
              </w:rPr>
            </w:pPr>
          </w:p>
        </w:tc>
        <w:tc>
          <w:tcPr>
            <w:tcW w:w="1140" w:type="dxa"/>
            <w:vAlign w:val="bottom"/>
            <w:gridSpan w:val="4"/>
            <w:vMerge w:val="restart"/>
          </w:tcPr>
          <w:p>
            <w:pPr>
              <w:jc w:val="right"/>
              <w:ind w:right="64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3"/>
          </w:tcPr>
          <w:p>
            <w:pPr>
              <w:jc w:val="center"/>
              <w:ind w:right="240"/>
              <w:spacing w:after="0" w:line="138" w:lineRule="exact"/>
              <w:rPr>
                <w:sz w:val="20"/>
                <w:szCs w:val="20"/>
                <w:color w:val="auto"/>
              </w:rPr>
            </w:pPr>
            <w:r>
              <w:rPr>
                <w:rFonts w:ascii="Arial" w:cs="Arial" w:eastAsia="Arial" w:hAnsi="Arial"/>
                <w:sz w:val="13"/>
                <w:szCs w:val="13"/>
                <w:b w:val="1"/>
                <w:bCs w:val="1"/>
                <w:color w:val="auto"/>
                <w:w w:val="89"/>
              </w:rPr>
              <w:t>Exercise</w:t>
            </w:r>
          </w:p>
        </w:tc>
        <w:tc>
          <w:tcPr>
            <w:tcW w:w="340" w:type="dxa"/>
            <w:vAlign w:val="bottom"/>
          </w:tcPr>
          <w:p>
            <w:pPr>
              <w:spacing w:after="0"/>
              <w:rPr>
                <w:sz w:val="12"/>
                <w:szCs w:val="12"/>
                <w:color w:val="auto"/>
              </w:rPr>
            </w:pPr>
          </w:p>
        </w:tc>
        <w:tc>
          <w:tcPr>
            <w:tcW w:w="8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4"/>
              </w:rPr>
              <w:t>Life</w:t>
            </w:r>
          </w:p>
        </w:tc>
        <w:tc>
          <w:tcPr>
            <w:tcW w:w="1140" w:type="dxa"/>
            <w:vAlign w:val="bottom"/>
            <w:gridSpan w:val="4"/>
          </w:tcPr>
          <w:p>
            <w:pPr>
              <w:ind w:left="240"/>
              <w:spacing w:after="0" w:line="138" w:lineRule="exact"/>
              <w:rPr>
                <w:sz w:val="20"/>
                <w:szCs w:val="20"/>
                <w:color w:val="auto"/>
              </w:rPr>
            </w:pPr>
            <w:r>
              <w:rPr>
                <w:rFonts w:ascii="Arial" w:cs="Arial" w:eastAsia="Arial" w:hAnsi="Arial"/>
                <w:sz w:val="13"/>
                <w:szCs w:val="13"/>
                <w:b w:val="1"/>
                <w:bCs w:val="1"/>
                <w:color w:val="auto"/>
                <w:w w:val="98"/>
              </w:rPr>
              <w:t>Intrinsic Value</w:t>
            </w:r>
          </w:p>
        </w:tc>
        <w:tc>
          <w:tcPr>
            <w:tcW w:w="0" w:type="dxa"/>
            <w:vAlign w:val="bottom"/>
          </w:tcPr>
          <w:p>
            <w:pPr>
              <w:spacing w:after="0"/>
              <w:rPr>
                <w:sz w:val="1"/>
                <w:szCs w:val="1"/>
                <w:color w:val="auto"/>
              </w:rPr>
            </w:pPr>
          </w:p>
        </w:tc>
      </w:tr>
      <w:tr>
        <w:trPr>
          <w:trHeight w:val="158"/>
        </w:trPr>
        <w:tc>
          <w:tcPr>
            <w:tcW w:w="590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Price</w:t>
            </w:r>
          </w:p>
        </w:tc>
        <w:tc>
          <w:tcPr>
            <w:tcW w:w="12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years)</w:t>
            </w:r>
          </w:p>
        </w:tc>
        <w:tc>
          <w:tcPr>
            <w:tcW w:w="1140" w:type="dxa"/>
            <w:vAlign w:val="bottom"/>
            <w:gridSpan w:val="4"/>
          </w:tcPr>
          <w:p>
            <w:pPr>
              <w:ind w:left="260"/>
              <w:spacing w:after="0"/>
              <w:rPr>
                <w:sz w:val="20"/>
                <w:szCs w:val="20"/>
                <w:color w:val="auto"/>
              </w:rPr>
            </w:pPr>
            <w:r>
              <w:rPr>
                <w:rFonts w:ascii="Arial" w:cs="Arial" w:eastAsia="Arial" w:hAnsi="Arial"/>
                <w:sz w:val="13"/>
                <w:szCs w:val="13"/>
                <w:b w:val="1"/>
                <w:bCs w:val="1"/>
                <w:color w:val="auto"/>
                <w:w w:val="95"/>
              </w:rPr>
              <w:t>(in thousands)</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December 31, 2018</w:t>
            </w:r>
          </w:p>
        </w:tc>
        <w:tc>
          <w:tcPr>
            <w:tcW w:w="114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w w:val="94"/>
              </w:rPr>
              <w:t>553,741</w:t>
            </w:r>
          </w:p>
        </w:tc>
        <w:tc>
          <w:tcPr>
            <w:tcW w:w="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7.89</w:t>
            </w:r>
          </w:p>
        </w:tc>
        <w:tc>
          <w:tcPr>
            <w:tcW w:w="1220" w:type="dxa"/>
            <w:vAlign w:val="bottom"/>
            <w:gridSpan w:val="3"/>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6.2</w:t>
            </w:r>
          </w:p>
        </w:tc>
        <w:tc>
          <w:tcPr>
            <w:tcW w:w="360" w:type="dxa"/>
            <w:vAlign w:val="bottom"/>
            <w:gridSpan w:val="2"/>
            <w:shd w:val="clear" w:color="auto" w:fill="CCEEFF"/>
          </w:tcPr>
          <w:p>
            <w:pPr>
              <w:ind w:left="240"/>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7"/>
                <w:szCs w:val="17"/>
                <w:color w:val="auto"/>
              </w:rPr>
              <w:t>Granted</w:t>
            </w:r>
          </w:p>
        </w:tc>
        <w:tc>
          <w:tcPr>
            <w:tcW w:w="1140" w:type="dxa"/>
            <w:vAlign w:val="bottom"/>
            <w:gridSpan w:val="4"/>
          </w:tcPr>
          <w:p>
            <w:pPr>
              <w:jc w:val="right"/>
              <w:ind w:right="540"/>
              <w:spacing w:after="0"/>
              <w:rPr>
                <w:sz w:val="20"/>
                <w:szCs w:val="20"/>
                <w:color w:val="auto"/>
              </w:rPr>
            </w:pPr>
            <w:r>
              <w:rPr>
                <w:rFonts w:ascii="Arial" w:cs="Arial" w:eastAsia="Arial" w:hAnsi="Arial"/>
                <w:sz w:val="17"/>
                <w:szCs w:val="17"/>
                <w:color w:val="auto"/>
                <w:w w:val="94"/>
              </w:rPr>
              <w:t>310,597</w:t>
            </w:r>
          </w:p>
        </w:tc>
        <w:tc>
          <w:tcPr>
            <w:tcW w:w="1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3.47</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140" w:type="dxa"/>
            <w:vAlign w:val="bottom"/>
            <w:gridSpan w:val="4"/>
            <w:shd w:val="clear" w:color="auto" w:fill="CCEEFF"/>
          </w:tcPr>
          <w:p>
            <w:pPr>
              <w:jc w:val="right"/>
              <w:ind w:right="480"/>
              <w:spacing w:after="0"/>
              <w:rPr>
                <w:sz w:val="20"/>
                <w:szCs w:val="20"/>
                <w:color w:val="auto"/>
              </w:rPr>
            </w:pPr>
            <w:r>
              <w:rPr>
                <w:rFonts w:ascii="Arial" w:cs="Arial" w:eastAsia="Arial" w:hAnsi="Arial"/>
                <w:sz w:val="17"/>
                <w:szCs w:val="17"/>
                <w:color w:val="auto"/>
              </w:rPr>
              <w:t>(60,704)</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1.84</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7"/>
                <w:szCs w:val="17"/>
                <w:color w:val="auto"/>
              </w:rPr>
              <w:t>Cancelled</w:t>
            </w:r>
          </w:p>
        </w:tc>
        <w:tc>
          <w:tcPr>
            <w:tcW w:w="1140" w:type="dxa"/>
            <w:vAlign w:val="bottom"/>
            <w:gridSpan w:val="4"/>
          </w:tcPr>
          <w:p>
            <w:pPr>
              <w:jc w:val="right"/>
              <w:ind w:right="480"/>
              <w:spacing w:after="0"/>
              <w:rPr>
                <w:sz w:val="20"/>
                <w:szCs w:val="20"/>
                <w:color w:val="auto"/>
              </w:rPr>
            </w:pPr>
            <w:r>
              <w:rPr>
                <w:rFonts w:ascii="Arial" w:cs="Arial" w:eastAsia="Arial" w:hAnsi="Arial"/>
                <w:sz w:val="17"/>
                <w:szCs w:val="17"/>
                <w:color w:val="auto"/>
              </w:rPr>
              <w:t>(11,195)</w:t>
            </w:r>
          </w:p>
        </w:tc>
        <w:tc>
          <w:tcPr>
            <w:tcW w:w="1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10.12</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2019</w:t>
            </w:r>
          </w:p>
        </w:tc>
        <w:tc>
          <w:tcPr>
            <w:tcW w:w="1140" w:type="dxa"/>
            <w:vAlign w:val="bottom"/>
            <w:gridSpan w:val="4"/>
            <w:shd w:val="clear" w:color="auto" w:fill="CCEEFF"/>
          </w:tcPr>
          <w:p>
            <w:pPr>
              <w:jc w:val="right"/>
              <w:ind w:right="540"/>
              <w:spacing w:after="0"/>
              <w:rPr>
                <w:sz w:val="20"/>
                <w:szCs w:val="20"/>
                <w:color w:val="auto"/>
              </w:rPr>
            </w:pPr>
            <w:r>
              <w:rPr>
                <w:rFonts w:ascii="Arial" w:cs="Arial" w:eastAsia="Arial" w:hAnsi="Arial"/>
                <w:sz w:val="17"/>
                <w:szCs w:val="17"/>
                <w:color w:val="auto"/>
                <w:w w:val="94"/>
              </w:rPr>
              <w:t>792,439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6.59</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3,363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color w:val="auto"/>
              </w:rPr>
              <w:t>Exercisable at December 31, 2019</w:t>
            </w:r>
          </w:p>
        </w:tc>
        <w:tc>
          <w:tcPr>
            <w:tcW w:w="60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9.84</w:t>
            </w: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7"/>
                <w:szCs w:val="17"/>
                <w:color w:val="auto"/>
              </w:rPr>
              <w:t>5.7</w:t>
            </w:r>
          </w:p>
        </w:tc>
        <w:tc>
          <w:tcPr>
            <w:tcW w:w="36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1,254</w:t>
            </w:r>
          </w:p>
        </w:tc>
        <w:tc>
          <w:tcPr>
            <w:tcW w:w="0" w:type="dxa"/>
            <w:vAlign w:val="bottom"/>
          </w:tcPr>
          <w:p>
            <w:pPr>
              <w:spacing w:after="0" w:line="20" w:lineRule="exact"/>
              <w:rPr>
                <w:sz w:val="1"/>
                <w:szCs w:val="1"/>
                <w:color w:val="auto"/>
              </w:rPr>
            </w:pPr>
          </w:p>
        </w:tc>
      </w:tr>
      <w:tr>
        <w:trPr>
          <w:trHeight w:val="206"/>
        </w:trPr>
        <w:tc>
          <w:tcPr>
            <w:tcW w:w="5900" w:type="dxa"/>
            <w:vAlign w:val="bottom"/>
            <w:vMerge w:val="continue"/>
          </w:tcPr>
          <w:p>
            <w:pPr>
              <w:spacing w:after="0"/>
              <w:rPr>
                <w:sz w:val="17"/>
                <w:szCs w:val="17"/>
                <w:color w:val="auto"/>
              </w:rPr>
            </w:pPr>
          </w:p>
        </w:tc>
        <w:tc>
          <w:tcPr>
            <w:tcW w:w="1140" w:type="dxa"/>
            <w:vAlign w:val="bottom"/>
            <w:gridSpan w:val="4"/>
          </w:tcPr>
          <w:p>
            <w:pPr>
              <w:jc w:val="right"/>
              <w:ind w:right="540"/>
              <w:spacing w:after="0"/>
              <w:rPr>
                <w:sz w:val="20"/>
                <w:szCs w:val="20"/>
                <w:color w:val="auto"/>
              </w:rPr>
            </w:pPr>
            <w:r>
              <w:rPr>
                <w:rFonts w:ascii="Arial" w:cs="Arial" w:eastAsia="Arial" w:hAnsi="Arial"/>
                <w:sz w:val="17"/>
                <w:szCs w:val="17"/>
                <w:color w:val="auto"/>
                <w:w w:val="94"/>
              </w:rPr>
              <w:t>409,563</w:t>
            </w:r>
          </w:p>
        </w:tc>
        <w:tc>
          <w:tcPr>
            <w:tcW w:w="12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Vested and expected to vest at December 31, 2019</w:t>
            </w:r>
          </w:p>
        </w:tc>
        <w:tc>
          <w:tcPr>
            <w:tcW w:w="1140" w:type="dxa"/>
            <w:vAlign w:val="bottom"/>
            <w:gridSpan w:val="4"/>
            <w:shd w:val="clear" w:color="auto" w:fill="CCEEFF"/>
          </w:tcPr>
          <w:p>
            <w:pPr>
              <w:jc w:val="right"/>
              <w:ind w:right="540"/>
              <w:spacing w:after="0" w:line="191" w:lineRule="exact"/>
              <w:rPr>
                <w:sz w:val="20"/>
                <w:szCs w:val="20"/>
                <w:color w:val="auto"/>
              </w:rPr>
            </w:pPr>
            <w:r>
              <w:rPr>
                <w:rFonts w:ascii="Arial" w:cs="Arial" w:eastAsia="Arial" w:hAnsi="Arial"/>
                <w:sz w:val="17"/>
                <w:szCs w:val="17"/>
                <w:color w:val="auto"/>
                <w:w w:val="94"/>
              </w:rPr>
              <w:t>792,439</w:t>
            </w:r>
          </w:p>
        </w:tc>
        <w:tc>
          <w:tcPr>
            <w:tcW w:w="12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line="191" w:lineRule="exact"/>
              <w:rPr>
                <w:sz w:val="20"/>
                <w:szCs w:val="20"/>
                <w:color w:val="auto"/>
              </w:rPr>
            </w:pPr>
            <w:r>
              <w:rPr>
                <w:rFonts w:ascii="Arial" w:cs="Arial" w:eastAsia="Arial" w:hAnsi="Arial"/>
                <w:sz w:val="17"/>
                <w:szCs w:val="17"/>
                <w:color w:val="auto"/>
              </w:rPr>
              <w:t>6.59</w:t>
            </w:r>
          </w:p>
        </w:tc>
        <w:tc>
          <w:tcPr>
            <w:tcW w:w="1220" w:type="dxa"/>
            <w:vAlign w:val="bottom"/>
            <w:gridSpan w:val="3"/>
            <w:shd w:val="clear" w:color="auto" w:fill="CCEEFF"/>
          </w:tcPr>
          <w:p>
            <w:pPr>
              <w:jc w:val="right"/>
              <w:ind w:right="260"/>
              <w:spacing w:after="0" w:line="191" w:lineRule="exact"/>
              <w:rPr>
                <w:sz w:val="20"/>
                <w:szCs w:val="20"/>
                <w:color w:val="auto"/>
              </w:rPr>
            </w:pPr>
            <w:r>
              <w:rPr>
                <w:rFonts w:ascii="Arial" w:cs="Arial" w:eastAsia="Arial" w:hAnsi="Arial"/>
                <w:sz w:val="17"/>
                <w:szCs w:val="17"/>
                <w:color w:val="auto"/>
              </w:rPr>
              <w:t>7.3</w:t>
            </w:r>
          </w:p>
        </w:tc>
        <w:tc>
          <w:tcPr>
            <w:tcW w:w="360" w:type="dxa"/>
            <w:vAlign w:val="bottom"/>
            <w:gridSpan w:val="2"/>
            <w:shd w:val="clear" w:color="auto" w:fill="CCEEFF"/>
          </w:tcPr>
          <w:p>
            <w:pPr>
              <w:ind w:left="240"/>
              <w:spacing w:after="0" w:line="191"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line="191" w:lineRule="exact"/>
              <w:rPr>
                <w:sz w:val="20"/>
                <w:szCs w:val="20"/>
                <w:color w:val="auto"/>
              </w:rPr>
            </w:pPr>
            <w:r>
              <w:rPr>
                <w:rFonts w:ascii="Arial" w:cs="Arial" w:eastAsia="Arial" w:hAnsi="Arial"/>
                <w:sz w:val="17"/>
                <w:szCs w:val="17"/>
                <w:color w:val="auto"/>
              </w:rPr>
              <w:t>3,363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280" w:firstLine="819"/>
        <w:spacing w:after="0" w:line="268" w:lineRule="auto"/>
        <w:rPr>
          <w:sz w:val="20"/>
          <w:szCs w:val="20"/>
          <w:color w:val="auto"/>
        </w:rPr>
      </w:pPr>
      <w:r>
        <w:rPr>
          <w:rFonts w:ascii="Arial" w:cs="Arial" w:eastAsia="Arial" w:hAnsi="Arial"/>
          <w:sz w:val="17"/>
          <w:szCs w:val="17"/>
          <w:color w:val="auto"/>
        </w:rPr>
        <w:t>The weighted-average fair value of options granted to employees and directors during the years ended December 31, 2019 and 2018 was $3.45 and $2.07, respectively.</w:t>
      </w:r>
    </w:p>
    <w:p>
      <w:pPr>
        <w:spacing w:after="0" w:line="166" w:lineRule="exact"/>
        <w:rPr>
          <w:sz w:val="20"/>
          <w:szCs w:val="20"/>
          <w:color w:val="auto"/>
        </w:rPr>
      </w:pPr>
    </w:p>
    <w:p>
      <w:pPr>
        <w:ind w:left="500" w:right="100" w:firstLine="819"/>
        <w:spacing w:after="0" w:line="274"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total intrinsic value of options exercised during the years ended December 31, 2019 and 2018 was approximately $0.2 million and $0, respectively. The Company satisfies stock option exercises with newly issued shares of its common stock.</w:t>
      </w:r>
    </w:p>
    <w:p>
      <w:pPr>
        <w:spacing w:after="0" w:line="164" w:lineRule="exact"/>
        <w:rPr>
          <w:sz w:val="20"/>
          <w:szCs w:val="20"/>
          <w:color w:val="auto"/>
        </w:rPr>
      </w:pPr>
    </w:p>
    <w:p>
      <w:pPr>
        <w:ind w:left="500" w:right="180" w:firstLine="819"/>
        <w:spacing w:after="0" w:line="250" w:lineRule="auto"/>
        <w:rPr>
          <w:sz w:val="20"/>
          <w:szCs w:val="20"/>
          <w:color w:val="auto"/>
        </w:rPr>
      </w:pPr>
      <w:r>
        <w:rPr>
          <w:rFonts w:ascii="Arial" w:cs="Arial" w:eastAsia="Arial" w:hAnsi="Arial"/>
          <w:sz w:val="17"/>
          <w:szCs w:val="17"/>
          <w:color w:val="auto"/>
        </w:rPr>
        <w:t>As of December 31, 2019, total unrecognized stock-based compensation expense relating to unvested stock options was approximately $1.0 million. This amount is expected to be recognized over a weighted-average period of 3.3 years. Additionally, as of December 31, 2019, there was approximately $36,000 of unrecognized stock-based compensation related to a stock option award related to the achievement of a revenue-based milestone. As the Company believes the achievement of the revenue-based milestone is currently not probable, it has not recorded any stock-based compensation related to this award. The Company will continue to assess the probability of achieving the revenue-based milestone at each reporting period.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9. Related Parties</w:t>
      </w:r>
    </w:p>
    <w:p>
      <w:pPr>
        <w:spacing w:after="0" w:line="210" w:lineRule="exact"/>
        <w:rPr>
          <w:sz w:val="20"/>
          <w:szCs w:val="20"/>
          <w:color w:val="auto"/>
        </w:rPr>
      </w:pPr>
    </w:p>
    <w:p>
      <w:pPr>
        <w:ind w:left="500" w:right="160" w:firstLine="819"/>
        <w:spacing w:after="0" w:line="299" w:lineRule="auto"/>
        <w:rPr>
          <w:sz w:val="20"/>
          <w:szCs w:val="20"/>
          <w:color w:val="auto"/>
        </w:rPr>
      </w:pPr>
      <w:r>
        <w:rPr>
          <w:rFonts w:ascii="Arial" w:cs="Arial" w:eastAsia="Arial" w:hAnsi="Arial"/>
          <w:sz w:val="16"/>
          <w:szCs w:val="16"/>
          <w:color w:val="auto"/>
        </w:rPr>
        <w:t>The Company has consulting agreements with two of its founders who are also directors of the Company. Total consulting expense related to these consulting agreements was approximately $50,000 in each of the years ended December 31, 2019 and 2018.</w:t>
      </w:r>
    </w:p>
    <w:p>
      <w:pPr>
        <w:spacing w:after="0" w:line="8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740"/>
          </w:cols>
          <w:pgMar w:left="320" w:top="437" w:right="83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The Company entered into a Contribution Agreement, Transition Services Agreement (as amended), Collaboration Agreement, Technology License Agreement and Trademark Coexistence Agreement with Arsenal Medical, Inc. (“Arsenal”), a company which shares certain common owners with the Company. During the years ended December 31, 2019 and 2018, the Company invoiced Arsenal for an aggregate of approximately $0.3 million and $1.0 million, respectively, primarily for its employee costs and its share of rent and other overhead costs. Additionally, during the year ended December 31, 2018, the Company invoiced Arsenal approximately $0.2 million for certain costs incurred in connection with Arsenal’s grants with the government. The Company has reflected these billed amounts as offsets against operating expenses in the accompanying consolidated statements of operations and comprehensive loss. Of these charges, approximately $0.7 million remained unpaid as of December 31, 2018 and are included in prepaid expenses and other current assets in the accompanying consolidated balance sheet. All amounts receivable from Arsenal were collected as of December 31, 2019.</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10. Income Taxes</w:t>
      </w:r>
    </w:p>
    <w:p>
      <w:pPr>
        <w:spacing w:after="0" w:line="210" w:lineRule="exact"/>
        <w:rPr>
          <w:sz w:val="20"/>
          <w:szCs w:val="20"/>
          <w:color w:val="auto"/>
        </w:rPr>
      </w:pPr>
    </w:p>
    <w:p>
      <w:pPr>
        <w:ind w:left="500" w:right="20" w:firstLine="819"/>
        <w:spacing w:after="0" w:line="253" w:lineRule="auto"/>
        <w:rPr>
          <w:sz w:val="20"/>
          <w:szCs w:val="20"/>
          <w:color w:val="auto"/>
        </w:rPr>
      </w:pPr>
      <w:r>
        <w:rPr>
          <w:rFonts w:ascii="Arial" w:cs="Arial" w:eastAsia="Arial" w:hAnsi="Arial"/>
          <w:sz w:val="17"/>
          <w:szCs w:val="17"/>
          <w:color w:val="auto"/>
        </w:rPr>
        <w:t>The Company records a provision or benefit for income taxes on pre-tax income or loss based on its estimated effective tax rate for the year. During the years ended December 31, 2019 and 2018, the Company recorded net losses of approximately $16.3 million and $6.0 million, respectively, and, since it maintains a full valuation allowance on its deferred tax assets, the Company did not record an income tax benefit for the years ended December 31, 2019 and 2018.</w:t>
      </w:r>
    </w:p>
    <w:p>
      <w:pPr>
        <w:spacing w:after="0" w:line="180" w:lineRule="exact"/>
        <w:rPr>
          <w:sz w:val="20"/>
          <w:szCs w:val="20"/>
          <w:color w:val="auto"/>
        </w:rPr>
      </w:pPr>
    </w:p>
    <w:p>
      <w:pPr>
        <w:ind w:left="500" w:right="440" w:firstLine="819"/>
        <w:spacing w:after="0" w:line="268" w:lineRule="auto"/>
        <w:rPr>
          <w:sz w:val="20"/>
          <w:szCs w:val="20"/>
          <w:color w:val="auto"/>
        </w:rPr>
      </w:pPr>
      <w:r>
        <w:rPr>
          <w:rFonts w:ascii="Arial" w:cs="Arial" w:eastAsia="Arial" w:hAnsi="Arial"/>
          <w:sz w:val="17"/>
          <w:szCs w:val="17"/>
          <w:color w:val="auto"/>
        </w:rPr>
        <w:t>A reconciliation of income tax expense computed at the statutory federal income tax rate to income taxes reflected in the consolidated financial statements is as follows:</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158"/>
        </w:trPr>
        <w:tc>
          <w:tcPr>
            <w:tcW w:w="3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8"/>
          </w:tcPr>
          <w:p>
            <w:pPr>
              <w:jc w:val="right"/>
              <w:ind w:right="500"/>
              <w:spacing w:after="0"/>
              <w:rPr>
                <w:sz w:val="20"/>
                <w:szCs w:val="20"/>
                <w:color w:val="auto"/>
              </w:rPr>
            </w:pPr>
            <w:r>
              <w:rPr>
                <w:rFonts w:ascii="Arial" w:cs="Arial" w:eastAsia="Arial" w:hAnsi="Arial"/>
                <w:sz w:val="13"/>
                <w:szCs w:val="13"/>
                <w:b w:val="1"/>
                <w:bCs w:val="1"/>
                <w:color w:val="auto"/>
                <w:w w:val="91"/>
              </w:rPr>
              <w:t>Year Ended December 31,</w:t>
            </w:r>
          </w:p>
        </w:tc>
      </w:tr>
      <w:tr>
        <w:trPr>
          <w:trHeight w:val="20"/>
        </w:trPr>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31"/>
        </w:trPr>
        <w:tc>
          <w:tcPr>
            <w:tcW w:w="3400" w:type="dxa"/>
            <w:vAlign w:val="bottom"/>
          </w:tcPr>
          <w:p>
            <w:pPr>
              <w:spacing w:after="0"/>
              <w:rPr>
                <w:sz w:val="11"/>
                <w:szCs w:val="11"/>
                <w:color w:val="auto"/>
              </w:rPr>
            </w:pPr>
          </w:p>
        </w:tc>
        <w:tc>
          <w:tcPr>
            <w:tcW w:w="2160" w:type="dxa"/>
            <w:vAlign w:val="bottom"/>
            <w:gridSpan w:val="4"/>
          </w:tcPr>
          <w:p>
            <w:pPr>
              <w:jc w:val="right"/>
              <w:spacing w:after="0" w:line="131"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0"/>
        </w:trPr>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3"/>
        </w:trPr>
        <w:tc>
          <w:tcPr>
            <w:tcW w:w="3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1"/>
              </w:rPr>
              <w:t>Income tax computed at federal statutory tax rate</w:t>
            </w:r>
          </w:p>
        </w:tc>
        <w:tc>
          <w:tcPr>
            <w:tcW w:w="1900" w:type="dxa"/>
            <w:vAlign w:val="bottom"/>
            <w:gridSpan w:val="2"/>
            <w:shd w:val="clear" w:color="auto" w:fill="CCEEFF"/>
          </w:tcPr>
          <w:p>
            <w:pPr>
              <w:spacing w:after="0"/>
              <w:rPr>
                <w:sz w:val="16"/>
                <w:szCs w:val="16"/>
                <w:color w:val="auto"/>
              </w:rPr>
            </w:pPr>
          </w:p>
        </w:tc>
        <w:tc>
          <w:tcPr>
            <w:tcW w:w="1280" w:type="dxa"/>
            <w:vAlign w:val="bottom"/>
            <w:gridSpan w:val="4"/>
            <w:shd w:val="clear" w:color="auto" w:fill="CCEEFF"/>
          </w:tcPr>
          <w:p>
            <w:pPr>
              <w:jc w:val="right"/>
              <w:ind w:right="740"/>
              <w:spacing w:after="0" w:line="194" w:lineRule="exact"/>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21.0%</w:t>
            </w:r>
          </w:p>
        </w:tc>
      </w:tr>
      <w:tr>
        <w:trPr>
          <w:trHeight w:val="201"/>
        </w:trPr>
        <w:tc>
          <w:tcPr>
            <w:tcW w:w="3400" w:type="dxa"/>
            <w:vAlign w:val="bottom"/>
          </w:tcPr>
          <w:p>
            <w:pPr>
              <w:spacing w:after="0"/>
              <w:rPr>
                <w:sz w:val="20"/>
                <w:szCs w:val="20"/>
                <w:color w:val="auto"/>
              </w:rPr>
            </w:pPr>
            <w:r>
              <w:rPr>
                <w:rFonts w:ascii="Arial" w:cs="Arial" w:eastAsia="Arial" w:hAnsi="Arial"/>
                <w:sz w:val="17"/>
                <w:szCs w:val="17"/>
                <w:color w:val="auto"/>
              </w:rPr>
              <w:t>Permanent differences</w:t>
            </w:r>
          </w:p>
        </w:tc>
        <w:tc>
          <w:tcPr>
            <w:tcW w:w="3180" w:type="dxa"/>
            <w:vAlign w:val="bottom"/>
            <w:gridSpan w:val="6"/>
          </w:tcPr>
          <w:p>
            <w:pPr>
              <w:jc w:val="right"/>
              <w:ind w:right="680"/>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2.8%</w:t>
            </w:r>
          </w:p>
        </w:tc>
      </w:tr>
      <w:tr>
        <w:trPr>
          <w:trHeight w:val="20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State taxes, net of federal benefit</w:t>
            </w:r>
          </w:p>
        </w:tc>
        <w:tc>
          <w:tcPr>
            <w:tcW w:w="3180" w:type="dxa"/>
            <w:vAlign w:val="bottom"/>
            <w:gridSpan w:val="6"/>
            <w:shd w:val="clear" w:color="auto" w:fill="CCEEFF"/>
          </w:tcPr>
          <w:p>
            <w:pPr>
              <w:jc w:val="right"/>
              <w:ind w:right="740"/>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7.1%</w:t>
            </w:r>
          </w:p>
        </w:tc>
      </w:tr>
      <w:tr>
        <w:trPr>
          <w:trHeight w:val="201"/>
        </w:trPr>
        <w:tc>
          <w:tcPr>
            <w:tcW w:w="3400" w:type="dxa"/>
            <w:vAlign w:val="bottom"/>
          </w:tcPr>
          <w:p>
            <w:pPr>
              <w:spacing w:after="0"/>
              <w:rPr>
                <w:sz w:val="20"/>
                <w:szCs w:val="20"/>
                <w:color w:val="auto"/>
              </w:rPr>
            </w:pPr>
            <w:r>
              <w:rPr>
                <w:rFonts w:ascii="Arial" w:cs="Arial" w:eastAsia="Arial" w:hAnsi="Arial"/>
                <w:sz w:val="17"/>
                <w:szCs w:val="17"/>
                <w:color w:val="auto"/>
                <w:w w:val="92"/>
              </w:rPr>
              <w:t>Research and development and other tax credits</w:t>
            </w:r>
          </w:p>
        </w:tc>
        <w:tc>
          <w:tcPr>
            <w:tcW w:w="3180" w:type="dxa"/>
            <w:vAlign w:val="bottom"/>
            <w:gridSpan w:val="6"/>
          </w:tcPr>
          <w:p>
            <w:pPr>
              <w:jc w:val="right"/>
              <w:ind w:right="740"/>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3.2%</w:t>
            </w:r>
          </w:p>
        </w:tc>
      </w:tr>
      <w:tr>
        <w:trPr>
          <w:trHeight w:val="20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w w:val="91"/>
              </w:rPr>
              <w:t>Change in deferred tax asset valuation allowance</w:t>
            </w:r>
          </w:p>
        </w:tc>
        <w:tc>
          <w:tcPr>
            <w:tcW w:w="3180" w:type="dxa"/>
            <w:vAlign w:val="bottom"/>
            <w:gridSpan w:val="6"/>
            <w:shd w:val="clear" w:color="auto" w:fill="CCEEFF"/>
          </w:tcPr>
          <w:p>
            <w:pPr>
              <w:jc w:val="right"/>
              <w:ind w:right="680"/>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(33.3)%</w:t>
            </w:r>
          </w:p>
        </w:tc>
      </w:tr>
      <w:tr>
        <w:trPr>
          <w:trHeight w:val="201"/>
        </w:trPr>
        <w:tc>
          <w:tcPr>
            <w:tcW w:w="3400" w:type="dxa"/>
            <w:vAlign w:val="bottom"/>
          </w:tcPr>
          <w:p>
            <w:pPr>
              <w:spacing w:after="0"/>
              <w:rPr>
                <w:sz w:val="20"/>
                <w:szCs w:val="20"/>
                <w:color w:val="auto"/>
              </w:rPr>
            </w:pPr>
            <w:r>
              <w:rPr>
                <w:rFonts w:ascii="Arial" w:cs="Arial" w:eastAsia="Arial" w:hAnsi="Arial"/>
                <w:sz w:val="17"/>
                <w:szCs w:val="17"/>
                <w:color w:val="auto"/>
              </w:rPr>
              <w:t>Other</w:t>
            </w:r>
          </w:p>
        </w:tc>
        <w:tc>
          <w:tcPr>
            <w:tcW w:w="1760" w:type="dxa"/>
            <w:vAlign w:val="bottom"/>
          </w:tcPr>
          <w:p>
            <w:pPr>
              <w:spacing w:after="0"/>
              <w:rPr>
                <w:sz w:val="17"/>
                <w:szCs w:val="17"/>
                <w:color w:val="auto"/>
              </w:rPr>
            </w:pPr>
          </w:p>
        </w:tc>
        <w:tc>
          <w:tcPr>
            <w:tcW w:w="1420" w:type="dxa"/>
            <w:vAlign w:val="bottom"/>
            <w:gridSpan w:val="5"/>
          </w:tcPr>
          <w:p>
            <w:pPr>
              <w:jc w:val="right"/>
              <w:ind w:right="68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7"/>
                <w:szCs w:val="17"/>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7"/>
                <w:szCs w:val="17"/>
                <w:color w:val="auto"/>
              </w:rPr>
              <w:t>(0.8)%</w:t>
            </w:r>
          </w:p>
        </w:tc>
      </w:tr>
      <w:tr>
        <w:trPr>
          <w:trHeight w:val="25"/>
        </w:trPr>
        <w:tc>
          <w:tcPr>
            <w:tcW w:w="3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01"/>
        </w:trPr>
        <w:tc>
          <w:tcPr>
            <w:tcW w:w="34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r>
      <w:tr>
        <w:trPr>
          <w:trHeight w:val="20"/>
        </w:trPr>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29"/>
        </w:trPr>
        <w:tc>
          <w:tcPr>
            <w:tcW w:w="3400" w:type="dxa"/>
            <w:vAlign w:val="bottom"/>
          </w:tcPr>
          <w:p>
            <w:pPr>
              <w:spacing w:after="0"/>
              <w:rPr>
                <w:sz w:val="24"/>
                <w:szCs w:val="24"/>
                <w:color w:val="auto"/>
              </w:rPr>
            </w:pPr>
          </w:p>
        </w:tc>
        <w:tc>
          <w:tcPr>
            <w:tcW w:w="3300" w:type="dxa"/>
            <w:vAlign w:val="bottom"/>
            <w:gridSpan w:val="7"/>
          </w:tcPr>
          <w:p>
            <w:pPr>
              <w:ind w:left="120"/>
              <w:spacing w:after="0"/>
              <w:rPr>
                <w:sz w:val="20"/>
                <w:szCs w:val="20"/>
                <w:color w:val="auto"/>
              </w:rPr>
            </w:pPr>
            <w:r>
              <w:rPr>
                <w:rFonts w:ascii="Arial" w:cs="Arial" w:eastAsia="Arial" w:hAnsi="Arial"/>
                <w:sz w:val="17"/>
                <w:szCs w:val="17"/>
                <w:color w:val="auto"/>
              </w:rPr>
              <w:t>F-25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720"/>
          </w:cols>
          <w:pgMar w:left="320" w:top="437" w:right="85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Net deferred tax assets as of December 31, 2019 and 2018 consisted of the following (in thousands):</w:t>
      </w:r>
    </w:p>
    <w:p>
      <w:pPr>
        <w:spacing w:after="0" w:line="224" w:lineRule="exact"/>
        <w:rPr>
          <w:sz w:val="20"/>
          <w:szCs w:val="20"/>
          <w:color w:val="auto"/>
        </w:rPr>
      </w:pPr>
    </w:p>
    <w:tbl>
      <w:tblPr>
        <w:tblLayout w:type="fixed"/>
        <w:tblInd w:w="19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2019</w:t>
            </w:r>
          </w:p>
        </w:tc>
        <w:tc>
          <w:tcPr>
            <w:tcW w:w="860" w:type="dxa"/>
            <w:vAlign w:val="bottom"/>
            <w:gridSpan w:val="5"/>
          </w:tcPr>
          <w:p>
            <w:pPr>
              <w:jc w:val="right"/>
              <w:spacing w:after="0"/>
              <w:rPr>
                <w:sz w:val="20"/>
                <w:szCs w:val="20"/>
                <w:color w:val="auto"/>
              </w:rPr>
            </w:pPr>
            <w:r>
              <w:rPr>
                <w:rFonts w:ascii="Arial" w:cs="Arial" w:eastAsia="Arial" w:hAnsi="Arial"/>
                <w:sz w:val="13"/>
                <w:szCs w:val="13"/>
                <w:b w:val="1"/>
                <w:bCs w:val="1"/>
                <w:color w:val="auto"/>
                <w:w w:val="99"/>
              </w:rPr>
              <w:t>December 31,</w:t>
            </w: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Deferred tax assets:</w:t>
            </w: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Net operating loss carryforwards</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4"/>
          </w:tcPr>
          <w:p>
            <w:pPr>
              <w:jc w:val="right"/>
              <w:spacing w:after="0"/>
              <w:rPr>
                <w:sz w:val="20"/>
                <w:szCs w:val="20"/>
                <w:color w:val="auto"/>
              </w:rPr>
            </w:pPr>
            <w:r>
              <w:rPr>
                <w:rFonts w:ascii="Arial" w:cs="Arial" w:eastAsia="Arial" w:hAnsi="Arial"/>
                <w:sz w:val="17"/>
                <w:szCs w:val="17"/>
                <w:color w:val="auto"/>
                <w:w w:val="99"/>
              </w:rPr>
              <w:t>30,006</w:t>
            </w:r>
          </w:p>
        </w:tc>
        <w:tc>
          <w:tcPr>
            <w:tcW w:w="3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w w:val="96"/>
              </w:rPr>
              <w:t>25,653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credits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4,652</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173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ind w:left="280"/>
              <w:spacing w:after="0"/>
              <w:rPr>
                <w:sz w:val="20"/>
                <w:szCs w:val="20"/>
                <w:color w:val="auto"/>
              </w:rPr>
            </w:pPr>
            <w:r>
              <w:rPr>
                <w:rFonts w:ascii="Arial" w:cs="Arial" w:eastAsia="Arial" w:hAnsi="Arial"/>
                <w:sz w:val="17"/>
                <w:szCs w:val="17"/>
                <w:color w:val="auto"/>
                <w:w w:val="84"/>
              </w:rPr>
              <w:t>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liability</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Other</w:t>
            </w:r>
          </w:p>
        </w:tc>
        <w:tc>
          <w:tcPr>
            <w:tcW w:w="1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280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ind w:left="280"/>
              <w:spacing w:after="0"/>
              <w:rPr>
                <w:sz w:val="20"/>
                <w:szCs w:val="20"/>
                <w:color w:val="auto"/>
              </w:rPr>
            </w:pPr>
            <w:r>
              <w:rPr>
                <w:rFonts w:ascii="Arial" w:cs="Arial" w:eastAsia="Arial" w:hAnsi="Arial"/>
                <w:sz w:val="17"/>
                <w:szCs w:val="17"/>
                <w:color w:val="auto"/>
                <w:w w:val="84"/>
              </w:rPr>
              <w:t>269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gross deferred tax assets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9"/>
              </w:rPr>
              <w:t>36,020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6"/>
              </w:rPr>
              <w:t>30,144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Arial" w:cs="Arial" w:eastAsia="Arial" w:hAnsi="Arial"/>
                <w:sz w:val="17"/>
                <w:szCs w:val="17"/>
                <w:color w:val="auto"/>
                <w:w w:val="88"/>
              </w:rPr>
              <w:t>(35,150)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7"/>
                <w:szCs w:val="17"/>
                <w:color w:val="auto"/>
                <w:w w:val="88"/>
              </w:rPr>
              <w:t>(30,144)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1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870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right-of-use asset</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(870)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7"/>
                <w:szCs w:val="17"/>
                <w:color w:val="auto"/>
              </w:rPr>
              <w:t>Total deferred tax liabilities</w:t>
            </w: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0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Arial" w:cs="Arial" w:eastAsia="Arial" w:hAnsi="Arial"/>
                <w:sz w:val="17"/>
                <w:szCs w:val="17"/>
                <w:color w:val="auto"/>
              </w:rPr>
              <w:t>(870)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260" w:firstLine="819"/>
        <w:spacing w:after="0" w:line="298" w:lineRule="auto"/>
        <w:rPr>
          <w:sz w:val="20"/>
          <w:szCs w:val="20"/>
          <w:color w:val="auto"/>
        </w:rPr>
      </w:pPr>
      <w:r>
        <w:rPr>
          <w:rFonts w:ascii="Arial" w:cs="Arial" w:eastAsia="Arial" w:hAnsi="Arial"/>
          <w:sz w:val="15"/>
          <w:szCs w:val="15"/>
          <w:color w:val="auto"/>
        </w:rPr>
        <w:t>As of December 31, 2019, the Company had U.S. federal net operating loss carryforwards of approximately $91.4 million which may be able to offset future income tax liabilities and expire at various dates through 2037 and approximately $22.9 million of federal net operating loss carryforwards that may be carried forward indefinitely. As of December 31, 2019, the Company also had state net operating loss carryforwards of approximately $95.6 million which may be available to offset future income tax liabilities and expire at various dates through 2039.</w:t>
      </w:r>
    </w:p>
    <w:p>
      <w:pPr>
        <w:spacing w:after="0" w:line="148" w:lineRule="exact"/>
        <w:rPr>
          <w:sz w:val="20"/>
          <w:szCs w:val="20"/>
          <w:color w:val="auto"/>
        </w:rPr>
      </w:pPr>
    </w:p>
    <w:p>
      <w:pPr>
        <w:ind w:left="500" w:firstLine="819"/>
        <w:spacing w:after="0" w:line="287" w:lineRule="auto"/>
        <w:rPr>
          <w:sz w:val="20"/>
          <w:szCs w:val="20"/>
          <w:color w:val="auto"/>
        </w:rPr>
      </w:pPr>
      <w:r>
        <w:rPr>
          <w:rFonts w:ascii="Arial" w:cs="Arial" w:eastAsia="Arial" w:hAnsi="Arial"/>
          <w:sz w:val="15"/>
          <w:szCs w:val="15"/>
          <w:color w:val="auto"/>
        </w:rPr>
        <w:t>As of December 31, 2019 and 2018, the Company had federal research and development tax credit carryforwards of approximately $3.2 million and $2.7 million, respectively, available to reduce future tax liabilities which expire at various dates through 2039. As of December 31, 2019 and 2018, the Company had state research and development tax credit carryforwards of approximately $1.8 million and $1.7 million, respectively, available to reduce future tax liabilities which expire at various dates through 2034. The Company has generated research credits but has not conducted a study to document the qualified activity.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57" w:lineRule="exact"/>
        <w:rPr>
          <w:sz w:val="20"/>
          <w:szCs w:val="20"/>
          <w:color w:val="auto"/>
        </w:rPr>
      </w:pPr>
    </w:p>
    <w:p>
      <w:pPr>
        <w:ind w:left="500" w:right="120" w:firstLine="819"/>
        <w:spacing w:after="0" w:line="267"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conducted a study to assess whether a change of control has occurred or whether there have been multiple changes of control since inception due to the significant complexity and cost</w:t>
      </w:r>
    </w:p>
    <w:p>
      <w:pPr>
        <w:spacing w:after="0" w:line="10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740"/>
          </w:cols>
          <w:pgMar w:left="320" w:top="438" w:right="83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right="120"/>
        <w:spacing w:after="0" w:line="269" w:lineRule="auto"/>
        <w:rPr>
          <w:sz w:val="20"/>
          <w:szCs w:val="20"/>
          <w:color w:val="auto"/>
        </w:rPr>
      </w:pPr>
      <w:r>
        <w:rPr>
          <w:rFonts w:ascii="Arial" w:cs="Arial" w:eastAsia="Arial" w:hAnsi="Arial"/>
          <w:sz w:val="16"/>
          <w:szCs w:val="16"/>
          <w:color w:val="auto"/>
        </w:rPr>
        <w:t>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169" w:lineRule="exact"/>
        <w:rPr>
          <w:sz w:val="20"/>
          <w:szCs w:val="20"/>
          <w:color w:val="auto"/>
        </w:rPr>
      </w:pPr>
    </w:p>
    <w:p>
      <w:pPr>
        <w:ind w:left="500" w:firstLine="819"/>
        <w:spacing w:after="0" w:line="266" w:lineRule="auto"/>
        <w:rPr>
          <w:sz w:val="20"/>
          <w:szCs w:val="20"/>
          <w:color w:val="auto"/>
        </w:rPr>
      </w:pPr>
      <w:r>
        <w:rPr>
          <w:rFonts w:ascii="Arial" w:cs="Arial" w:eastAsia="Arial" w:hAnsi="Arial"/>
          <w:sz w:val="16"/>
          <w:szCs w:val="16"/>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its deferred tax assets at December 31, 2019 and 2018 because the Company’s management has determined that it is more likely than not that the Company will not recognize the benefits of its federal and state deferred tax assets primarily due to its history of cumulative net losses incurred since inception and its lack of commercialization of any products or generation of any revenue from product sales since inception and, as a result, a valuation allowance of approximately $35.2 million and $30.1 million, respectively, has been established at December 31, 2019 and 2018. Management reevaluates the positive and negative evidence at each reporting period. The valuation allowance increased by approximately $5.1 million and $2.0 million, respectively, during the years ended December 31, 2019 and 2018 due primarily to the generation of net operating losses.</w:t>
      </w:r>
    </w:p>
    <w:p>
      <w:pPr>
        <w:spacing w:after="0" w:line="173" w:lineRule="exact"/>
        <w:rPr>
          <w:sz w:val="20"/>
          <w:szCs w:val="20"/>
          <w:color w:val="auto"/>
        </w:rPr>
      </w:pPr>
    </w:p>
    <w:p>
      <w:pPr>
        <w:ind w:left="500" w:right="100" w:firstLine="819"/>
        <w:spacing w:after="0" w:line="268" w:lineRule="auto"/>
        <w:rPr>
          <w:sz w:val="20"/>
          <w:szCs w:val="20"/>
          <w:color w:val="auto"/>
        </w:rPr>
      </w:pPr>
      <w:r>
        <w:rPr>
          <w:rFonts w:ascii="Arial" w:cs="Arial" w:eastAsia="Arial" w:hAnsi="Arial"/>
          <w:sz w:val="16"/>
          <w:szCs w:val="16"/>
          <w:color w:val="auto"/>
        </w:rPr>
        <w:t>The Company has recorded adjustments to deferred tax assets for unrecognized tax benefits as of December 31, 2019 and 2018. The Company’s policy is to record interest and penalties related to uncertain tax positions as part of its income tax provision. As of December 31, 2019 and 2018, the Company had no accrued interest or penalties related to uncertain tax positions and no such amounts have been recognized in the Company’s statement of operations and comprehensive loss. In many cases, the Company’s uncertain tax positions are related to years that remain subject to examination by relevant tax authorities. The statute of limitations for federal and state tax authorities is closed for years prior to December 31, 2016. However, since the Company is in a loss carryforward position, the Company is generally subject to examination by the U.S. federal, state and local income tax authorities for all tax years in which a loss carryforward is available.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11. Leases</w:t>
      </w:r>
    </w:p>
    <w:p>
      <w:pPr>
        <w:spacing w:after="0" w:line="210" w:lineRule="exact"/>
        <w:rPr>
          <w:sz w:val="20"/>
          <w:szCs w:val="20"/>
          <w:color w:val="auto"/>
        </w:rPr>
      </w:pPr>
    </w:p>
    <w:p>
      <w:pPr>
        <w:ind w:left="500" w:right="100" w:firstLine="819"/>
        <w:spacing w:after="0" w:line="268" w:lineRule="auto"/>
        <w:rPr>
          <w:sz w:val="20"/>
          <w:szCs w:val="20"/>
          <w:color w:val="auto"/>
        </w:rPr>
      </w:pPr>
      <w:r>
        <w:rPr>
          <w:rFonts w:ascii="Arial" w:cs="Arial" w:eastAsia="Arial" w:hAnsi="Arial"/>
          <w:sz w:val="16"/>
          <w:szCs w:val="16"/>
          <w:color w:val="auto"/>
        </w:rPr>
        <w:t>In August 2007, the Company entered into an operating lease, as amended, for approximately 22,343 square feet of office and laboratory space in Watertown, Massachusetts. In November 2017, the Company amended its lease (“2017 Amendment”) and extended the lease term through April 2023. Initial base rent under the 2017 Amendment was approximately $1.0 million per year. The 2017 Amendment includes annual rent escalations over the term of the operating lease. The Company maintains a letter of credit of approximately $0.3 million securing its obligations under the operating lease which is secured by approximately $0.3 million of certificate of deposits, which are included as restricted cash in the consolidated balance sheets. At December 31, 2018 rent escalations are included in deferred rent in the consolidated balance sheets. Rent expense is recognized on a straight-line basis over the terms of occupancy.</w:t>
      </w:r>
    </w:p>
    <w:p>
      <w:pPr>
        <w:spacing w:after="0" w:line="10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0720"/>
          </w:cols>
          <w:pgMar w:left="320" w:top="437" w:right="85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components of lease cost recorded in the Company’s consolidated financial statements were as follows (in thousands):</w:t>
      </w:r>
    </w:p>
    <w:p>
      <w:pPr>
        <w:spacing w:after="0" w:line="212" w:lineRule="exact"/>
        <w:rPr>
          <w:sz w:val="20"/>
          <w:szCs w:val="20"/>
          <w:color w:val="auto"/>
        </w:rPr>
      </w:pPr>
    </w:p>
    <w:tbl>
      <w:tblPr>
        <w:tblLayout w:type="fixed"/>
        <w:tblInd w:w="278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Year Ended</w:t>
            </w:r>
          </w:p>
        </w:tc>
      </w:tr>
      <w:tr>
        <w:trPr>
          <w:trHeight w:val="138"/>
        </w:trPr>
        <w:tc>
          <w:tcPr>
            <w:tcW w:w="3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December 31,</w:t>
            </w:r>
          </w:p>
        </w:tc>
      </w:tr>
      <w:tr>
        <w:trPr>
          <w:trHeight w:val="158"/>
        </w:trPr>
        <w:tc>
          <w:tcPr>
            <w:tcW w:w="3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r>
      <w:tr>
        <w:trPr>
          <w:trHeight w:val="193"/>
        </w:trPr>
        <w:tc>
          <w:tcPr>
            <w:tcW w:w="3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Lease Cost:</w:t>
            </w:r>
          </w:p>
        </w:tc>
        <w:tc>
          <w:tcPr>
            <w:tcW w:w="1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3260" w:type="dxa"/>
            <w:vAlign w:val="bottom"/>
          </w:tcPr>
          <w:p>
            <w:pPr>
              <w:ind w:left="340"/>
              <w:spacing w:after="0"/>
              <w:rPr>
                <w:sz w:val="20"/>
                <w:szCs w:val="20"/>
                <w:color w:val="auto"/>
              </w:rPr>
            </w:pPr>
            <w:r>
              <w:rPr>
                <w:rFonts w:ascii="Arial" w:cs="Arial" w:eastAsia="Arial" w:hAnsi="Arial"/>
                <w:sz w:val="17"/>
                <w:szCs w:val="17"/>
                <w:color w:val="auto"/>
              </w:rPr>
              <w:t>Operating lease cost</w:t>
            </w:r>
          </w:p>
        </w:tc>
        <w:tc>
          <w:tcPr>
            <w:tcW w:w="1720" w:type="dxa"/>
            <w:vAlign w:val="bottom"/>
            <w:gridSpan w:val="2"/>
          </w:tcPr>
          <w:p>
            <w:pPr>
              <w:ind w:left="15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1,053</w:t>
            </w:r>
          </w:p>
        </w:tc>
      </w:tr>
      <w:tr>
        <w:trPr>
          <w:trHeight w:val="201"/>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Variable lease cost</w:t>
            </w: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727</w:t>
            </w:r>
          </w:p>
        </w:tc>
      </w:tr>
      <w:tr>
        <w:trPr>
          <w:trHeight w:val="201"/>
        </w:trPr>
        <w:tc>
          <w:tcPr>
            <w:tcW w:w="3260" w:type="dxa"/>
            <w:vAlign w:val="bottom"/>
          </w:tcPr>
          <w:p>
            <w:pPr>
              <w:ind w:left="340"/>
              <w:spacing w:after="0"/>
              <w:rPr>
                <w:sz w:val="20"/>
                <w:szCs w:val="20"/>
                <w:color w:val="auto"/>
              </w:rPr>
            </w:pPr>
            <w:r>
              <w:rPr>
                <w:rFonts w:ascii="Arial" w:cs="Arial" w:eastAsia="Arial" w:hAnsi="Arial"/>
                <w:sz w:val="17"/>
                <w:szCs w:val="17"/>
                <w:color w:val="auto"/>
              </w:rPr>
              <w:t>Sublease income</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(368)</w:t>
            </w:r>
          </w:p>
        </w:tc>
      </w:tr>
      <w:tr>
        <w:trPr>
          <w:trHeight w:val="25"/>
        </w:trPr>
        <w:tc>
          <w:tcPr>
            <w:tcW w:w="3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Total lease cost, net</w:t>
            </w: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1,412</w:t>
            </w:r>
          </w:p>
        </w:tc>
      </w:tr>
      <w:tr>
        <w:trPr>
          <w:trHeight w:val="20"/>
        </w:trPr>
        <w:tc>
          <w:tcPr>
            <w:tcW w:w="3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Variable lease payments include the Company’s allocated share of costs incurred and expenditures made by the landlord in the operation and management of the building. The Company’s sublease income during the year ended December 31, 2019 related to subleases for a portion of the Company’s office and lab space.</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weighted-average remaining lease term and discount rate related to the Company’s operating lease were as follows:</w:t>
      </w:r>
    </w:p>
    <w:p>
      <w:pPr>
        <w:spacing w:after="0" w:line="212"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2580" w:type="dxa"/>
            <w:vAlign w:val="bottom"/>
            <w:gridSpan w:val="3"/>
          </w:tcPr>
          <w:p>
            <w:pPr>
              <w:jc w:val="center"/>
              <w:ind w:left="1049"/>
              <w:spacing w:after="0"/>
              <w:rPr>
                <w:sz w:val="20"/>
                <w:szCs w:val="20"/>
                <w:color w:val="auto"/>
              </w:rPr>
            </w:pPr>
            <w:r>
              <w:rPr>
                <w:rFonts w:ascii="Arial" w:cs="Arial" w:eastAsia="Arial" w:hAnsi="Arial"/>
                <w:sz w:val="13"/>
                <w:szCs w:val="13"/>
                <w:b w:val="1"/>
                <w:bCs w:val="1"/>
                <w:color w:val="auto"/>
                <w:w w:val="92"/>
              </w:rPr>
              <w:t>As of</w:t>
            </w:r>
          </w:p>
        </w:tc>
      </w:tr>
      <w:tr>
        <w:trPr>
          <w:trHeight w:val="138"/>
        </w:trPr>
        <w:tc>
          <w:tcPr>
            <w:tcW w:w="4800" w:type="dxa"/>
            <w:vAlign w:val="bottom"/>
          </w:tcPr>
          <w:p>
            <w:pPr>
              <w:spacing w:after="0"/>
              <w:rPr>
                <w:sz w:val="12"/>
                <w:szCs w:val="12"/>
                <w:color w:val="auto"/>
              </w:rPr>
            </w:pPr>
          </w:p>
        </w:tc>
        <w:tc>
          <w:tcPr>
            <w:tcW w:w="2580" w:type="dxa"/>
            <w:vAlign w:val="bottom"/>
            <w:gridSpan w:val="3"/>
          </w:tcPr>
          <w:p>
            <w:pPr>
              <w:jc w:val="center"/>
              <w:ind w:left="1049"/>
              <w:spacing w:after="0" w:line="138" w:lineRule="exact"/>
              <w:rPr>
                <w:sz w:val="20"/>
                <w:szCs w:val="20"/>
                <w:color w:val="auto"/>
              </w:rPr>
            </w:pPr>
            <w:r>
              <w:rPr>
                <w:rFonts w:ascii="Arial" w:cs="Arial" w:eastAsia="Arial" w:hAnsi="Arial"/>
                <w:sz w:val="13"/>
                <w:szCs w:val="13"/>
                <w:b w:val="1"/>
                <w:bCs w:val="1"/>
                <w:color w:val="auto"/>
                <w:w w:val="92"/>
              </w:rPr>
              <w:t>December 31,</w:t>
            </w:r>
          </w:p>
        </w:tc>
      </w:tr>
      <w:tr>
        <w:trPr>
          <w:trHeight w:val="158"/>
        </w:trPr>
        <w:tc>
          <w:tcPr>
            <w:tcW w:w="4800" w:type="dxa"/>
            <w:vAlign w:val="bottom"/>
          </w:tcPr>
          <w:p>
            <w:pPr>
              <w:spacing w:after="0"/>
              <w:rPr>
                <w:sz w:val="13"/>
                <w:szCs w:val="13"/>
                <w:color w:val="auto"/>
              </w:rPr>
            </w:pPr>
          </w:p>
        </w:tc>
        <w:tc>
          <w:tcPr>
            <w:tcW w:w="2000" w:type="dxa"/>
            <w:vAlign w:val="bottom"/>
            <w:gridSpan w:val="2"/>
          </w:tcPr>
          <w:p>
            <w:pPr>
              <w:jc w:val="center"/>
              <w:ind w:left="1629"/>
              <w:spacing w:after="0"/>
              <w:rPr>
                <w:sz w:val="20"/>
                <w:szCs w:val="20"/>
                <w:color w:val="auto"/>
              </w:rPr>
            </w:pPr>
            <w:r>
              <w:rPr>
                <w:rFonts w:ascii="Arial" w:cs="Arial" w:eastAsia="Arial" w:hAnsi="Arial"/>
                <w:sz w:val="13"/>
                <w:szCs w:val="13"/>
                <w:b w:val="1"/>
                <w:bCs w:val="1"/>
                <w:color w:val="auto"/>
                <w:w w:val="89"/>
              </w:rPr>
              <w:t>2019</w:t>
            </w:r>
          </w:p>
        </w:tc>
        <w:tc>
          <w:tcPr>
            <w:tcW w:w="580" w:type="dxa"/>
            <w:vAlign w:val="bottom"/>
          </w:tcPr>
          <w:p>
            <w:pPr>
              <w:spacing w:after="0"/>
              <w:rPr>
                <w:sz w:val="13"/>
                <w:szCs w:val="13"/>
                <w:color w:val="auto"/>
              </w:rPr>
            </w:pPr>
          </w:p>
        </w:tc>
      </w:tr>
      <w:tr>
        <w:trPr>
          <w:trHeight w:val="193"/>
        </w:trPr>
        <w:tc>
          <w:tcPr>
            <w:tcW w:w="4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Weighted-average remaining lease term (in years)</w:t>
            </w:r>
          </w:p>
        </w:tc>
        <w:tc>
          <w:tcPr>
            <w:tcW w:w="17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w:t>
            </w:r>
          </w:p>
        </w:tc>
      </w:tr>
      <w:tr>
        <w:trPr>
          <w:trHeight w:val="213"/>
        </w:trPr>
        <w:tc>
          <w:tcPr>
            <w:tcW w:w="4800" w:type="dxa"/>
            <w:vAlign w:val="bottom"/>
          </w:tcPr>
          <w:p>
            <w:pPr>
              <w:spacing w:after="0"/>
              <w:rPr>
                <w:sz w:val="20"/>
                <w:szCs w:val="20"/>
                <w:color w:val="auto"/>
              </w:rPr>
            </w:pPr>
            <w:r>
              <w:rPr>
                <w:rFonts w:ascii="Arial" w:cs="Arial" w:eastAsia="Arial" w:hAnsi="Arial"/>
                <w:sz w:val="17"/>
                <w:szCs w:val="17"/>
                <w:color w:val="auto"/>
              </w:rPr>
              <w:t>Weighted-average discount rate</w:t>
            </w:r>
          </w:p>
        </w:tc>
        <w:tc>
          <w:tcPr>
            <w:tcW w:w="2580" w:type="dxa"/>
            <w:vAlign w:val="bottom"/>
            <w:gridSpan w:val="3"/>
          </w:tcPr>
          <w:p>
            <w:pPr>
              <w:jc w:val="right"/>
              <w:spacing w:after="0"/>
              <w:rPr>
                <w:sz w:val="20"/>
                <w:szCs w:val="20"/>
                <w:color w:val="auto"/>
              </w:rPr>
            </w:pPr>
            <w:r>
              <w:rPr>
                <w:rFonts w:ascii="Arial" w:cs="Arial" w:eastAsia="Arial" w:hAnsi="Arial"/>
                <w:sz w:val="17"/>
                <w:szCs w:val="17"/>
                <w:color w:val="auto"/>
              </w:rPr>
              <w:t>5.5%</w:t>
            </w:r>
          </w:p>
        </w:tc>
      </w:tr>
    </w:tbl>
    <w:p>
      <w:pPr>
        <w:spacing w:after="0" w:line="17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Maturity of the Company’s operating lease liability in accordance with ASC 842 as of December 31, 2019 are as follows (in thousands):</w:t>
      </w:r>
    </w:p>
    <w:p>
      <w:pPr>
        <w:spacing w:after="0" w:line="247" w:lineRule="exact"/>
        <w:rPr>
          <w:sz w:val="20"/>
          <w:szCs w:val="20"/>
          <w:color w:val="auto"/>
        </w:rPr>
      </w:pPr>
    </w:p>
    <w:tbl>
      <w:tblPr>
        <w:tblLayout w:type="fixed"/>
        <w:tblInd w:w="1940" w:type="dxa"/>
        <w:tblCellMar>
          <w:top w:w="0" w:type="dxa"/>
          <w:left w:w="0" w:type="dxa"/>
          <w:bottom w:w="0" w:type="dxa"/>
          <w:right w:w="0" w:type="dxa"/>
        </w:tblCellMar>
      </w:tblPr>
      <w:tr>
        <w:trPr>
          <w:trHeight w:val="158"/>
        </w:trPr>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Year ending December 31,</w:t>
            </w:r>
          </w:p>
        </w:tc>
        <w:tc>
          <w:tcPr>
            <w:tcW w:w="1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2020</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$1,059</w:t>
            </w: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2021</w:t>
            </w:r>
          </w:p>
        </w:tc>
        <w:tc>
          <w:tcPr>
            <w:tcW w:w="360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rPr>
              <w:t>1,091</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36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2023</w:t>
            </w:r>
          </w:p>
        </w:tc>
        <w:tc>
          <w:tcPr>
            <w:tcW w:w="3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maturities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3,653</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Less: Amount representing interest</w:t>
            </w:r>
          </w:p>
        </w:tc>
        <w:tc>
          <w:tcPr>
            <w:tcW w:w="16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(327)</w:t>
            </w:r>
          </w:p>
        </w:tc>
      </w:tr>
      <w:tr>
        <w:trPr>
          <w:trHeight w:val="201"/>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Present value of operating lease liability</w:t>
            </w:r>
          </w:p>
        </w:tc>
        <w:tc>
          <w:tcPr>
            <w:tcW w:w="16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3,326</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Less: Current portion of operating lease liability</w:t>
            </w:r>
          </w:p>
        </w:tc>
        <w:tc>
          <w:tcPr>
            <w:tcW w:w="16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(899)</w:t>
            </w:r>
          </w:p>
        </w:tc>
      </w:tr>
      <w:tr>
        <w:trPr>
          <w:trHeight w:val="201"/>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operating lease liability, net of current portion</w:t>
            </w:r>
          </w:p>
        </w:tc>
        <w:tc>
          <w:tcPr>
            <w:tcW w:w="1680" w:type="dxa"/>
            <w:vAlign w:val="bottom"/>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2,427</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700" w:firstLine="819"/>
        <w:spacing w:after="0" w:line="268" w:lineRule="auto"/>
        <w:rPr>
          <w:sz w:val="20"/>
          <w:szCs w:val="20"/>
          <w:color w:val="auto"/>
        </w:rPr>
      </w:pPr>
      <w:r>
        <w:rPr>
          <w:rFonts w:ascii="Arial" w:cs="Arial" w:eastAsia="Arial" w:hAnsi="Arial"/>
          <w:sz w:val="17"/>
          <w:szCs w:val="17"/>
          <w:color w:val="auto"/>
        </w:rPr>
        <w:t>Rent expense for the year ended December 31, 2018 was approximately $0.5 million. Rent expense was net of sublease income of approximately $0.5 million for the year ended December 31, 2018.</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12. Retirement Plan</w:t>
      </w:r>
    </w:p>
    <w:p>
      <w:pPr>
        <w:spacing w:after="0" w:line="210" w:lineRule="exact"/>
        <w:rPr>
          <w:sz w:val="20"/>
          <w:szCs w:val="20"/>
          <w:color w:val="auto"/>
        </w:rPr>
      </w:pPr>
    </w:p>
    <w:p>
      <w:pPr>
        <w:ind w:left="500" w:right="140" w:firstLine="819"/>
        <w:spacing w:after="0" w:line="274" w:lineRule="auto"/>
        <w:rPr>
          <w:sz w:val="20"/>
          <w:szCs w:val="20"/>
          <w:color w:val="auto"/>
        </w:rPr>
      </w:pPr>
      <w:r>
        <w:rPr>
          <w:rFonts w:ascii="Arial" w:cs="Arial" w:eastAsia="Arial" w:hAnsi="Arial"/>
          <w:sz w:val="16"/>
          <w:szCs w:val="16"/>
          <w:color w:val="auto"/>
        </w:rPr>
        <w:t>The Company has a defined-contribution plan under Section 401(k) of the Internal Revenue Code (“401(k) Plan”). The 401(k) Plan covers all employees who meet defined minimum age and service requirements and allows participants to defer a portion of their annual compensation on a pre-tax basis. As currently established, the Company is not required to make and to date has not made any contributions to the 401(k) Plan. The Company did not make any matching contributions during the years ended December 31, 2019 and 2018.</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740"/>
          </w:cols>
          <w:pgMar w:left="320" w:top="437" w:right="83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5" w:lineRule="exact"/>
        <w:rPr>
          <w:sz w:val="20"/>
          <w:szCs w:val="20"/>
          <w:color w:val="auto"/>
        </w:rPr>
      </w:pPr>
    </w:p>
    <w:p>
      <w:pPr>
        <w:ind w:left="500" w:right="8620" w:firstLine="3"/>
        <w:spacing w:after="0" w:line="601" w:lineRule="auto"/>
        <w:tabs>
          <w:tab w:leader="none" w:pos="751" w:val="left"/>
        </w:tabs>
        <w:numPr>
          <w:ilvl w:val="0"/>
          <w:numId w:val="137"/>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 a. Capital Raise</w:t>
      </w:r>
    </w:p>
    <w:p>
      <w:pPr>
        <w:spacing w:after="0" w:line="1" w:lineRule="exact"/>
        <w:rPr>
          <w:sz w:val="20"/>
          <w:szCs w:val="20"/>
          <w:color w:val="auto"/>
        </w:rPr>
      </w:pPr>
    </w:p>
    <w:p>
      <w:pPr>
        <w:jc w:val="both"/>
        <w:ind w:left="500" w:right="300" w:firstLine="819"/>
        <w:spacing w:after="0" w:line="257" w:lineRule="auto"/>
        <w:rPr>
          <w:sz w:val="20"/>
          <w:szCs w:val="20"/>
          <w:color w:val="auto"/>
        </w:rPr>
      </w:pPr>
      <w:r>
        <w:rPr>
          <w:rFonts w:ascii="Arial" w:cs="Arial" w:eastAsia="Arial" w:hAnsi="Arial"/>
          <w:sz w:val="17"/>
          <w:szCs w:val="17"/>
          <w:color w:val="auto"/>
        </w:rPr>
        <w:t>On January 10, 2020, the Company filed an amended and restated certificate of incorporation which authorizes its Board of Directors to issue up to 299,300,288 shares of preferred stock, par value $0.001 per share, and up to 400,000,000 shares of common stock, par value $0.001 per share.</w:t>
      </w:r>
    </w:p>
    <w:p>
      <w:pPr>
        <w:spacing w:after="0" w:line="175" w:lineRule="exact"/>
        <w:rPr>
          <w:sz w:val="20"/>
          <w:szCs w:val="20"/>
          <w:color w:val="auto"/>
        </w:rPr>
      </w:pPr>
    </w:p>
    <w:p>
      <w:pPr>
        <w:ind w:left="500" w:firstLine="819"/>
        <w:spacing w:after="0" w:line="280" w:lineRule="auto"/>
        <w:rPr>
          <w:sz w:val="20"/>
          <w:szCs w:val="20"/>
          <w:color w:val="auto"/>
        </w:rPr>
      </w:pPr>
      <w:r>
        <w:rPr>
          <w:rFonts w:ascii="Arial" w:cs="Arial" w:eastAsia="Arial" w:hAnsi="Arial"/>
          <w:sz w:val="16"/>
          <w:szCs w:val="16"/>
          <w:color w:val="auto"/>
        </w:rPr>
        <w:t>In January 2020, the Company issued 78,306,611 shares of Series C redeemable convertible preferred stock (“Series C Preferred Stock”) for $0.38811 per share, in exchange for gross cash proceeds of approximately $30.4 million. In conjunction with the issuance of the Series C Preferred Stock, the Company issued warrants to purchase 681,256 shares of common stock at an exercise price of $8.63 per share.</w:t>
      </w:r>
    </w:p>
    <w:p>
      <w:pPr>
        <w:spacing w:after="0" w:line="159"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rights, preferences, and privileges of the Preferred Stock and Series C Preferred Stock (collectively, the “2020 Preferred Stock”) are the</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following:</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Dividends</w:t>
      </w:r>
    </w:p>
    <w:p>
      <w:pPr>
        <w:spacing w:after="0" w:line="206" w:lineRule="exact"/>
        <w:rPr>
          <w:sz w:val="20"/>
          <w:szCs w:val="20"/>
          <w:color w:val="auto"/>
        </w:rPr>
      </w:pPr>
    </w:p>
    <w:p>
      <w:pPr>
        <w:ind w:left="500" w:right="60" w:firstLine="819"/>
        <w:spacing w:after="0" w:line="293" w:lineRule="auto"/>
        <w:rPr>
          <w:sz w:val="20"/>
          <w:szCs w:val="20"/>
          <w:color w:val="auto"/>
        </w:rPr>
      </w:pPr>
      <w:r>
        <w:rPr>
          <w:rFonts w:ascii="Arial" w:cs="Arial" w:eastAsia="Arial" w:hAnsi="Arial"/>
          <w:sz w:val="15"/>
          <w:szCs w:val="15"/>
          <w:color w:val="auto"/>
        </w:rPr>
        <w:t>The holders of 2020 Preferred Stock are entitled to receive dividends in any fiscal year, when, as, and if declared by the Board of Directors provided that such dividend payable on the Series C Preferred Stock and Series B Preferred Stock shall not be lesser than the amount of any dividend to be paid on any other class or series of capital stock. The Company shall not declare or pay any cash dividends on shares of common stock until each of the holders of the 2020 Preferred Stock then outstanding shall have first received, or there shall have been declared and set aside for payment, a cash dividend on each outstanding share of 2020 Preferred Stock. No cash dividends have been declared since the Company’s inception.</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Voting</w:t>
      </w:r>
    </w:p>
    <w:p>
      <w:pPr>
        <w:spacing w:after="0" w:line="206" w:lineRule="exact"/>
        <w:rPr>
          <w:sz w:val="20"/>
          <w:szCs w:val="20"/>
          <w:color w:val="auto"/>
        </w:rPr>
      </w:pPr>
    </w:p>
    <w:p>
      <w:pPr>
        <w:jc w:val="both"/>
        <w:ind w:left="500" w:firstLine="819"/>
        <w:spacing w:after="0" w:line="257" w:lineRule="auto"/>
        <w:rPr>
          <w:sz w:val="20"/>
          <w:szCs w:val="20"/>
          <w:color w:val="auto"/>
        </w:rPr>
      </w:pPr>
      <w:r>
        <w:rPr>
          <w:rFonts w:ascii="Arial" w:cs="Arial" w:eastAsia="Arial" w:hAnsi="Arial"/>
          <w:sz w:val="17"/>
          <w:szCs w:val="17"/>
          <w:color w:val="auto"/>
        </w:rPr>
        <w:t>The holders of 2020 Preferred Stock are entitled to vote on all matters with the common stockholders as if they were one class of stock. The holders of 2020 Preferred Stock are entitled to the number of votes equal to the number of shares of common stock into which such holders’ share of the 2020 Preferred Stock is then convertible.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Conversion</w:t>
      </w:r>
    </w:p>
    <w:p>
      <w:pPr>
        <w:spacing w:after="0" w:line="206" w:lineRule="exact"/>
        <w:rPr>
          <w:sz w:val="20"/>
          <w:szCs w:val="20"/>
          <w:color w:val="auto"/>
        </w:rPr>
      </w:pPr>
    </w:p>
    <w:p>
      <w:pPr>
        <w:ind w:left="500" w:right="60" w:firstLine="819"/>
        <w:spacing w:after="0" w:line="250" w:lineRule="auto"/>
        <w:rPr>
          <w:sz w:val="20"/>
          <w:szCs w:val="20"/>
          <w:color w:val="auto"/>
        </w:rPr>
      </w:pPr>
      <w:r>
        <w:rPr>
          <w:rFonts w:ascii="Arial" w:cs="Arial" w:eastAsia="Arial" w:hAnsi="Arial"/>
          <w:sz w:val="17"/>
          <w:szCs w:val="17"/>
          <w:color w:val="auto"/>
        </w:rPr>
        <w:t>Each share of 2020 Preferred Stock is convertible, at the option of the holder, at any time, into one share of common stock, adjusted for certain dilutive events and per the conversion rates as defined below under “Liquidation.” In addition, all shares of 2020 Preferred Stock will automatically convert into shares of common stock upon the earlier of (i) the closing of a firm underwritten public offering which results in at least $40.0 million of net proceeds to the Company or (ii) the closing of a firm underwritten public offering pursuant to the Company’s registration statement on Form S-1 (Reg. No. 333-236962) or (iii) upon the written notice from the holders of a majority of the then-outstanding shares of 2020 Preferred Stock, voting together as a separate class on an as-converted basis at the then effective conversion rate. The 2020 Preferred Stock will convert at 1:1 ratio into shares of common stock.</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Liquidation</w:t>
      </w:r>
    </w:p>
    <w:p>
      <w:pPr>
        <w:spacing w:after="0" w:line="206" w:lineRule="exact"/>
        <w:rPr>
          <w:sz w:val="20"/>
          <w:szCs w:val="20"/>
          <w:color w:val="auto"/>
        </w:rPr>
      </w:pPr>
    </w:p>
    <w:p>
      <w:pPr>
        <w:ind w:left="500" w:right="460" w:firstLine="819"/>
        <w:spacing w:after="0" w:line="268" w:lineRule="auto"/>
        <w:rPr>
          <w:sz w:val="20"/>
          <w:szCs w:val="20"/>
          <w:color w:val="auto"/>
        </w:rPr>
      </w:pPr>
      <w:r>
        <w:rPr>
          <w:rFonts w:ascii="Arial" w:cs="Arial" w:eastAsia="Arial" w:hAnsi="Arial"/>
          <w:sz w:val="17"/>
          <w:szCs w:val="17"/>
          <w:color w:val="auto"/>
        </w:rPr>
        <w:t>In the event of any voluntary or involuntary liquidation, dissolution, or winding-up of the Company, including a change of control, as defined in its amended and restated certificate of incorporation, the holders of</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720"/>
          </w:cols>
          <w:pgMar w:left="320" w:top="437" w:right="85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spacing w:after="0" w:line="281" w:lineRule="auto"/>
        <w:rPr>
          <w:sz w:val="20"/>
          <w:szCs w:val="20"/>
          <w:color w:val="auto"/>
        </w:rPr>
      </w:pPr>
      <w:r>
        <w:rPr>
          <w:rFonts w:ascii="Arial" w:cs="Arial" w:eastAsia="Arial" w:hAnsi="Arial"/>
          <w:sz w:val="15"/>
          <w:szCs w:val="15"/>
          <w:color w:val="auto"/>
        </w:rPr>
        <w:t>the 2020 Preferred Stock will be entitled to be paid a preference payment, prior to any payment to holders of common stock or any other capital stock ranking junior on liquidation to the 2020 Preferred Stock. In the case of Series A-1 Preferred Stock, (a) for the previously outstanding Series A preferred stock this preference payment is equal to the greater of (i) $0.4058 per share, subject to certain adjustments, as defined, plus any dividends declared but unpaid on such shares, or (ii) the amount per share which the holders of the previously outstanding Series A preferred stock would be entitled to if the shares of the previously outstanding Series A had been converted into shares of common stock immediately prior to such voluntary or involuntary liquidation, dissolution, or winding-up of the Company; (b) for the previously outstanding Series B preferred stock this preference payment is equal to the greater of (i) $0.4503 per share, subject to certain adjustments, as defined, plus any dividends declared but unpaid on such shares, or (ii) the amount per share which the holders of the previously outstanding Series B preferred stock would be entitled to if the shares of the previously outstanding Series B had been converted into shares of common stock immediately prior to such voluntary or involuntary liquidation, dissolution, or winding-up of the Company; and (c) for the previously outstanding Series C preferred stock this preference payment is equal to the greater of (i) $0.4002 per share, subject to certain adjustments, as defined, plus any dividends declared but unpaid on such shares, or (ii) the amount per share which the holders of the previously outstanding Series C preferred stock would be entitled to if the shares of the previously outstanding Series C had been converted into shares of common stock immediately prior to such voluntary or involuntary liquidation, dissolution, or winding-up of the Company. In the case of Series A-2 Preferred Stock, this preference payment is equal to the greater of (a) $0.3397 per share, subject to certain adjustments, as defined, plus any dividends declared but unpaid on such shares, or (b) the amount per share which the holders of Series A-2 Preferred Stock would be entitled to if the shares of Series A-2 Preferred Stock had been converted into shares of common stock immediately prior to such voluntary or involuntary liquidation, dissolution, or winding-up of the Company. In the case of Series A-3 Preferred Stock, this preference payment is equal to the greater of (a) $0.6245 per share, subject to certain adjustments, as defined, plus any dividends declared but unpaid on such shares, or (b) the amount per share which the holders of Series A-3 Preferred Stock would be entitled to if the shares of Series A-3 Preferred Stock had been converted into shares of common stock immediately prior to such voluntary or involuntary liquidation, dissolution, or winding-up of the Company. In the case of Series A-4 Preferred Stock, this preference payment is equal to the greater of (a) $0.30 per share, subject to certain adjustments, as defined, plus any dividends declared but unpaid on such shares, or (b) the amount per share which the holders of Series A-4 Preferred Stock would be entitled to if the shares of Series A-4 Preferred Stock had been converted into shares of common stock immediately prior to such voluntary or involuntary liquidation, dissolution, or winding-up of the Company. In the case of Series B Preferred Stock, this preference payment is equal to the greater of (a) $0.30 per share, subject to certain adjustments, as defined, plus any dividends declared but unpaid on such shares, or (b) the amount per share which the holders of Series B Preferred Stock would be entitled to if the shares of Series B Preferred Stock had been converted into shares of common stock immediately prior to such voluntary or involuntary liquidation, dissolution, or winding-up of the Company. In the case of Series C Preferred Stock, this preference payment is equal to the greater of (a) $0.38811 per share, subject to certain adjustments, as defined, plus any dividends declared but unpaid on such shares, or (b) the amount per share which the holders of Series C Preferred Stock would be entitled to if the shares of Series C Preferred Stock had been converted into shares of common stock immediately prior to such voluntary or involuntary liquidation, dissolution, or winding-up of the Company.</w:t>
      </w:r>
    </w:p>
    <w:p>
      <w:pPr>
        <w:spacing w:after="0" w:line="168" w:lineRule="exact"/>
        <w:rPr>
          <w:sz w:val="20"/>
          <w:szCs w:val="20"/>
          <w:color w:val="auto"/>
        </w:rPr>
      </w:pPr>
    </w:p>
    <w:p>
      <w:pPr>
        <w:ind w:left="500" w:right="80" w:firstLine="819"/>
        <w:spacing w:after="0" w:line="280" w:lineRule="auto"/>
        <w:rPr>
          <w:sz w:val="20"/>
          <w:szCs w:val="20"/>
          <w:color w:val="auto"/>
        </w:rPr>
      </w:pPr>
      <w:r>
        <w:rPr>
          <w:rFonts w:ascii="Arial" w:cs="Arial" w:eastAsia="Arial" w:hAnsi="Arial"/>
          <w:sz w:val="16"/>
          <w:szCs w:val="16"/>
          <w:color w:val="auto"/>
        </w:rPr>
        <w:t>After the payment of all required preferential amounts to the holders of 2020 Preferred Stock, upon the dissolution, liquidation, or winding-up of the Company, any remaining assets and funds of the Company available for distribution shall be distributed among the holders of the then outstanding common stock, pro rata, according to the number of shares of common stock held by such holders.</w:t>
      </w:r>
    </w:p>
    <w:p>
      <w:pPr>
        <w:spacing w:after="0" w:line="9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740"/>
          </w:cols>
          <w:pgMar w:left="320" w:top="437" w:right="83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Redemption</w:t>
      </w:r>
    </w:p>
    <w:p>
      <w:pPr>
        <w:spacing w:after="0" w:line="206" w:lineRule="exact"/>
        <w:rPr>
          <w:sz w:val="20"/>
          <w:szCs w:val="20"/>
          <w:color w:val="auto"/>
        </w:rPr>
      </w:pPr>
    </w:p>
    <w:p>
      <w:pPr>
        <w:ind w:left="500" w:right="20" w:firstLine="819"/>
        <w:spacing w:after="0" w:line="269" w:lineRule="auto"/>
        <w:rPr>
          <w:sz w:val="20"/>
          <w:szCs w:val="20"/>
          <w:color w:val="auto"/>
        </w:rPr>
      </w:pPr>
      <w:r>
        <w:rPr>
          <w:rFonts w:ascii="Arial" w:cs="Arial" w:eastAsia="Arial" w:hAnsi="Arial"/>
          <w:sz w:val="16"/>
          <w:szCs w:val="16"/>
          <w:color w:val="auto"/>
        </w:rPr>
        <w:t>Series A-1, A-2 A-3, A-4, B and C Preferred Stock are required to be redeemed by the Company at a price of $0.4162, $0.3397, $0.6245, $0.30, $0.30 and $0.38811 per share, respectively, subject to certain adjustments, as defined in its amended and restated certificate of incorporation, plus all declared but unpaid dividends in three annual installments commencing 60 days after receipt by the Company, at any time on or after January 10, 2025 (the fifth anniversary of the Series C Preferred Stock original issue date), of written notice requesting redemption of all shares of 2020 Preferred Stock from the holders of a majority of the then outstanding shares of 2020 Preferred Stock (which must include at least 50% of the then outstanding shares of Series B Preferred Stock and 50% of the then outstanding shares of Series C Preferred Stock).</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b. COVID-19 Pandemic and CARES Act</w:t>
      </w:r>
    </w:p>
    <w:p>
      <w:pPr>
        <w:spacing w:after="0" w:line="210" w:lineRule="exact"/>
        <w:rPr>
          <w:sz w:val="20"/>
          <w:szCs w:val="20"/>
          <w:color w:val="auto"/>
        </w:rPr>
      </w:pPr>
    </w:p>
    <w:p>
      <w:pPr>
        <w:ind w:left="500" w:firstLine="819"/>
        <w:spacing w:after="0" w:line="265"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On March 11, 2020, the WHO classified the COVID-19 outbreak as a pandemic, based on the rapid increase in exposure globally. The COVID-19 pandemic is affecting the United States and global economies and may affect the Company’s operations and those of third parties on which the Company relies, including by causing disruptions in the supply of the Company’s product candidates and the conduct of current and future clinical trials. In addition, the COVID-19 pandemic may affect the operations of the Food and Drug Administration and other health authorities, which could result in delays of reviews and approvals, including with respect to the Company’s product candidates. Additionally, while the potential economic impact brought by, and the duration of, the COVID-19 pandemic is difficult to assess or predict, the impact of the COVID-19 pandemic on the global financial markets may reduce the Company’s ability to access capital, which could negatively impact the Company’s short-term and long-term liquidity. The ultimate impact of the COVID-19 pandemic is highly uncertain and subject to change. The Company does not yet know the full extent of potential delays or impacts on its business, financing or clinical trial activities or on healthcare systems or the global economy as a whole. However, these effects could have a material impact on the Company’s liquidity, capital resources, operations and business and those of the third parties on which the Company relies.</w:t>
      </w:r>
    </w:p>
    <w:p>
      <w:pPr>
        <w:spacing w:after="0" w:line="171" w:lineRule="exact"/>
        <w:rPr>
          <w:sz w:val="20"/>
          <w:szCs w:val="20"/>
          <w:color w:val="auto"/>
        </w:rPr>
      </w:pPr>
    </w:p>
    <w:p>
      <w:pPr>
        <w:ind w:left="500" w:right="20" w:firstLine="819"/>
        <w:spacing w:after="0" w:line="287" w:lineRule="auto"/>
        <w:rPr>
          <w:sz w:val="20"/>
          <w:szCs w:val="20"/>
          <w:color w:val="auto"/>
        </w:rPr>
      </w:pPr>
      <w:r>
        <w:rPr>
          <w:rFonts w:ascii="Arial" w:cs="Arial" w:eastAsia="Arial" w:hAnsi="Arial"/>
          <w:sz w:val="15"/>
          <w:szCs w:val="15"/>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It also appropriated funds for the SBA Paycheck Protection Program loans that are forgivable in certain situations to promote continued employment, as well as Economic Injury Disaster Loans to provide liquidity to small businesses harmed by COVID-19. Currently, the Company does not anticipate the need to obtain funding from such loans. The Company continues to examine the impact that the CARES Act may have on their business. Currently, the Company is unable to determine the impact that the CARES Act will have on their financial condition, results of operations, or liquidity.</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 Reverse stock split</w:t>
      </w:r>
    </w:p>
    <w:p>
      <w:pPr>
        <w:spacing w:after="0" w:line="210" w:lineRule="exact"/>
        <w:rPr>
          <w:sz w:val="20"/>
          <w:szCs w:val="20"/>
          <w:color w:val="auto"/>
        </w:rPr>
      </w:pPr>
    </w:p>
    <w:p>
      <w:pPr>
        <w:ind w:left="500" w:right="40" w:firstLine="819"/>
        <w:spacing w:after="0" w:line="269" w:lineRule="auto"/>
        <w:rPr>
          <w:sz w:val="20"/>
          <w:szCs w:val="20"/>
          <w:color w:val="auto"/>
        </w:rPr>
      </w:pPr>
      <w:r>
        <w:rPr>
          <w:rFonts w:ascii="Arial" w:cs="Arial" w:eastAsia="Arial" w:hAnsi="Arial"/>
          <w:sz w:val="16"/>
          <w:szCs w:val="16"/>
          <w:color w:val="auto"/>
        </w:rPr>
        <w:t>The Company’s Board of Directors approved a one-for-34.483 reverse stock split of its issued and outstanding common stock and stock options and a proportional adjustment to the existing conversion ratios for the Company’s redeemable convertible preferred stock pursuant to an amendment to the Company’s amended and restated certificate of incorporation effective as of April 27, 2020. Accordingly, all common stock shares, per share amounts, and additional paid in capital amounts for all periods presented in the accompanying consolidated financial statements and notes thereto have been retroactively adjusted, where applicable, to reflect the reverse stock split. In addition, pursuant to the same amendment, the number of authorized shares of common stock was reduced to 200,000,000 shares.</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0740"/>
          </w:cols>
          <w:pgMar w:left="320" w:top="437" w:right="83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205105</wp:posOffset>
            </wp:positionV>
            <wp:extent cx="65043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50430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244475</wp:posOffset>
            </wp:positionV>
            <wp:extent cx="65043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50430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00" w:firstLine="819"/>
        <w:spacing w:after="0" w:line="280" w:lineRule="auto"/>
        <w:rPr>
          <w:sz w:val="20"/>
          <w:szCs w:val="20"/>
          <w:color w:val="auto"/>
        </w:rPr>
      </w:pPr>
      <w:r>
        <w:rPr>
          <w:rFonts w:ascii="Arial" w:cs="Arial" w:eastAsia="Arial" w:hAnsi="Arial"/>
          <w:sz w:val="16"/>
          <w:szCs w:val="16"/>
          <w:color w:val="auto"/>
        </w:rPr>
        <w:t>Through and including , 2020,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60"/>
        <w:spacing w:after="0"/>
        <w:rPr>
          <w:sz w:val="20"/>
          <w:szCs w:val="20"/>
          <w:color w:val="auto"/>
        </w:rPr>
      </w:pPr>
      <w:r>
        <w:rPr>
          <w:rFonts w:ascii="Arial" w:cs="Arial" w:eastAsia="Arial" w:hAnsi="Arial"/>
          <w:sz w:val="30"/>
          <w:szCs w:val="30"/>
          <w:b w:val="1"/>
          <w:bCs w:val="1"/>
          <w:color w:val="auto"/>
        </w:rPr>
        <w:t>3,500,000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164465</wp:posOffset>
            </wp:positionV>
            <wp:extent cx="1913255" cy="5581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913255" cy="55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60"/>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1001395</wp:posOffset>
            </wp:positionV>
            <wp:extent cx="13074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77470</wp:posOffset>
            </wp:positionV>
            <wp:extent cx="13074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79"/>
        <w:spacing w:after="0"/>
        <w:rPr>
          <w:sz w:val="20"/>
          <w:szCs w:val="20"/>
          <w:color w:val="auto"/>
        </w:rPr>
      </w:pPr>
      <w:r>
        <w:rPr>
          <w:rFonts w:ascii="Arial" w:cs="Arial" w:eastAsia="Arial" w:hAnsi="Arial"/>
          <w:sz w:val="30"/>
          <w:szCs w:val="30"/>
          <w:b w:val="1"/>
          <w:bCs w:val="1"/>
          <w:color w:val="auto"/>
        </w:rPr>
        <w:t>BofA Securities</w:t>
      </w:r>
    </w:p>
    <w:p>
      <w:pPr>
        <w:spacing w:after="0" w:line="195" w:lineRule="exact"/>
        <w:rPr>
          <w:sz w:val="20"/>
          <w:szCs w:val="20"/>
          <w:color w:val="auto"/>
        </w:rPr>
      </w:pPr>
    </w:p>
    <w:p>
      <w:pPr>
        <w:jc w:val="center"/>
        <w:ind w:right="-779"/>
        <w:spacing w:after="0"/>
        <w:rPr>
          <w:sz w:val="20"/>
          <w:szCs w:val="20"/>
          <w:color w:val="auto"/>
        </w:rPr>
      </w:pPr>
      <w:r>
        <w:rPr>
          <w:rFonts w:ascii="Arial" w:cs="Arial" w:eastAsia="Arial" w:hAnsi="Arial"/>
          <w:sz w:val="30"/>
          <w:szCs w:val="30"/>
          <w:b w:val="1"/>
          <w:bCs w:val="1"/>
          <w:color w:val="auto"/>
        </w:rPr>
        <w:t>Jefferies</w:t>
      </w:r>
    </w:p>
    <w:p>
      <w:pPr>
        <w:spacing w:after="0" w:line="195" w:lineRule="exact"/>
        <w:rPr>
          <w:sz w:val="20"/>
          <w:szCs w:val="20"/>
          <w:color w:val="auto"/>
        </w:rPr>
      </w:pPr>
    </w:p>
    <w:p>
      <w:pPr>
        <w:jc w:val="center"/>
        <w:ind w:right="-779"/>
        <w:spacing w:after="0"/>
        <w:rPr>
          <w:sz w:val="20"/>
          <w:szCs w:val="20"/>
          <w:color w:val="auto"/>
        </w:rPr>
      </w:pPr>
      <w:r>
        <w:rPr>
          <w:rFonts w:ascii="Arial" w:cs="Arial" w:eastAsia="Arial" w:hAnsi="Arial"/>
          <w:sz w:val="30"/>
          <w:szCs w:val="30"/>
          <w:b w:val="1"/>
          <w:bCs w:val="1"/>
          <w:color w:val="auto"/>
        </w:rPr>
        <w:t>William Blair</w:t>
      </w:r>
    </w:p>
    <w:p>
      <w:pPr>
        <w:spacing w:after="0" w:line="195" w:lineRule="exact"/>
        <w:rPr>
          <w:sz w:val="20"/>
          <w:szCs w:val="20"/>
          <w:color w:val="auto"/>
        </w:rPr>
      </w:pPr>
    </w:p>
    <w:p>
      <w:pPr>
        <w:jc w:val="center"/>
        <w:ind w:right="-779"/>
        <w:spacing w:after="0"/>
        <w:rPr>
          <w:sz w:val="20"/>
          <w:szCs w:val="20"/>
          <w:color w:val="auto"/>
        </w:rPr>
      </w:pPr>
      <w:r>
        <w:rPr>
          <w:rFonts w:ascii="Arial" w:cs="Arial" w:eastAsia="Arial" w:hAnsi="Arial"/>
          <w:sz w:val="30"/>
          <w:szCs w:val="30"/>
          <w:b w:val="1"/>
          <w:bCs w:val="1"/>
          <w:color w:val="auto"/>
        </w:rPr>
        <w:t>BTIG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165100</wp:posOffset>
            </wp:positionV>
            <wp:extent cx="65043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0430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213360</wp:posOffset>
            </wp:positionV>
            <wp:extent cx="65043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04305" cy="8255"/>
                    </a:xfrm>
                    <a:prstGeom prst="rect">
                      <a:avLst/>
                    </a:prstGeom>
                    <a:noFill/>
                  </pic:spPr>
                </pic:pic>
              </a:graphicData>
            </a:graphic>
          </wp:anchor>
        </w:drawing>
      </w:r>
    </w:p>
    <w:p>
      <w:pPr>
        <w:sectPr>
          <w:pgSz w:w="11900" w:h="16838" w:orient="portrait"/>
          <w:cols w:equalWidth="0" w:num="1">
            <w:col w:w="10460"/>
          </w:cols>
          <w:pgMar w:left="320" w:top="437" w:right="111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PART II</w:t>
      </w:r>
    </w:p>
    <w:p>
      <w:pPr>
        <w:spacing w:after="0" w:line="206"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210" w:lineRule="exact"/>
        <w:rPr>
          <w:sz w:val="20"/>
          <w:szCs w:val="20"/>
          <w:color w:val="auto"/>
        </w:rPr>
      </w:pPr>
    </w:p>
    <w:p>
      <w:pPr>
        <w:ind w:left="500" w:right="80" w:firstLine="819"/>
        <w:spacing w:after="0" w:line="280"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77" w:lineRule="exact"/>
        <w:rPr>
          <w:sz w:val="20"/>
          <w:szCs w:val="20"/>
          <w:color w:val="auto"/>
        </w:rPr>
      </w:pPr>
    </w:p>
    <w:tbl>
      <w:tblPr>
        <w:tblLayout w:type="fixed"/>
        <w:tblInd w:w="194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b w:val="1"/>
                <w:bCs w:val="1"/>
                <w:color w:val="auto"/>
              </w:rPr>
              <w:t>Amount</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6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Securities and Exchange Commission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8,360</w:t>
            </w:r>
          </w:p>
        </w:tc>
        <w:tc>
          <w:tcPr>
            <w:tcW w:w="60" w:type="dxa"/>
            <w:vAlign w:val="bottom"/>
            <w:shd w:val="clear" w:color="auto" w:fill="CCEEFF"/>
          </w:tcPr>
          <w:p>
            <w:pPr>
              <w:spacing w:after="0"/>
              <w:rPr>
                <w:sz w:val="16"/>
                <w:szCs w:val="16"/>
                <w:color w:val="auto"/>
              </w:rPr>
            </w:pPr>
          </w:p>
        </w:tc>
      </w:tr>
      <w:tr>
        <w:trPr>
          <w:trHeight w:val="201"/>
        </w:trPr>
        <w:tc>
          <w:tcPr>
            <w:tcW w:w="6480" w:type="dxa"/>
            <w:vAlign w:val="bottom"/>
          </w:tcPr>
          <w:p>
            <w:pPr>
              <w:spacing w:after="0"/>
              <w:rPr>
                <w:sz w:val="20"/>
                <w:szCs w:val="20"/>
                <w:color w:val="auto"/>
              </w:rPr>
            </w:pPr>
            <w:r>
              <w:rPr>
                <w:rFonts w:ascii="Arial" w:cs="Arial" w:eastAsia="Arial" w:hAnsi="Arial"/>
                <w:sz w:val="17"/>
                <w:szCs w:val="17"/>
                <w:color w:val="auto"/>
              </w:rPr>
              <w:t>FINRA filing fee</w:t>
            </w:r>
          </w:p>
        </w:tc>
        <w:tc>
          <w:tcPr>
            <w:tcW w:w="12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10,160</w:t>
            </w:r>
          </w:p>
        </w:tc>
        <w:tc>
          <w:tcPr>
            <w:tcW w:w="60" w:type="dxa"/>
            <w:vAlign w:val="bottom"/>
          </w:tcPr>
          <w:p>
            <w:pPr>
              <w:spacing w:after="0"/>
              <w:rPr>
                <w:sz w:val="17"/>
                <w:szCs w:val="17"/>
                <w:color w:val="auto"/>
              </w:rPr>
            </w:pPr>
          </w:p>
        </w:tc>
      </w:tr>
      <w:tr>
        <w:trPr>
          <w:trHeight w:val="201"/>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Nasdaq initial listing fee</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150,000</w:t>
            </w:r>
          </w:p>
        </w:tc>
        <w:tc>
          <w:tcPr>
            <w:tcW w:w="60" w:type="dxa"/>
            <w:vAlign w:val="bottom"/>
            <w:shd w:val="clear" w:color="auto" w:fill="CCEEFF"/>
          </w:tcPr>
          <w:p>
            <w:pPr>
              <w:spacing w:after="0"/>
              <w:rPr>
                <w:sz w:val="17"/>
                <w:szCs w:val="17"/>
                <w:color w:val="auto"/>
              </w:rPr>
            </w:pPr>
          </w:p>
        </w:tc>
      </w:tr>
      <w:tr>
        <w:trPr>
          <w:trHeight w:val="201"/>
        </w:trPr>
        <w:tc>
          <w:tcPr>
            <w:tcW w:w="6480" w:type="dxa"/>
            <w:vAlign w:val="bottom"/>
          </w:tcPr>
          <w:p>
            <w:pPr>
              <w:spacing w:after="0"/>
              <w:rPr>
                <w:sz w:val="20"/>
                <w:szCs w:val="20"/>
                <w:color w:val="auto"/>
              </w:rPr>
            </w:pPr>
            <w:r>
              <w:rPr>
                <w:rFonts w:ascii="Arial" w:cs="Arial" w:eastAsia="Arial" w:hAnsi="Arial"/>
                <w:sz w:val="17"/>
                <w:szCs w:val="17"/>
                <w:color w:val="auto"/>
              </w:rPr>
              <w:t>Accountants’ fees and expenses</w:t>
            </w:r>
          </w:p>
        </w:tc>
        <w:tc>
          <w:tcPr>
            <w:tcW w:w="12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300,000</w:t>
            </w:r>
          </w:p>
        </w:tc>
        <w:tc>
          <w:tcPr>
            <w:tcW w:w="60" w:type="dxa"/>
            <w:vAlign w:val="bottom"/>
          </w:tcPr>
          <w:p>
            <w:pPr>
              <w:spacing w:after="0"/>
              <w:rPr>
                <w:sz w:val="17"/>
                <w:szCs w:val="17"/>
                <w:color w:val="auto"/>
              </w:rPr>
            </w:pPr>
          </w:p>
        </w:tc>
      </w:tr>
      <w:tr>
        <w:trPr>
          <w:trHeight w:val="201"/>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9"/>
              </w:rPr>
              <w:t>1,700,000</w:t>
            </w:r>
          </w:p>
        </w:tc>
        <w:tc>
          <w:tcPr>
            <w:tcW w:w="60" w:type="dxa"/>
            <w:vAlign w:val="bottom"/>
            <w:shd w:val="clear" w:color="auto" w:fill="CCEEFF"/>
          </w:tcPr>
          <w:p>
            <w:pPr>
              <w:spacing w:after="0"/>
              <w:rPr>
                <w:sz w:val="17"/>
                <w:szCs w:val="17"/>
                <w:color w:val="auto"/>
              </w:rPr>
            </w:pPr>
          </w:p>
        </w:tc>
      </w:tr>
      <w:tr>
        <w:trPr>
          <w:trHeight w:val="201"/>
        </w:trPr>
        <w:tc>
          <w:tcPr>
            <w:tcW w:w="6480" w:type="dxa"/>
            <w:vAlign w:val="bottom"/>
          </w:tcPr>
          <w:p>
            <w:pPr>
              <w:spacing w:after="0"/>
              <w:rPr>
                <w:sz w:val="20"/>
                <w:szCs w:val="20"/>
                <w:color w:val="auto"/>
              </w:rPr>
            </w:pPr>
            <w:r>
              <w:rPr>
                <w:rFonts w:ascii="Arial" w:cs="Arial" w:eastAsia="Arial" w:hAnsi="Arial"/>
                <w:sz w:val="17"/>
                <w:szCs w:val="17"/>
                <w:color w:val="auto"/>
              </w:rPr>
              <w:t>Blue Sky fees and expenses</w:t>
            </w:r>
          </w:p>
        </w:tc>
        <w:tc>
          <w:tcPr>
            <w:tcW w:w="12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15,000</w:t>
            </w:r>
          </w:p>
        </w:tc>
        <w:tc>
          <w:tcPr>
            <w:tcW w:w="60" w:type="dxa"/>
            <w:vAlign w:val="bottom"/>
          </w:tcPr>
          <w:p>
            <w:pPr>
              <w:spacing w:after="0"/>
              <w:rPr>
                <w:sz w:val="17"/>
                <w:szCs w:val="17"/>
                <w:color w:val="auto"/>
              </w:rPr>
            </w:pPr>
          </w:p>
        </w:tc>
      </w:tr>
      <w:tr>
        <w:trPr>
          <w:trHeight w:val="201"/>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Transfer Agent’s fees and expenses</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4,500</w:t>
            </w:r>
          </w:p>
        </w:tc>
        <w:tc>
          <w:tcPr>
            <w:tcW w:w="60" w:type="dxa"/>
            <w:vAlign w:val="bottom"/>
            <w:shd w:val="clear" w:color="auto" w:fill="CCEEFF"/>
          </w:tcPr>
          <w:p>
            <w:pPr>
              <w:spacing w:after="0"/>
              <w:rPr>
                <w:sz w:val="17"/>
                <w:szCs w:val="17"/>
                <w:color w:val="auto"/>
              </w:rPr>
            </w:pPr>
          </w:p>
        </w:tc>
      </w:tr>
      <w:tr>
        <w:trPr>
          <w:trHeight w:val="201"/>
        </w:trPr>
        <w:tc>
          <w:tcPr>
            <w:tcW w:w="648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285,000</w:t>
            </w:r>
          </w:p>
        </w:tc>
        <w:tc>
          <w:tcPr>
            <w:tcW w:w="60" w:type="dxa"/>
            <w:vAlign w:val="bottom"/>
          </w:tcPr>
          <w:p>
            <w:pPr>
              <w:spacing w:after="0"/>
              <w:rPr>
                <w:sz w:val="17"/>
                <w:szCs w:val="17"/>
                <w:color w:val="auto"/>
              </w:rPr>
            </w:pPr>
          </w:p>
        </w:tc>
      </w:tr>
      <w:tr>
        <w:trPr>
          <w:trHeight w:val="201"/>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121,980</w:t>
            </w:r>
          </w:p>
        </w:tc>
        <w:tc>
          <w:tcPr>
            <w:tcW w:w="60" w:type="dxa"/>
            <w:vAlign w:val="bottom"/>
            <w:shd w:val="clear" w:color="auto" w:fill="CCEEFF"/>
          </w:tcPr>
          <w:p>
            <w:pPr>
              <w:spacing w:after="0"/>
              <w:rPr>
                <w:sz w:val="17"/>
                <w:szCs w:val="17"/>
                <w:color w:val="auto"/>
              </w:rPr>
            </w:pPr>
          </w:p>
        </w:tc>
      </w:tr>
      <w:tr>
        <w:trPr>
          <w:trHeight w:val="206"/>
        </w:trPr>
        <w:tc>
          <w:tcPr>
            <w:tcW w:w="6480" w:type="dxa"/>
            <w:vAlign w:val="bottom"/>
          </w:tcPr>
          <w:p>
            <w:pPr>
              <w:spacing w:after="0"/>
              <w:rPr>
                <w:sz w:val="20"/>
                <w:szCs w:val="20"/>
                <w:color w:val="auto"/>
              </w:rPr>
            </w:pPr>
            <w:r>
              <w:rPr>
                <w:rFonts w:ascii="Arial" w:cs="Arial" w:eastAsia="Arial" w:hAnsi="Arial"/>
                <w:sz w:val="17"/>
                <w:szCs w:val="17"/>
                <w:color w:val="auto"/>
              </w:rPr>
              <w:t>Total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w w:val="89"/>
              </w:rPr>
              <w:t>2,595,000</w:t>
            </w:r>
          </w:p>
        </w:tc>
        <w:tc>
          <w:tcPr>
            <w:tcW w:w="6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10" w:lineRule="exact"/>
        <w:rPr>
          <w:sz w:val="20"/>
          <w:szCs w:val="20"/>
          <w:color w:val="auto"/>
        </w:rPr>
      </w:pPr>
    </w:p>
    <w:p>
      <w:pPr>
        <w:ind w:left="500" w:firstLine="819"/>
        <w:spacing w:after="0" w:line="268"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9" w:lineRule="exact"/>
        <w:rPr>
          <w:sz w:val="20"/>
          <w:szCs w:val="20"/>
          <w:color w:val="auto"/>
        </w:rPr>
      </w:pPr>
    </w:p>
    <w:p>
      <w:pPr>
        <w:ind w:left="500" w:right="20" w:firstLine="819"/>
        <w:spacing w:after="0" w:line="285" w:lineRule="auto"/>
        <w:rPr>
          <w:sz w:val="20"/>
          <w:szCs w:val="20"/>
          <w:color w:val="auto"/>
        </w:rPr>
      </w:pPr>
      <w:r>
        <w:rPr>
          <w:rFonts w:ascii="Arial" w:cs="Arial" w:eastAsia="Arial" w:hAnsi="Arial"/>
          <w:sz w:val="15"/>
          <w:szCs w:val="15"/>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9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720"/>
          </w:cols>
          <w:pgMar w:left="320" w:top="438" w:right="85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500" w:right="20" w:firstLine="819"/>
        <w:spacing w:after="0" w:line="282" w:lineRule="auto"/>
        <w:rPr>
          <w:sz w:val="20"/>
          <w:szCs w:val="20"/>
          <w:color w:val="auto"/>
        </w:rPr>
      </w:pPr>
      <w:r>
        <w:rPr>
          <w:rFonts w:ascii="Arial" w:cs="Arial" w:eastAsia="Arial" w:hAnsi="Arial"/>
          <w:sz w:val="15"/>
          <w:szCs w:val="15"/>
          <w:color w:val="auto"/>
        </w:rPr>
        <w:t>Our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favour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66" w:lineRule="exact"/>
        <w:rPr>
          <w:sz w:val="20"/>
          <w:szCs w:val="20"/>
          <w:color w:val="auto"/>
        </w:rPr>
      </w:pPr>
    </w:p>
    <w:p>
      <w:pPr>
        <w:ind w:left="500" w:firstLine="819"/>
        <w:spacing w:after="0" w:line="253" w:lineRule="auto"/>
        <w:rPr>
          <w:sz w:val="20"/>
          <w:szCs w:val="20"/>
          <w:color w:val="auto"/>
        </w:rPr>
      </w:pPr>
      <w:r>
        <w:rPr>
          <w:rFonts w:ascii="Arial" w:cs="Arial" w:eastAsia="Arial" w:hAnsi="Arial"/>
          <w:sz w:val="17"/>
          <w:szCs w:val="17"/>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500" w:right="400" w:firstLine="819"/>
        <w:spacing w:after="0" w:line="268" w:lineRule="auto"/>
        <w:rPr>
          <w:sz w:val="20"/>
          <w:szCs w:val="20"/>
          <w:color w:val="auto"/>
        </w:rPr>
      </w:pPr>
      <w:r>
        <w:rPr>
          <w:rFonts w:ascii="Arial" w:cs="Arial" w:eastAsia="Arial" w:hAnsi="Arial"/>
          <w:sz w:val="17"/>
          <w:szCs w:val="17"/>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66" w:lineRule="exact"/>
        <w:rPr>
          <w:sz w:val="20"/>
          <w:szCs w:val="20"/>
          <w:color w:val="auto"/>
        </w:rPr>
      </w:pPr>
    </w:p>
    <w:p>
      <w:pPr>
        <w:ind w:left="500" w:firstLine="819"/>
        <w:spacing w:after="0" w:line="257" w:lineRule="auto"/>
        <w:rPr>
          <w:sz w:val="20"/>
          <w:szCs w:val="20"/>
          <w:color w:val="auto"/>
        </w:rPr>
      </w:pPr>
      <w:r>
        <w:rPr>
          <w:rFonts w:ascii="Arial" w:cs="Arial" w:eastAsia="Arial" w:hAnsi="Arial"/>
          <w:sz w:val="17"/>
          <w:szCs w:val="17"/>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210" w:lineRule="exact"/>
        <w:rPr>
          <w:sz w:val="20"/>
          <w:szCs w:val="20"/>
          <w:color w:val="auto"/>
        </w:rPr>
      </w:pPr>
    </w:p>
    <w:p>
      <w:pPr>
        <w:ind w:left="500" w:right="440" w:firstLine="819"/>
        <w:spacing w:after="0" w:line="257" w:lineRule="auto"/>
        <w:rPr>
          <w:sz w:val="20"/>
          <w:szCs w:val="20"/>
          <w:color w:val="auto"/>
        </w:rPr>
      </w:pPr>
      <w:r>
        <w:rPr>
          <w:rFonts w:ascii="Arial" w:cs="Arial" w:eastAsia="Arial" w:hAnsi="Arial"/>
          <w:sz w:val="17"/>
          <w:szCs w:val="17"/>
          <w:color w:val="auto"/>
        </w:rPr>
        <w:t>Set forth below is information regarding shares of capital stock issued by the registrant within the past two years. Also included is the consideration received by us for such shares and information relating to the section of the Securities Act, or rule of the Securities and Exchange Commission, under which exemption from registration was claimed.</w:t>
      </w:r>
    </w:p>
    <w:p>
      <w:pPr>
        <w:spacing w:after="0" w:line="175" w:lineRule="exact"/>
        <w:rPr>
          <w:sz w:val="20"/>
          <w:szCs w:val="20"/>
          <w:color w:val="auto"/>
        </w:rPr>
      </w:pPr>
    </w:p>
    <w:p>
      <w:pPr>
        <w:ind w:left="1680" w:hanging="358"/>
        <w:spacing w:after="0"/>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Issuance of Capital Stock.</w:t>
      </w:r>
    </w:p>
    <w:p>
      <w:pPr>
        <w:spacing w:after="0" w:line="206" w:lineRule="exact"/>
        <w:rPr>
          <w:sz w:val="20"/>
          <w:szCs w:val="20"/>
          <w:color w:val="auto"/>
        </w:rPr>
      </w:pPr>
    </w:p>
    <w:p>
      <w:pPr>
        <w:ind w:left="500" w:right="40" w:firstLine="819"/>
        <w:spacing w:after="0" w:line="253" w:lineRule="auto"/>
        <w:rPr>
          <w:sz w:val="20"/>
          <w:szCs w:val="20"/>
          <w:color w:val="auto"/>
        </w:rPr>
      </w:pPr>
      <w:r>
        <w:rPr>
          <w:rFonts w:ascii="Arial" w:cs="Arial" w:eastAsia="Arial" w:hAnsi="Arial"/>
          <w:sz w:val="17"/>
          <w:szCs w:val="17"/>
          <w:color w:val="auto"/>
        </w:rPr>
        <w:t>Since January 1, 2017, the registrant issued (i) an aggregate of 98,351,953 shares of Series B preferred stock for an aggregate consideration of approximately $29.5 million to accredited investors, and (ii) an aggregate of 78,306,611 shares of our Series C preferred stock for an aggregate consideration of approximately $30.4 million to accredited investors, in each case, pursuant to Section 4(a)(2) of the Securities Act and Rule 506 as a transaction not involving a public offering.</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700"/>
          </w:cols>
          <w:pgMar w:left="320" w:top="437" w:right="87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680" w:hanging="358"/>
        <w:spacing w:after="0"/>
        <w:tabs>
          <w:tab w:leader="none" w:pos="1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Equity Grants.</w:t>
      </w:r>
    </w:p>
    <w:p>
      <w:pPr>
        <w:spacing w:after="0" w:line="206" w:lineRule="exact"/>
        <w:rPr>
          <w:sz w:val="20"/>
          <w:szCs w:val="20"/>
          <w:color w:val="auto"/>
        </w:rPr>
      </w:pPr>
    </w:p>
    <w:p>
      <w:pPr>
        <w:ind w:left="500" w:right="200" w:firstLine="819"/>
        <w:spacing w:after="0" w:line="257" w:lineRule="auto"/>
        <w:rPr>
          <w:sz w:val="20"/>
          <w:szCs w:val="20"/>
          <w:color w:val="auto"/>
        </w:rPr>
      </w:pPr>
      <w:r>
        <w:rPr>
          <w:rFonts w:ascii="Arial" w:cs="Arial" w:eastAsia="Arial" w:hAnsi="Arial"/>
          <w:sz w:val="17"/>
          <w:szCs w:val="17"/>
          <w:color w:val="auto"/>
        </w:rPr>
        <w:t>Since January 1, 2017, the registrant granted stock options to purchase an aggregate of 850,395 shares of its common stock, at a weighted average exercise price per share of $3.32, to employees, non-employees and directors in connection with services provided to the registrant by such parties.</w:t>
      </w:r>
    </w:p>
    <w:p>
      <w:pPr>
        <w:spacing w:after="0" w:line="175" w:lineRule="exact"/>
        <w:rPr>
          <w:sz w:val="20"/>
          <w:szCs w:val="20"/>
          <w:color w:val="auto"/>
        </w:rPr>
      </w:pPr>
    </w:p>
    <w:p>
      <w:pPr>
        <w:ind w:left="500" w:right="40" w:firstLine="819"/>
        <w:spacing w:after="0" w:line="257" w:lineRule="auto"/>
        <w:rPr>
          <w:sz w:val="20"/>
          <w:szCs w:val="20"/>
          <w:color w:val="auto"/>
        </w:rPr>
      </w:pPr>
      <w:r>
        <w:rPr>
          <w:rFonts w:ascii="Arial" w:cs="Arial" w:eastAsia="Arial" w:hAnsi="Arial"/>
          <w:sz w:val="17"/>
          <w:szCs w:val="17"/>
          <w:color w:val="auto"/>
        </w:rPr>
        <w:t>In April 2020, the registrant granted stock options to purchase an aggregate of 494,716 shares of common stock, which will become effective in connection with this offering, to certain of the registrant’s directors, executive officers and employees, at an exercise price per share equal to the initial public offering price in this offering in connection with services provided to the registrant.</w:t>
      </w:r>
    </w:p>
    <w:p>
      <w:pPr>
        <w:spacing w:after="0" w:line="175" w:lineRule="exact"/>
        <w:rPr>
          <w:sz w:val="20"/>
          <w:szCs w:val="20"/>
          <w:color w:val="auto"/>
        </w:rPr>
      </w:pPr>
    </w:p>
    <w:p>
      <w:pPr>
        <w:ind w:left="500" w:firstLine="819"/>
        <w:spacing w:after="0" w:line="298" w:lineRule="auto"/>
        <w:rPr>
          <w:sz w:val="20"/>
          <w:szCs w:val="20"/>
          <w:color w:val="auto"/>
        </w:rPr>
      </w:pPr>
      <w:r>
        <w:rPr>
          <w:rFonts w:ascii="Arial" w:cs="Arial" w:eastAsia="Arial" w:hAnsi="Arial"/>
          <w:sz w:val="15"/>
          <w:szCs w:val="15"/>
          <w:color w:val="auto"/>
        </w:rPr>
        <w:t>The issuances of such stock options, the shares of common stock issuable upon the exercise of such options and such restricted shares of common stock were issued pursuant to written compensatory plans or arrangements with the registrant’s employees, directors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w:t>
      </w:r>
    </w:p>
    <w:p>
      <w:pPr>
        <w:spacing w:after="0" w:line="148" w:lineRule="exact"/>
        <w:rPr>
          <w:sz w:val="20"/>
          <w:szCs w:val="20"/>
          <w:color w:val="auto"/>
        </w:rPr>
      </w:pPr>
    </w:p>
    <w:p>
      <w:pPr>
        <w:ind w:left="1320"/>
        <w:spacing w:after="0"/>
        <w:tabs>
          <w:tab w:leader="none" w:pos="166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4"/>
          <w:szCs w:val="14"/>
          <w:color w:val="auto"/>
        </w:rPr>
        <w:t>Warrants</w:t>
      </w:r>
    </w:p>
    <w:p>
      <w:pPr>
        <w:spacing w:after="0" w:line="206" w:lineRule="exact"/>
        <w:rPr>
          <w:sz w:val="20"/>
          <w:szCs w:val="20"/>
          <w:color w:val="auto"/>
        </w:rPr>
      </w:pPr>
    </w:p>
    <w:p>
      <w:pPr>
        <w:ind w:left="500" w:right="480" w:firstLine="819"/>
        <w:spacing w:after="0" w:line="299" w:lineRule="auto"/>
        <w:rPr>
          <w:sz w:val="20"/>
          <w:szCs w:val="20"/>
          <w:color w:val="auto"/>
        </w:rPr>
      </w:pPr>
      <w:r>
        <w:rPr>
          <w:rFonts w:ascii="Arial" w:cs="Arial" w:eastAsia="Arial" w:hAnsi="Arial"/>
          <w:sz w:val="16"/>
          <w:szCs w:val="16"/>
          <w:color w:val="auto"/>
        </w:rPr>
        <w:t>Since January 1, 2017, the registrant issued warrants to purchase up to an aggregate of 681,256 shares of common stock to accredited investors pursuant to Section 4(a)(2) of the Securities Act and Rule 506 as a transaction not involving a public offering.</w:t>
      </w:r>
    </w:p>
    <w:p>
      <w:pPr>
        <w:spacing w:after="0" w:line="144" w:lineRule="exact"/>
        <w:rPr>
          <w:sz w:val="20"/>
          <w:szCs w:val="20"/>
          <w:color w:val="auto"/>
        </w:rPr>
      </w:pPr>
    </w:p>
    <w:p>
      <w:pPr>
        <w:ind w:left="1680" w:hanging="358"/>
        <w:spacing w:after="0"/>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Issuance of Notes</w:t>
      </w:r>
    </w:p>
    <w:p>
      <w:pPr>
        <w:spacing w:after="0" w:line="206" w:lineRule="exact"/>
        <w:rPr>
          <w:sz w:val="20"/>
          <w:szCs w:val="20"/>
          <w:color w:val="auto"/>
        </w:rPr>
      </w:pPr>
    </w:p>
    <w:p>
      <w:pPr>
        <w:ind w:left="500" w:right="160" w:firstLine="819"/>
        <w:spacing w:after="0" w:line="253" w:lineRule="auto"/>
        <w:rPr>
          <w:sz w:val="20"/>
          <w:szCs w:val="20"/>
          <w:color w:val="auto"/>
        </w:rPr>
      </w:pPr>
      <w:r>
        <w:rPr>
          <w:rFonts w:ascii="Arial" w:cs="Arial" w:eastAsia="Arial" w:hAnsi="Arial"/>
          <w:sz w:val="17"/>
          <w:szCs w:val="17"/>
          <w:color w:val="auto"/>
        </w:rPr>
        <w:t>On March 14, 2018, the registrant issued up to $500,000 in aggregate principal amount of convertible promissory notes to accredited investors pursuant to Section 4(a)(2) of the Securities Act as a transaction not involving a public offering. On June 5, 2018, upon the closing of the Series B preferred stock financing, these convertible promissory notes, as well as accrued interest thereon, converted into 1,685,297 shares of Series B preferred stock.</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740"/>
          </w:cols>
          <w:pgMar w:left="320" w:top="438" w:right="83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10" w:lineRule="exact"/>
        <w:rPr>
          <w:sz w:val="20"/>
          <w:szCs w:val="20"/>
          <w:color w:val="auto"/>
        </w:rPr>
      </w:pPr>
    </w:p>
    <w:p>
      <w:pPr>
        <w:ind w:left="1680" w:hanging="358"/>
        <w:spacing w:after="0"/>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Exhibits.</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5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120" w:type="dxa"/>
            <w:vAlign w:val="bottom"/>
            <w:gridSpan w:val="3"/>
            <w:vMerge w:val="restart"/>
          </w:tcPr>
          <w:p>
            <w:pPr>
              <w:ind w:left="188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20"/>
                <w:szCs w:val="20"/>
                <w:color w:val="auto"/>
              </w:rPr>
            </w:pPr>
            <w:r>
              <w:rPr>
                <w:rFonts w:ascii="Arial" w:cs="Arial" w:eastAsia="Arial" w:hAnsi="Arial"/>
                <w:sz w:val="13"/>
                <w:szCs w:val="13"/>
                <w:b w:val="1"/>
                <w:bCs w:val="1"/>
                <w:color w:val="auto"/>
                <w:w w:val="93"/>
              </w:rPr>
              <w:t>Number</w:t>
            </w:r>
          </w:p>
        </w:tc>
        <w:tc>
          <w:tcPr>
            <w:tcW w:w="5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480" w:type="dxa"/>
            <w:vAlign w:val="bottom"/>
            <w:tcBorders>
              <w:top w:val="single" w:sz="8" w:color="auto"/>
            </w:tcBorders>
          </w:tcPr>
          <w:p>
            <w:pPr>
              <w:jc w:val="center"/>
              <w:ind w:right="18"/>
              <w:spacing w:after="0"/>
              <w:rPr>
                <w:sz w:val="20"/>
                <w:szCs w:val="20"/>
                <w:color w:val="auto"/>
              </w:rPr>
            </w:pPr>
            <w:r>
              <w:rPr>
                <w:rFonts w:ascii="Arial" w:cs="Arial" w:eastAsia="Arial" w:hAnsi="Arial"/>
                <w:sz w:val="17"/>
                <w:szCs w:val="17"/>
                <w:color w:val="auto"/>
                <w:w w:val="92"/>
              </w:rPr>
              <w:t>1.1</w:t>
            </w:r>
          </w:p>
        </w:tc>
        <w:tc>
          <w:tcPr>
            <w:tcW w:w="560" w:type="dxa"/>
            <w:vAlign w:val="bottom"/>
          </w:tcPr>
          <w:p>
            <w:pPr>
              <w:spacing w:after="0"/>
              <w:rPr>
                <w:sz w:val="24"/>
                <w:szCs w:val="24"/>
                <w:color w:val="auto"/>
              </w:rPr>
            </w:pPr>
          </w:p>
        </w:tc>
        <w:tc>
          <w:tcPr>
            <w:tcW w:w="3980" w:type="dxa"/>
            <w:vAlign w:val="bottom"/>
            <w:gridSpan w:val="2"/>
          </w:tcPr>
          <w:p>
            <w:pPr>
              <w:spacing w:after="0"/>
              <w:rPr>
                <w:rFonts w:ascii="Arial" w:cs="Arial" w:eastAsia="Arial" w:hAnsi="Arial"/>
                <w:sz w:val="17"/>
                <w:szCs w:val="17"/>
                <w:u w:val="single" w:color="auto"/>
                <w:color w:val="0000EE"/>
              </w:rPr>
            </w:pPr>
            <w:hyperlink w:anchor="page234">
              <w:r>
                <w:rPr>
                  <w:rFonts w:ascii="Arial" w:cs="Arial" w:eastAsia="Arial" w:hAnsi="Arial"/>
                  <w:sz w:val="17"/>
                  <w:szCs w:val="17"/>
                  <w:u w:val="single" w:color="auto"/>
                  <w:color w:val="0000EE"/>
                </w:rPr>
                <w:t>Form of Underwriting Agreement</w:t>
              </w:r>
            </w:hyperlink>
          </w:p>
        </w:tc>
        <w:tc>
          <w:tcPr>
            <w:tcW w:w="126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2"/>
              </w:rPr>
              <w:t>3.1</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280">
              <w:r>
                <w:rPr>
                  <w:rFonts w:ascii="Arial" w:cs="Arial" w:eastAsia="Arial" w:hAnsi="Arial"/>
                  <w:sz w:val="17"/>
                  <w:szCs w:val="17"/>
                  <w:u w:val="single" w:color="auto"/>
                  <w:color w:val="0000EE"/>
                </w:rPr>
                <w:t>Certificate of Incorporation of the Registrant, as amended (currently in effect)</w:t>
              </w:r>
            </w:hyperlink>
          </w:p>
        </w:tc>
        <w:tc>
          <w:tcPr>
            <w:tcW w:w="0" w:type="dxa"/>
            <w:vAlign w:val="bottom"/>
          </w:tcPr>
          <w:p>
            <w:pPr>
              <w:spacing w:after="0"/>
              <w:rPr>
                <w:sz w:val="1"/>
                <w:szCs w:val="1"/>
                <w:color w:val="auto"/>
              </w:rPr>
            </w:pPr>
          </w:p>
        </w:tc>
      </w:tr>
      <w:tr>
        <w:trPr>
          <w:trHeight w:val="301"/>
        </w:trPr>
        <w:tc>
          <w:tcPr>
            <w:tcW w:w="480" w:type="dxa"/>
            <w:vAlign w:val="bottom"/>
          </w:tcPr>
          <w:p>
            <w:pPr>
              <w:ind w:left="80"/>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r:id="rId302">
              <w:r>
                <w:rPr>
                  <w:rFonts w:ascii="Arial" w:cs="Arial" w:eastAsia="Arial" w:hAnsi="Arial"/>
                  <w:sz w:val="17"/>
                  <w:szCs w:val="17"/>
                  <w:u w:val="single" w:color="auto"/>
                  <w:color w:val="0000EE"/>
                </w:rPr>
                <w:t>Bylaws of the Registrant (currently in effect)</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2"/>
              </w:rPr>
              <w:t>3.3</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320">
              <w:r>
                <w:rPr>
                  <w:rFonts w:ascii="Arial" w:cs="Arial" w:eastAsia="Arial" w:hAnsi="Arial"/>
                  <w:sz w:val="17"/>
                  <w:szCs w:val="17"/>
                  <w:u w:val="single" w:color="auto"/>
                  <w:color w:val="0000EE"/>
                </w:rPr>
                <w:t>Form of Restated Certificate of Incorporation of the Registrant (to be effective upon the closing of this offering)</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2"/>
              </w:rPr>
              <w:t>3.4</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327">
              <w:r>
                <w:rPr>
                  <w:rFonts w:ascii="Arial" w:cs="Arial" w:eastAsia="Arial" w:hAnsi="Arial"/>
                  <w:sz w:val="17"/>
                  <w:szCs w:val="17"/>
                  <w:u w:val="single" w:color="auto"/>
                  <w:color w:val="0000EE"/>
                </w:rPr>
                <w:t>Form of Restated Bylaws of the Registrant (to be effective upon the closing of this offering)</w:t>
              </w:r>
            </w:hyperlink>
          </w:p>
        </w:tc>
        <w:tc>
          <w:tcPr>
            <w:tcW w:w="0" w:type="dxa"/>
            <w:vAlign w:val="bottom"/>
          </w:tcPr>
          <w:p>
            <w:pPr>
              <w:spacing w:after="0"/>
              <w:rPr>
                <w:sz w:val="1"/>
                <w:szCs w:val="1"/>
                <w:color w:val="auto"/>
              </w:rPr>
            </w:pPr>
          </w:p>
        </w:tc>
      </w:tr>
      <w:tr>
        <w:trPr>
          <w:trHeight w:val="301"/>
        </w:trPr>
        <w:tc>
          <w:tcPr>
            <w:tcW w:w="480" w:type="dxa"/>
            <w:vAlign w:val="bottom"/>
          </w:tcPr>
          <w:p>
            <w:pPr>
              <w:ind w:left="80"/>
              <w:spacing w:after="0"/>
              <w:rPr>
                <w:sz w:val="20"/>
                <w:szCs w:val="20"/>
                <w:color w:val="auto"/>
              </w:rPr>
            </w:pPr>
            <w:r>
              <w:rPr>
                <w:rFonts w:ascii="Arial" w:cs="Arial" w:eastAsia="Arial" w:hAnsi="Arial"/>
                <w:sz w:val="17"/>
                <w:szCs w:val="17"/>
                <w:color w:val="auto"/>
              </w:rPr>
              <w:t>4.1*</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r:id="rId303">
              <w:r>
                <w:rPr>
                  <w:rFonts w:ascii="Arial" w:cs="Arial" w:eastAsia="Arial" w:hAnsi="Arial"/>
                  <w:sz w:val="17"/>
                  <w:szCs w:val="17"/>
                  <w:u w:val="single" w:color="auto"/>
                  <w:color w:val="0000EE"/>
                </w:rPr>
                <w:t>Eighth Amended and Restated Investor Rights Agreement, dated as of January 10, 2020</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2"/>
              </w:rPr>
              <w:t>4.2</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363">
              <w:r>
                <w:rPr>
                  <w:rFonts w:ascii="Arial" w:cs="Arial" w:eastAsia="Arial" w:hAnsi="Arial"/>
                  <w:sz w:val="17"/>
                  <w:szCs w:val="17"/>
                  <w:u w:val="single" w:color="auto"/>
                  <w:color w:val="0000EE"/>
                </w:rPr>
                <w:t>Form of Stock Certificate evidencing the shares of common stock</w:t>
              </w:r>
            </w:hyperlink>
          </w:p>
        </w:tc>
        <w:tc>
          <w:tcPr>
            <w:tcW w:w="0" w:type="dxa"/>
            <w:vAlign w:val="bottom"/>
          </w:tcPr>
          <w:p>
            <w:pPr>
              <w:spacing w:after="0"/>
              <w:rPr>
                <w:sz w:val="1"/>
                <w:szCs w:val="1"/>
                <w:color w:val="auto"/>
              </w:rPr>
            </w:pPr>
          </w:p>
        </w:tc>
      </w:tr>
      <w:tr>
        <w:trPr>
          <w:trHeight w:val="264"/>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2"/>
              </w:rPr>
              <w:t>4.3</w:t>
            </w:r>
          </w:p>
        </w:tc>
        <w:tc>
          <w:tcPr>
            <w:tcW w:w="560" w:type="dxa"/>
            <w:vAlign w:val="bottom"/>
          </w:tcPr>
          <w:p>
            <w:pPr>
              <w:spacing w:after="0"/>
              <w:rPr>
                <w:sz w:val="22"/>
                <w:szCs w:val="22"/>
                <w:color w:val="auto"/>
              </w:rPr>
            </w:pPr>
          </w:p>
        </w:tc>
        <w:tc>
          <w:tcPr>
            <w:tcW w:w="920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365">
              <w:r>
                <w:rPr>
                  <w:rFonts w:ascii="Arial" w:cs="Arial" w:eastAsia="Arial" w:hAnsi="Arial"/>
                  <w:sz w:val="17"/>
                  <w:szCs w:val="17"/>
                  <w:color w:val="0000EE"/>
                  <w:w w:val="88"/>
                </w:rPr>
                <w:t>Form of Warrants to Purchase Common Stock, dated various dates, issued by the Registrant to various investors, together with a schedule</w:t>
              </w:r>
            </w:hyperlink>
          </w:p>
        </w:tc>
        <w:tc>
          <w:tcPr>
            <w:tcW w:w="0" w:type="dxa"/>
            <w:vAlign w:val="bottom"/>
          </w:tcPr>
          <w:p>
            <w:pPr>
              <w:spacing w:after="0"/>
              <w:rPr>
                <w:sz w:val="1"/>
                <w:szCs w:val="1"/>
                <w:color w:val="auto"/>
              </w:rPr>
            </w:pPr>
          </w:p>
        </w:tc>
      </w:tr>
      <w:tr>
        <w:trPr>
          <w:trHeight w:val="181"/>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80" w:type="dxa"/>
            <w:vAlign w:val="bottom"/>
            <w:tcBorders>
              <w:bottom w:val="single" w:sz="8" w:color="0000EE"/>
            </w:tcBorders>
          </w:tcPr>
          <w:p>
            <w:pPr>
              <w:spacing w:after="0" w:line="181" w:lineRule="exact"/>
              <w:rPr>
                <w:rFonts w:ascii="Arial" w:cs="Arial" w:eastAsia="Arial" w:hAnsi="Arial"/>
                <w:sz w:val="17"/>
                <w:szCs w:val="17"/>
                <w:color w:val="0000EE"/>
                <w:w w:val="87"/>
              </w:rPr>
            </w:pPr>
            <w:hyperlink w:anchor="page365">
              <w:r>
                <w:rPr>
                  <w:rFonts w:ascii="Arial" w:cs="Arial" w:eastAsia="Arial" w:hAnsi="Arial"/>
                  <w:sz w:val="17"/>
                  <w:szCs w:val="17"/>
                  <w:color w:val="0000EE"/>
                  <w:w w:val="87"/>
                </w:rPr>
                <w:t>of warrants and warrantholders</w:t>
              </w:r>
            </w:hyperlink>
          </w:p>
        </w:tc>
        <w:tc>
          <w:tcPr>
            <w:tcW w:w="7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2"/>
              </w:rPr>
              <w:t>5.1</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377">
              <w:r>
                <w:rPr>
                  <w:rFonts w:ascii="Arial" w:cs="Arial" w:eastAsia="Arial" w:hAnsi="Arial"/>
                  <w:sz w:val="17"/>
                  <w:szCs w:val="17"/>
                  <w:u w:val="single" w:color="auto"/>
                  <w:color w:val="0000EE"/>
                </w:rPr>
                <w:t>Opinion of Latham &amp; Watkins LLP</w:t>
              </w:r>
            </w:hyperlink>
          </w:p>
        </w:tc>
        <w:tc>
          <w:tcPr>
            <w:tcW w:w="0" w:type="dxa"/>
            <w:vAlign w:val="bottom"/>
          </w:tcPr>
          <w:p>
            <w:pPr>
              <w:spacing w:after="0"/>
              <w:rPr>
                <w:sz w:val="1"/>
                <w:szCs w:val="1"/>
                <w:color w:val="auto"/>
              </w:rPr>
            </w:pPr>
          </w:p>
        </w:tc>
      </w:tr>
      <w:tr>
        <w:trPr>
          <w:trHeight w:val="301"/>
        </w:trPr>
        <w:tc>
          <w:tcPr>
            <w:tcW w:w="480" w:type="dxa"/>
            <w:vAlign w:val="bottom"/>
          </w:tcPr>
          <w:p>
            <w:pPr>
              <w:spacing w:after="0"/>
              <w:rPr>
                <w:sz w:val="20"/>
                <w:szCs w:val="20"/>
                <w:color w:val="auto"/>
              </w:rPr>
            </w:pPr>
            <w:r>
              <w:rPr>
                <w:rFonts w:ascii="Arial" w:cs="Arial" w:eastAsia="Arial" w:hAnsi="Arial"/>
                <w:sz w:val="17"/>
                <w:szCs w:val="17"/>
                <w:color w:val="auto"/>
                <w:w w:val="93"/>
              </w:rPr>
              <w:t>10.1#*</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r:id="rId304">
              <w:r>
                <w:rPr>
                  <w:rFonts w:ascii="Arial" w:cs="Arial" w:eastAsia="Arial" w:hAnsi="Arial"/>
                  <w:sz w:val="17"/>
                  <w:szCs w:val="17"/>
                  <w:u w:val="single" w:color="auto"/>
                  <w:color w:val="0000EE"/>
                </w:rPr>
                <w:t>2005 Equity Incentive Plan, as amended, and form of agreements thereunder</w:t>
              </w:r>
            </w:hyperlink>
          </w:p>
        </w:tc>
        <w:tc>
          <w:tcPr>
            <w:tcW w:w="0" w:type="dxa"/>
            <w:vAlign w:val="bottom"/>
          </w:tcPr>
          <w:p>
            <w:pPr>
              <w:spacing w:after="0"/>
              <w:rPr>
                <w:sz w:val="1"/>
                <w:szCs w:val="1"/>
                <w:color w:val="auto"/>
              </w:rPr>
            </w:pPr>
          </w:p>
        </w:tc>
      </w:tr>
      <w:tr>
        <w:trPr>
          <w:trHeight w:val="301"/>
        </w:trPr>
        <w:tc>
          <w:tcPr>
            <w:tcW w:w="480" w:type="dxa"/>
            <w:vAlign w:val="bottom"/>
          </w:tcPr>
          <w:p>
            <w:pPr>
              <w:spacing w:after="0"/>
              <w:rPr>
                <w:sz w:val="20"/>
                <w:szCs w:val="20"/>
                <w:color w:val="auto"/>
              </w:rPr>
            </w:pPr>
            <w:r>
              <w:rPr>
                <w:rFonts w:ascii="Arial" w:cs="Arial" w:eastAsia="Arial" w:hAnsi="Arial"/>
                <w:sz w:val="17"/>
                <w:szCs w:val="17"/>
                <w:color w:val="auto"/>
                <w:w w:val="93"/>
              </w:rPr>
              <w:t>10.2#*</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r:id="rId305">
              <w:r>
                <w:rPr>
                  <w:rFonts w:ascii="Arial" w:cs="Arial" w:eastAsia="Arial" w:hAnsi="Arial"/>
                  <w:sz w:val="17"/>
                  <w:szCs w:val="17"/>
                  <w:u w:val="single" w:color="auto"/>
                  <w:color w:val="0000EE"/>
                </w:rPr>
                <w:t>2016 Equity Incentive Plan, as amended, and form of agreements thereunder</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89"/>
              </w:rPr>
              <w:t>10.3#</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379">
              <w:r>
                <w:rPr>
                  <w:rFonts w:ascii="Arial" w:cs="Arial" w:eastAsia="Arial" w:hAnsi="Arial"/>
                  <w:sz w:val="17"/>
                  <w:szCs w:val="17"/>
                  <w:u w:val="single" w:color="auto"/>
                  <w:color w:val="0000EE"/>
                </w:rPr>
                <w:t>2020 Incentive Award Plan and form of agreements thereunder</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89"/>
              </w:rPr>
              <w:t>10.4#</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411">
              <w:r>
                <w:rPr>
                  <w:rFonts w:ascii="Arial" w:cs="Arial" w:eastAsia="Arial" w:hAnsi="Arial"/>
                  <w:sz w:val="17"/>
                  <w:szCs w:val="17"/>
                  <w:u w:val="single" w:color="auto"/>
                  <w:color w:val="0000EE"/>
                </w:rPr>
                <w:t>Non-Employee Director Compensation Program</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89"/>
              </w:rPr>
              <w:t>10.5#</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414">
              <w:r>
                <w:rPr>
                  <w:rFonts w:ascii="Arial" w:cs="Arial" w:eastAsia="Arial" w:hAnsi="Arial"/>
                  <w:sz w:val="17"/>
                  <w:szCs w:val="17"/>
                  <w:u w:val="single" w:color="auto"/>
                  <w:color w:val="0000EE"/>
                </w:rPr>
                <w:t>2020 Employee Stock Purchase Plan</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89"/>
              </w:rPr>
              <w:t>10.6#</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428">
              <w:r>
                <w:rPr>
                  <w:rFonts w:ascii="Arial" w:cs="Arial" w:eastAsia="Arial" w:hAnsi="Arial"/>
                  <w:sz w:val="17"/>
                  <w:szCs w:val="17"/>
                  <w:u w:val="single" w:color="auto"/>
                  <w:color w:val="0000EE"/>
                </w:rPr>
                <w:t>Form of Indemnification Agreement for directors and officers of the Registrant</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5"/>
              </w:rPr>
              <w:t>10.7*</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r:id="rId306">
              <w:r>
                <w:rPr>
                  <w:rFonts w:ascii="Arial" w:cs="Arial" w:eastAsia="Arial" w:hAnsi="Arial"/>
                  <w:sz w:val="17"/>
                  <w:szCs w:val="17"/>
                  <w:u w:val="single" w:color="auto"/>
                  <w:color w:val="0000EE"/>
                </w:rPr>
                <w:t>Lease Agreement between the Registrant and ARE-480 Arsenal St, LLC, dated August 14, 2007, as amended</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89"/>
              </w:rPr>
              <w:t>10.8#</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443">
              <w:r>
                <w:rPr>
                  <w:rFonts w:ascii="Arial" w:cs="Arial" w:eastAsia="Arial" w:hAnsi="Arial"/>
                  <w:sz w:val="17"/>
                  <w:szCs w:val="17"/>
                  <w:u w:val="single" w:color="auto"/>
                  <w:color w:val="0000EE"/>
                </w:rPr>
                <w:t>Employment Agreement between the Registrant and Maria Palasis, Ph.D.</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89"/>
              </w:rPr>
              <w:t>10.9#</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459">
              <w:r>
                <w:rPr>
                  <w:rFonts w:ascii="Arial" w:cs="Arial" w:eastAsia="Arial" w:hAnsi="Arial"/>
                  <w:sz w:val="17"/>
                  <w:szCs w:val="17"/>
                  <w:u w:val="single" w:color="auto"/>
                  <w:color w:val="0000EE"/>
                </w:rPr>
                <w:t>Offer Letter between the Registrant and R. Don Elsey</w:t>
              </w:r>
            </w:hyperlink>
          </w:p>
        </w:tc>
        <w:tc>
          <w:tcPr>
            <w:tcW w:w="0" w:type="dxa"/>
            <w:vAlign w:val="bottom"/>
          </w:tcPr>
          <w:p>
            <w:pPr>
              <w:spacing w:after="0"/>
              <w:rPr>
                <w:sz w:val="1"/>
                <w:szCs w:val="1"/>
                <w:color w:val="auto"/>
              </w:rPr>
            </w:pPr>
          </w:p>
        </w:tc>
      </w:tr>
      <w:tr>
        <w:trPr>
          <w:trHeight w:val="301"/>
        </w:trPr>
        <w:tc>
          <w:tcPr>
            <w:tcW w:w="480" w:type="dxa"/>
            <w:vAlign w:val="bottom"/>
          </w:tcPr>
          <w:p>
            <w:pPr>
              <w:spacing w:after="0"/>
              <w:rPr>
                <w:sz w:val="20"/>
                <w:szCs w:val="20"/>
                <w:color w:val="auto"/>
              </w:rPr>
            </w:pPr>
            <w:r>
              <w:rPr>
                <w:rFonts w:ascii="Arial" w:cs="Arial" w:eastAsia="Arial" w:hAnsi="Arial"/>
                <w:sz w:val="17"/>
                <w:szCs w:val="17"/>
                <w:color w:val="auto"/>
                <w:w w:val="88"/>
              </w:rPr>
              <w:t>10.10#</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486">
              <w:r>
                <w:rPr>
                  <w:rFonts w:ascii="Arial" w:cs="Arial" w:eastAsia="Arial" w:hAnsi="Arial"/>
                  <w:sz w:val="17"/>
                  <w:szCs w:val="17"/>
                  <w:u w:val="single" w:color="auto"/>
                  <w:color w:val="0000EE"/>
                </w:rPr>
                <w:t>Offer Letter between the Registrant and Laura Edgerly-Pflug</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5"/>
              </w:rPr>
              <w:t>21.1*</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r:id="rId307">
              <w:r>
                <w:rPr>
                  <w:rFonts w:ascii="Arial" w:cs="Arial" w:eastAsia="Arial" w:hAnsi="Arial"/>
                  <w:sz w:val="17"/>
                  <w:szCs w:val="17"/>
                  <w:u w:val="single" w:color="auto"/>
                  <w:color w:val="0000EE"/>
                </w:rPr>
                <w:t>Subsidiaries of the Registrant</w:t>
              </w:r>
            </w:hyperlink>
          </w:p>
        </w:tc>
        <w:tc>
          <w:tcPr>
            <w:tcW w:w="0" w:type="dxa"/>
            <w:vAlign w:val="bottom"/>
          </w:tcPr>
          <w:p>
            <w:pPr>
              <w:spacing w:after="0"/>
              <w:rPr>
                <w:sz w:val="1"/>
                <w:szCs w:val="1"/>
                <w:color w:val="auto"/>
              </w:rPr>
            </w:pPr>
          </w:p>
        </w:tc>
      </w:tr>
      <w:tr>
        <w:trPr>
          <w:trHeight w:val="301"/>
        </w:trPr>
        <w:tc>
          <w:tcPr>
            <w:tcW w:w="480" w:type="dxa"/>
            <w:vAlign w:val="bottom"/>
          </w:tcPr>
          <w:p>
            <w:pPr>
              <w:spacing w:after="0"/>
              <w:rPr>
                <w:sz w:val="20"/>
                <w:szCs w:val="20"/>
                <w:color w:val="auto"/>
              </w:rPr>
            </w:pPr>
            <w:r>
              <w:rPr>
                <w:rFonts w:ascii="Arial" w:cs="Arial" w:eastAsia="Arial" w:hAnsi="Arial"/>
                <w:sz w:val="17"/>
                <w:szCs w:val="17"/>
                <w:color w:val="auto"/>
              </w:rPr>
              <w:t>23.1</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510">
              <w:r>
                <w:rPr>
                  <w:rFonts w:ascii="Arial" w:cs="Arial" w:eastAsia="Arial" w:hAnsi="Arial"/>
                  <w:sz w:val="17"/>
                  <w:szCs w:val="17"/>
                  <w:u w:val="single" w:color="auto"/>
                  <w:color w:val="0000EE"/>
                </w:rPr>
                <w:t>Consent of BDO USA, LLP</w:t>
              </w:r>
            </w:hyperlink>
          </w:p>
        </w:tc>
        <w:tc>
          <w:tcPr>
            <w:tcW w:w="0" w:type="dxa"/>
            <w:vAlign w:val="bottom"/>
          </w:tcPr>
          <w:p>
            <w:pPr>
              <w:spacing w:after="0"/>
              <w:rPr>
                <w:sz w:val="1"/>
                <w:szCs w:val="1"/>
                <w:color w:val="auto"/>
              </w:rPr>
            </w:pPr>
          </w:p>
        </w:tc>
      </w:tr>
      <w:tr>
        <w:trPr>
          <w:trHeight w:val="301"/>
        </w:trPr>
        <w:tc>
          <w:tcPr>
            <w:tcW w:w="480" w:type="dxa"/>
            <w:vAlign w:val="bottom"/>
          </w:tcPr>
          <w:p>
            <w:pPr>
              <w:spacing w:after="0"/>
              <w:rPr>
                <w:sz w:val="20"/>
                <w:szCs w:val="20"/>
                <w:color w:val="auto"/>
              </w:rPr>
            </w:pPr>
            <w:r>
              <w:rPr>
                <w:rFonts w:ascii="Arial" w:cs="Arial" w:eastAsia="Arial" w:hAnsi="Arial"/>
                <w:sz w:val="17"/>
                <w:szCs w:val="17"/>
                <w:color w:val="auto"/>
              </w:rPr>
              <w:t>23.2</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w:anchor="page377">
              <w:r>
                <w:rPr>
                  <w:rFonts w:ascii="Arial" w:cs="Arial" w:eastAsia="Arial" w:hAnsi="Arial"/>
                  <w:sz w:val="17"/>
                  <w:szCs w:val="17"/>
                  <w:u w:val="single" w:color="auto"/>
                  <w:color w:val="0000EE"/>
                </w:rPr>
                <w:t>Consent of Latham &amp; Watkins LLP (included in Exhibit 5.1)</w:t>
              </w:r>
            </w:hyperlink>
          </w:p>
        </w:tc>
        <w:tc>
          <w:tcPr>
            <w:tcW w:w="0" w:type="dxa"/>
            <w:vAlign w:val="bottom"/>
          </w:tcPr>
          <w:p>
            <w:pPr>
              <w:spacing w:after="0"/>
              <w:rPr>
                <w:sz w:val="1"/>
                <w:szCs w:val="1"/>
                <w:color w:val="auto"/>
              </w:rPr>
            </w:pPr>
          </w:p>
        </w:tc>
      </w:tr>
      <w:tr>
        <w:trPr>
          <w:trHeight w:val="301"/>
        </w:trPr>
        <w:tc>
          <w:tcPr>
            <w:tcW w:w="480" w:type="dxa"/>
            <w:vAlign w:val="bottom"/>
          </w:tcPr>
          <w:p>
            <w:pPr>
              <w:jc w:val="center"/>
              <w:ind w:right="18"/>
              <w:spacing w:after="0"/>
              <w:rPr>
                <w:sz w:val="20"/>
                <w:szCs w:val="20"/>
                <w:color w:val="auto"/>
              </w:rPr>
            </w:pPr>
            <w:r>
              <w:rPr>
                <w:rFonts w:ascii="Arial" w:cs="Arial" w:eastAsia="Arial" w:hAnsi="Arial"/>
                <w:sz w:val="17"/>
                <w:szCs w:val="17"/>
                <w:color w:val="auto"/>
                <w:w w:val="95"/>
              </w:rPr>
              <w:t>24.1*</w:t>
            </w:r>
          </w:p>
        </w:tc>
        <w:tc>
          <w:tcPr>
            <w:tcW w:w="560" w:type="dxa"/>
            <w:vAlign w:val="bottom"/>
          </w:tcPr>
          <w:p>
            <w:pPr>
              <w:spacing w:after="0"/>
              <w:rPr>
                <w:sz w:val="24"/>
                <w:szCs w:val="24"/>
                <w:color w:val="auto"/>
              </w:rPr>
            </w:pPr>
          </w:p>
        </w:tc>
        <w:tc>
          <w:tcPr>
            <w:tcW w:w="9200" w:type="dxa"/>
            <w:vAlign w:val="bottom"/>
            <w:gridSpan w:val="4"/>
          </w:tcPr>
          <w:p>
            <w:pPr>
              <w:spacing w:after="0"/>
              <w:rPr>
                <w:rFonts w:ascii="Arial" w:cs="Arial" w:eastAsia="Arial" w:hAnsi="Arial"/>
                <w:sz w:val="17"/>
                <w:szCs w:val="17"/>
                <w:u w:val="single" w:color="auto"/>
                <w:color w:val="0000EE"/>
              </w:rPr>
            </w:pPr>
            <w:hyperlink r:id="rId308">
              <w:r>
                <w:rPr>
                  <w:rFonts w:ascii="Arial" w:cs="Arial" w:eastAsia="Arial" w:hAnsi="Arial"/>
                  <w:sz w:val="17"/>
                  <w:szCs w:val="17"/>
                  <w:u w:val="single" w:color="auto"/>
                  <w:color w:val="0000EE"/>
                </w:rPr>
                <w:t>Power of Attorney (included on signature page)</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80010</wp:posOffset>
            </wp:positionV>
            <wp:extent cx="7175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143" w:lineRule="exact"/>
        <w:rPr>
          <w:sz w:val="20"/>
          <w:szCs w:val="20"/>
          <w:color w:val="auto"/>
        </w:rPr>
      </w:pPr>
    </w:p>
    <w:p>
      <w:pPr>
        <w:ind w:left="900" w:hanging="397"/>
        <w:spacing w:after="0"/>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31" w:lineRule="exact"/>
        <w:rPr>
          <w:sz w:val="20"/>
          <w:szCs w:val="20"/>
          <w:color w:val="auto"/>
        </w:rPr>
      </w:pPr>
    </w:p>
    <w:p>
      <w:pPr>
        <w:ind w:left="900" w:hanging="397"/>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06" w:lineRule="exact"/>
        <w:rPr>
          <w:rFonts w:ascii="Arial" w:cs="Arial" w:eastAsia="Arial" w:hAnsi="Arial"/>
          <w:sz w:val="17"/>
          <w:szCs w:val="17"/>
          <w:color w:val="auto"/>
        </w:rPr>
      </w:pPr>
    </w:p>
    <w:p>
      <w:pPr>
        <w:ind w:left="500" w:right="120" w:firstLine="822"/>
        <w:spacing w:after="0" w:line="268" w:lineRule="auto"/>
        <w:tabs>
          <w:tab w:leader="none" w:pos="155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Financial Statement Schedules. Schedules not listed above have been omitted because the information required to be set forth therein is not applicable or is shown in the financial statements or notes thereto.</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740"/>
          </w:cols>
          <w:pgMar w:left="320" w:top="437" w:right="83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Item 17. Undertakings.</w:t>
      </w:r>
    </w:p>
    <w:p>
      <w:pPr>
        <w:spacing w:after="0" w:line="210" w:lineRule="exact"/>
        <w:rPr>
          <w:sz w:val="20"/>
          <w:szCs w:val="20"/>
          <w:color w:val="auto"/>
        </w:rPr>
      </w:pPr>
    </w:p>
    <w:p>
      <w:pPr>
        <w:ind w:left="500" w:right="600" w:firstLine="819"/>
        <w:spacing w:after="0" w:line="335" w:lineRule="auto"/>
        <w:rPr>
          <w:sz w:val="20"/>
          <w:szCs w:val="20"/>
          <w:color w:val="auto"/>
        </w:rPr>
      </w:pPr>
      <w:r>
        <w:rPr>
          <w:rFonts w:ascii="Arial" w:cs="Arial" w:eastAsia="Arial" w:hAnsi="Arial"/>
          <w:sz w:val="15"/>
          <w:szCs w:val="15"/>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21" w:lineRule="exact"/>
        <w:rPr>
          <w:sz w:val="20"/>
          <w:szCs w:val="20"/>
          <w:color w:val="auto"/>
        </w:rPr>
      </w:pPr>
    </w:p>
    <w:p>
      <w:pPr>
        <w:ind w:left="500" w:right="140" w:firstLine="819"/>
        <w:spacing w:after="0" w:line="287"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undersigned hereby undertakes that:</w:t>
      </w:r>
    </w:p>
    <w:p>
      <w:pPr>
        <w:spacing w:after="0" w:line="231" w:lineRule="exact"/>
        <w:rPr>
          <w:sz w:val="20"/>
          <w:szCs w:val="20"/>
          <w:color w:val="auto"/>
        </w:rPr>
      </w:pPr>
    </w:p>
    <w:p>
      <w:pPr>
        <w:ind w:left="1720" w:hanging="402"/>
        <w:spacing w:after="0" w:line="253" w:lineRule="auto"/>
        <w:tabs>
          <w:tab w:leader="none" w:pos="17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5" w:lineRule="exact"/>
        <w:rPr>
          <w:rFonts w:ascii="Arial" w:cs="Arial" w:eastAsia="Arial" w:hAnsi="Arial"/>
          <w:sz w:val="17"/>
          <w:szCs w:val="17"/>
          <w:color w:val="auto"/>
        </w:rPr>
      </w:pPr>
    </w:p>
    <w:p>
      <w:pPr>
        <w:ind w:left="1720" w:right="80" w:hanging="402"/>
        <w:spacing w:after="0" w:line="257" w:lineRule="auto"/>
        <w:tabs>
          <w:tab w:leader="none" w:pos="17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660"/>
          </w:cols>
          <w:pgMar w:left="320" w:top="437" w:right="91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210" w:lineRule="exact"/>
        <w:rPr>
          <w:sz w:val="20"/>
          <w:szCs w:val="20"/>
          <w:color w:val="auto"/>
        </w:rPr>
      </w:pPr>
    </w:p>
    <w:p>
      <w:pPr>
        <w:ind w:left="500" w:firstLine="819"/>
        <w:spacing w:after="0" w:line="335" w:lineRule="auto"/>
        <w:rPr>
          <w:sz w:val="20"/>
          <w:szCs w:val="20"/>
          <w:color w:val="auto"/>
        </w:rPr>
      </w:pPr>
      <w:r>
        <w:rPr>
          <w:rFonts w:ascii="Arial" w:cs="Arial" w:eastAsia="Arial" w:hAnsi="Arial"/>
          <w:sz w:val="15"/>
          <w:szCs w:val="15"/>
          <w:color w:val="auto"/>
        </w:rPr>
        <w:t>Pursuant to the requirements of the Securities Act, the registrant has duly caused this registration statement to be signed on its behalf by the undersigned, thereunto duly authorized, in the City of Watertown, Commonwealth of Massachusetts, on this 27th day of April, 2020.</w:t>
      </w:r>
    </w:p>
    <w:p>
      <w:pPr>
        <w:spacing w:after="0" w:line="146"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LYRA THERAPEUTICS, INC.</w:t>
      </w:r>
    </w:p>
    <w:p>
      <w:pPr>
        <w:spacing w:after="0" w:line="206"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 /s/ Maria Palasis,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11430</wp:posOffset>
            </wp:positionV>
            <wp:extent cx="23831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Maria Palasis, Ph.D.</w:t>
      </w:r>
    </w:p>
    <w:p>
      <w:pPr>
        <w:spacing w:after="0" w:line="18"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President and Chief Executive Officer</w:t>
      </w:r>
    </w:p>
    <w:p>
      <w:pPr>
        <w:spacing w:after="0" w:line="203"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SIGNATURES</w:t>
      </w:r>
    </w:p>
    <w:p>
      <w:pPr>
        <w:spacing w:after="0" w:line="210" w:lineRule="exact"/>
        <w:rPr>
          <w:sz w:val="20"/>
          <w:szCs w:val="20"/>
          <w:color w:val="auto"/>
        </w:rPr>
      </w:pPr>
    </w:p>
    <w:p>
      <w:pPr>
        <w:ind w:left="500" w:right="340" w:firstLine="819"/>
        <w:spacing w:after="0" w:line="268"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held on the dates indicated.</w:t>
      </w:r>
    </w:p>
    <w:p>
      <w:pPr>
        <w:sectPr>
          <w:pgSz w:w="11900" w:h="16838" w:orient="portrait"/>
          <w:cols w:equalWidth="0" w:num="1">
            <w:col w:w="10660"/>
          </w:cols>
          <w:pgMar w:left="320" w:top="437" w:right="919" w:bottom="1440" w:gutter="0" w:footer="0" w:header="0"/>
        </w:sectPr>
      </w:pPr>
    </w:p>
    <w:p>
      <w:pPr>
        <w:spacing w:after="0" w:line="183" w:lineRule="exact"/>
        <w:rPr>
          <w:sz w:val="20"/>
          <w:szCs w:val="20"/>
          <w:color w:val="auto"/>
        </w:rPr>
      </w:pPr>
    </w:p>
    <w:p>
      <w:pPr>
        <w:jc w:val="right"/>
        <w:ind w:right="1120"/>
        <w:spacing w:after="0"/>
        <w:rPr>
          <w:sz w:val="20"/>
          <w:szCs w:val="20"/>
          <w:color w:val="auto"/>
        </w:rPr>
      </w:pPr>
      <w:r>
        <w:rPr>
          <w:rFonts w:ascii="Arial" w:cs="Arial" w:eastAsia="Arial" w:hAnsi="Arial"/>
          <w:sz w:val="13"/>
          <w:szCs w:val="13"/>
          <w:b w:val="1"/>
          <w:bCs w:val="1"/>
          <w:u w:val="single" w:color="auto"/>
          <w:color w:val="auto"/>
        </w:rPr>
        <w:t>Signature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 Maria Palasis,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Maria Palasis, Ph.D.</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 R. Don 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R. Don Elsey</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Michael Altman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880"/>
        <w:spacing w:after="0"/>
        <w:rPr>
          <w:sz w:val="20"/>
          <w:szCs w:val="20"/>
          <w:color w:val="auto"/>
        </w:rPr>
      </w:pPr>
      <w:r>
        <w:rPr>
          <w:rFonts w:ascii="Arial" w:cs="Arial" w:eastAsia="Arial" w:hAnsi="Arial"/>
          <w:sz w:val="13"/>
          <w:szCs w:val="13"/>
          <w:b w:val="1"/>
          <w:bCs w:val="1"/>
          <w:u w:val="single" w:color="auto"/>
          <w:color w:val="auto"/>
        </w:rPr>
        <w:t>Title</w:t>
      </w: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President, Chief Executive Officer and Director (principal executive officer)</w:t>
      </w:r>
    </w:p>
    <w:p>
      <w:pPr>
        <w:spacing w:after="0" w:line="32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Chief Financial Officer (principal financial officer and principal accounting officer)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ind w:right="720"/>
        <w:spacing w:after="0"/>
        <w:rPr>
          <w:sz w:val="20"/>
          <w:szCs w:val="20"/>
          <w:color w:val="auto"/>
        </w:rPr>
      </w:pPr>
      <w:r>
        <w:rPr>
          <w:rFonts w:ascii="Arial" w:cs="Arial" w:eastAsia="Arial" w:hAnsi="Arial"/>
          <w:sz w:val="13"/>
          <w:szCs w:val="13"/>
          <w:b w:val="1"/>
          <w:bCs w:val="1"/>
          <w:u w:val="single" w:color="auto"/>
          <w:color w:val="auto"/>
        </w:rPr>
        <w:t>Date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April 27, 2020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April 27, 2020</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April 27, 2020</w:t>
      </w:r>
    </w:p>
    <w:p>
      <w:pPr>
        <w:spacing w:after="0" w:line="538" w:lineRule="exact"/>
        <w:rPr>
          <w:sz w:val="20"/>
          <w:szCs w:val="20"/>
          <w:color w:val="auto"/>
        </w:rPr>
      </w:pPr>
    </w:p>
    <w:p>
      <w:pPr>
        <w:sectPr>
          <w:pgSz w:w="11900" w:h="16838" w:orient="portrait"/>
          <w:cols w:equalWidth="0" w:num="3">
            <w:col w:w="3920" w:space="720"/>
            <w:col w:w="3880" w:space="360"/>
            <w:col w:w="1780"/>
          </w:cols>
          <w:pgMar w:left="320" w:top="437" w:right="919" w:bottom="1440" w:gutter="0" w:footer="0" w:header="0"/>
          <w:type w:val="continuous"/>
        </w:sectPr>
      </w:pP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Edward Anderson</w:t>
      </w:r>
    </w:p>
    <w:p>
      <w:pPr>
        <w:spacing w:after="0" w:line="3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5"/>
          <w:szCs w:val="15"/>
          <w:color w:val="auto"/>
        </w:rPr>
        <w:t>Robert S. Langer, Sc.D.</w:t>
      </w:r>
    </w:p>
    <w:p>
      <w:pPr>
        <w:spacing w:after="0" w:line="36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C. Ann Merrifield</w:t>
      </w:r>
    </w:p>
    <w:p>
      <w:pPr>
        <w:spacing w:after="0" w:line="20" w:lineRule="exact"/>
        <w:rPr>
          <w:sz w:val="20"/>
          <w:szCs w:val="20"/>
          <w:color w:val="auto"/>
        </w:rPr>
      </w:pPr>
      <w:r>
        <w:rPr>
          <w:sz w:val="20"/>
          <w:szCs w:val="20"/>
          <w:color w:val="auto"/>
        </w:rPr>
        <w:br w:type="column"/>
      </w:r>
    </w:p>
    <w:p>
      <w:pPr>
        <w:spacing w:after="0"/>
        <w:tabs>
          <w:tab w:leader="none" w:pos="42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April 27, 2020</w:t>
      </w:r>
    </w:p>
    <w:p>
      <w:pPr>
        <w:spacing w:after="0" w:line="200" w:lineRule="exact"/>
        <w:rPr>
          <w:sz w:val="20"/>
          <w:szCs w:val="20"/>
          <w:color w:val="auto"/>
        </w:rPr>
      </w:pPr>
    </w:p>
    <w:p>
      <w:pPr>
        <w:spacing w:after="0" w:line="381" w:lineRule="exact"/>
        <w:rPr>
          <w:sz w:val="20"/>
          <w:szCs w:val="20"/>
          <w:color w:val="auto"/>
        </w:rPr>
      </w:pPr>
    </w:p>
    <w:p>
      <w:pPr>
        <w:spacing w:after="0"/>
        <w:tabs>
          <w:tab w:leader="none" w:pos="42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April 27, 2020</w:t>
      </w:r>
    </w:p>
    <w:p>
      <w:pPr>
        <w:spacing w:after="0" w:line="200" w:lineRule="exact"/>
        <w:rPr>
          <w:sz w:val="20"/>
          <w:szCs w:val="20"/>
          <w:color w:val="auto"/>
        </w:rPr>
      </w:pPr>
    </w:p>
    <w:p>
      <w:pPr>
        <w:spacing w:after="0" w:line="381" w:lineRule="exact"/>
        <w:rPr>
          <w:sz w:val="20"/>
          <w:szCs w:val="20"/>
          <w:color w:val="auto"/>
        </w:rPr>
      </w:pPr>
    </w:p>
    <w:p>
      <w:pPr>
        <w:spacing w:after="0"/>
        <w:tabs>
          <w:tab w:leader="none" w:pos="42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April 27, 2020</w:t>
      </w:r>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II-6</w:t>
      </w:r>
    </w:p>
    <w:p>
      <w:pPr>
        <w:sectPr>
          <w:pgSz w:w="11900" w:h="16838" w:orient="portrait"/>
          <w:cols w:equalWidth="0" w:num="2">
            <w:col w:w="3920" w:space="720"/>
            <w:col w:w="6020"/>
          </w:cols>
          <w:pgMar w:left="320" w:top="437" w:right="919" w:bottom="1440" w:gutter="0" w:footer="0" w:header="0"/>
          <w:type w:val="continuous"/>
        </w:sectPr>
      </w:pPr>
    </w:p>
    <w:bookmarkStart w:id="232" w:name="page233"/>
    <w:bookmarkEnd w:id="23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right"/>
        <w:ind w:right="1120"/>
        <w:spacing w:after="0"/>
        <w:rPr>
          <w:sz w:val="20"/>
          <w:szCs w:val="20"/>
          <w:color w:val="auto"/>
        </w:rPr>
      </w:pPr>
      <w:r>
        <w:rPr>
          <w:rFonts w:ascii="Arial" w:cs="Arial" w:eastAsia="Arial" w:hAnsi="Arial"/>
          <w:sz w:val="13"/>
          <w:szCs w:val="13"/>
          <w:b w:val="1"/>
          <w:bCs w:val="1"/>
          <w:u w:val="single" w:color="auto"/>
          <w:color w:val="auto"/>
        </w:rPr>
        <w:t>Signature</w:t>
      </w:r>
    </w:p>
    <w:p>
      <w:pPr>
        <w:spacing w:after="0" w:line="33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Konstantin Poukalov</w:t>
      </w:r>
    </w:p>
    <w:p>
      <w:pPr>
        <w:spacing w:after="0" w:line="3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W. Bradford Smith</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5584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George Whitesides,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*By:  /s/ R. Don 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11430</wp:posOffset>
            </wp:positionV>
            <wp:extent cx="23114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1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R. Don Elsey</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8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3"/>
                <w:szCs w:val="13"/>
                <w:b w:val="1"/>
                <w:bCs w:val="1"/>
                <w:color w:val="auto"/>
                <w:w w:val="97"/>
              </w:rPr>
              <w:t>Title</w:t>
            </w:r>
          </w:p>
        </w:tc>
        <w:tc>
          <w:tcPr>
            <w:tcW w:w="3160" w:type="dxa"/>
            <w:vAlign w:val="bottom"/>
            <w:gridSpan w:val="2"/>
          </w:tcPr>
          <w:p>
            <w:pPr>
              <w:ind w:left="2880"/>
              <w:spacing w:after="0"/>
              <w:rPr>
                <w:sz w:val="20"/>
                <w:szCs w:val="20"/>
                <w:color w:val="auto"/>
              </w:rPr>
            </w:pPr>
            <w:r>
              <w:rPr>
                <w:rFonts w:ascii="Arial" w:cs="Arial" w:eastAsia="Arial" w:hAnsi="Arial"/>
                <w:sz w:val="13"/>
                <w:szCs w:val="13"/>
                <w:b w:val="1"/>
                <w:bCs w:val="1"/>
                <w:color w:val="auto"/>
                <w:w w:val="92"/>
              </w:rPr>
              <w:t>Date</w:t>
            </w:r>
          </w:p>
        </w:tc>
      </w:tr>
      <w:tr>
        <w:trPr>
          <w:trHeight w:val="20"/>
        </w:trPr>
        <w:tc>
          <w:tcPr>
            <w:tcW w:w="1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394"/>
        </w:trPr>
        <w:tc>
          <w:tcPr>
            <w:tcW w:w="1880" w:type="dxa"/>
            <w:vAlign w:val="bottom"/>
          </w:tcPr>
          <w:p>
            <w:pPr>
              <w:spacing w:after="0"/>
              <w:rPr>
                <w:sz w:val="20"/>
                <w:szCs w:val="20"/>
                <w:color w:val="auto"/>
              </w:rPr>
            </w:pPr>
            <w:r>
              <w:rPr>
                <w:rFonts w:ascii="Arial" w:cs="Arial" w:eastAsia="Arial" w:hAnsi="Arial"/>
                <w:sz w:val="17"/>
                <w:szCs w:val="17"/>
                <w:color w:val="auto"/>
              </w:rPr>
              <w:t>Director</w:t>
            </w:r>
          </w:p>
        </w:tc>
        <w:tc>
          <w:tcPr>
            <w:tcW w:w="280" w:type="dxa"/>
            <w:vAlign w:val="bottom"/>
          </w:tcPr>
          <w:p>
            <w:pPr>
              <w:spacing w:after="0"/>
              <w:rPr>
                <w:sz w:val="24"/>
                <w:szCs w:val="24"/>
                <w:color w:val="auto"/>
              </w:rPr>
            </w:pPr>
          </w:p>
        </w:tc>
        <w:tc>
          <w:tcPr>
            <w:tcW w:w="3160" w:type="dxa"/>
            <w:vAlign w:val="bottom"/>
            <w:gridSpan w:val="2"/>
          </w:tcPr>
          <w:p>
            <w:pPr>
              <w:ind w:left="2080"/>
              <w:spacing w:after="0"/>
              <w:rPr>
                <w:sz w:val="20"/>
                <w:szCs w:val="20"/>
                <w:color w:val="auto"/>
              </w:rPr>
            </w:pPr>
            <w:r>
              <w:rPr>
                <w:rFonts w:ascii="Arial" w:cs="Arial" w:eastAsia="Arial" w:hAnsi="Arial"/>
                <w:sz w:val="17"/>
                <w:szCs w:val="17"/>
                <w:color w:val="auto"/>
              </w:rPr>
              <w:t>April 27, 2020</w:t>
            </w:r>
          </w:p>
        </w:tc>
      </w:tr>
      <w:tr>
        <w:trPr>
          <w:trHeight w:val="753"/>
        </w:trPr>
        <w:tc>
          <w:tcPr>
            <w:tcW w:w="21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160" w:type="dxa"/>
            <w:vAlign w:val="bottom"/>
            <w:gridSpan w:val="2"/>
          </w:tcPr>
          <w:p>
            <w:pPr>
              <w:ind w:left="2080"/>
              <w:spacing w:after="0"/>
              <w:rPr>
                <w:sz w:val="20"/>
                <w:szCs w:val="20"/>
                <w:color w:val="auto"/>
              </w:rPr>
            </w:pPr>
            <w:r>
              <w:rPr>
                <w:rFonts w:ascii="Arial" w:cs="Arial" w:eastAsia="Arial" w:hAnsi="Arial"/>
                <w:sz w:val="17"/>
                <w:szCs w:val="17"/>
                <w:color w:val="auto"/>
              </w:rPr>
              <w:t>April 27,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-1330325</wp:posOffset>
            </wp:positionV>
            <wp:extent cx="7157720" cy="241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22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II-7</w:t>
      </w:r>
    </w:p>
    <w:p>
      <w:pPr>
        <w:sectPr>
          <w:pgSz w:w="11900" w:h="16838" w:orient="portrait"/>
          <w:cols w:equalWidth="0" w:num="2">
            <w:col w:w="3920" w:space="720"/>
            <w:col w:w="5499"/>
          </w:cols>
          <w:pgMar w:left="320" w:top="437"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17"/>
          <w:szCs w:val="17"/>
          <w:b w:val="1"/>
          <w:bCs w:val="1"/>
          <w:color w:val="auto"/>
        </w:rPr>
        <w:t>Exhibit 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LYRA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06" w:lineRule="exact"/>
        <w:rPr>
          <w:sz w:val="20"/>
          <w:szCs w:val="20"/>
          <w:color w:val="auto"/>
        </w:rPr>
      </w:pPr>
    </w:p>
    <w:p>
      <w:pPr>
        <w:ind w:left="4400" w:hanging="261"/>
        <w:spacing w:after="0"/>
        <w:tabs>
          <w:tab w:leader="none" w:pos="44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Shares of Common Stock</w:t>
      </w:r>
    </w:p>
    <w:p>
      <w:pPr>
        <w:spacing w:after="0" w:line="206" w:lineRule="exact"/>
        <w:rPr>
          <w:rFonts w:ascii="Arial" w:cs="Arial" w:eastAsia="Arial" w:hAnsi="Arial"/>
          <w:sz w:val="17"/>
          <w:szCs w:val="17"/>
          <w:color w:val="auto"/>
        </w:rPr>
      </w:pPr>
    </w:p>
    <w:p>
      <w:pPr>
        <w:ind w:left="3940"/>
        <w:spacing w:after="0"/>
        <w:rPr>
          <w:rFonts w:ascii="Arial" w:cs="Arial" w:eastAsia="Arial" w:hAnsi="Arial"/>
          <w:sz w:val="17"/>
          <w:szCs w:val="17"/>
          <w:color w:val="auto"/>
        </w:rPr>
      </w:pPr>
      <w:r>
        <w:rPr>
          <w:rFonts w:ascii="Arial" w:cs="Arial" w:eastAsia="Arial" w:hAnsi="Arial"/>
          <w:sz w:val="17"/>
          <w:szCs w:val="17"/>
          <w:u w:val="single" w:color="auto"/>
          <w:color w:val="auto"/>
        </w:rPr>
        <w:t>UNDERWRITING AGREEMENT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Dated: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5043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6504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346075</wp:posOffset>
            </wp:positionV>
            <wp:extent cx="65043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6504305" cy="8255"/>
                    </a:xfrm>
                    <a:prstGeom prst="rect">
                      <a:avLst/>
                    </a:prstGeom>
                    <a:noFill/>
                  </pic:spPr>
                </pic:pic>
              </a:graphicData>
            </a:graphic>
          </wp:anchor>
        </w:drawing>
      </w:r>
    </w:p>
    <w:p>
      <w:pPr>
        <w:sectPr>
          <w:pgSz w:w="11900" w:h="16838" w:orient="portrait"/>
          <w:cols w:equalWidth="0" w:num="1">
            <w:col w:w="10240"/>
          </w:cols>
          <w:pgMar w:left="820" w:top="123" w:right="8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LYRA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Shares of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AGREEMENT</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2020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BofA Securities,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as Representatives of the several Underwriters</w:t>
      </w:r>
    </w:p>
    <w:p>
      <w:pPr>
        <w:sectPr>
          <w:pgSz w:w="11900" w:h="16838" w:orient="portrait"/>
          <w:cols w:equalWidth="0" w:num="1">
            <w:col w:w="10240"/>
          </w:cols>
          <w:pgMar w:left="820" w:top="265" w:right="8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BofA Securities,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One Bryant Park</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New York, New York 10036</w:t>
      </w:r>
    </w:p>
    <w:p>
      <w:pPr>
        <w:spacing w:after="0" w:line="200" w:lineRule="exact"/>
        <w:rPr>
          <w:sz w:val="20"/>
          <w:szCs w:val="20"/>
          <w:color w:val="auto"/>
        </w:rPr>
      </w:pPr>
    </w:p>
    <w:p>
      <w:pPr>
        <w:sectPr>
          <w:pgSz w:w="11900" w:h="16838" w:orient="portrait"/>
          <w:cols w:equalWidth="0" w:num="2">
            <w:col w:w="200" w:space="200"/>
            <w:col w:w="9840"/>
          </w:cols>
          <w:pgMar w:left="820" w:top="265" w:right="8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520 Madison Avenue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New York, New York 10022</w:t>
      </w:r>
    </w:p>
    <w:p>
      <w:pPr>
        <w:spacing w:after="0" w:line="200" w:lineRule="exact"/>
        <w:rPr>
          <w:sz w:val="20"/>
          <w:szCs w:val="20"/>
          <w:color w:val="auto"/>
        </w:rPr>
      </w:pPr>
    </w:p>
    <w:p>
      <w:pPr>
        <w:sectPr>
          <w:pgSz w:w="11900" w:h="16838" w:orient="portrait"/>
          <w:cols w:equalWidth="0" w:num="2">
            <w:col w:w="200" w:space="200"/>
            <w:col w:w="9840"/>
          </w:cols>
          <w:pgMar w:left="820" w:top="265" w:right="8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William Blair &amp; Company, L.L.C.</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150 North Riverside Plaza</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Chicago, Illinois 60606</w:t>
      </w:r>
    </w:p>
    <w:p>
      <w:pPr>
        <w:spacing w:after="0" w:line="194" w:lineRule="exact"/>
        <w:rPr>
          <w:sz w:val="20"/>
          <w:szCs w:val="20"/>
          <w:color w:val="auto"/>
        </w:rPr>
      </w:pPr>
    </w:p>
    <w:p>
      <w:pPr>
        <w:sectPr>
          <w:pgSz w:w="11900" w:h="16838" w:orient="portrait"/>
          <w:cols w:equalWidth="0" w:num="2">
            <w:col w:w="200" w:space="200"/>
            <w:col w:w="9840"/>
          </w:cols>
          <w:pgMar w:left="820" w:top="265" w:right="839" w:bottom="1440" w:gutter="0" w:footer="0" w:header="0"/>
          <w:type w:val="continuous"/>
        </w:sectPr>
      </w:pPr>
    </w:p>
    <w:p>
      <w:pPr>
        <w:spacing w:after="0"/>
        <w:rPr>
          <w:sz w:val="20"/>
          <w:szCs w:val="20"/>
          <w:color w:val="auto"/>
        </w:rPr>
      </w:pPr>
      <w:r>
        <w:rPr>
          <w:rFonts w:ascii="Arial" w:cs="Arial" w:eastAsia="Arial" w:hAnsi="Arial"/>
          <w:sz w:val="17"/>
          <w:szCs w:val="17"/>
          <w:color w:val="auto"/>
        </w:rPr>
        <w:t>Ladies and Gentlemen:</w:t>
      </w:r>
    </w:p>
    <w:p>
      <w:pPr>
        <w:spacing w:after="0" w:line="106" w:lineRule="exact"/>
        <w:rPr>
          <w:sz w:val="20"/>
          <w:szCs w:val="20"/>
          <w:color w:val="auto"/>
        </w:rPr>
      </w:pPr>
    </w:p>
    <w:p>
      <w:pPr>
        <w:ind w:right="60" w:firstLine="409"/>
        <w:spacing w:after="0" w:line="286" w:lineRule="auto"/>
        <w:rPr>
          <w:sz w:val="20"/>
          <w:szCs w:val="20"/>
          <w:color w:val="auto"/>
        </w:rPr>
      </w:pPr>
      <w:r>
        <w:rPr>
          <w:rFonts w:ascii="Arial" w:cs="Arial" w:eastAsia="Arial" w:hAnsi="Arial"/>
          <w:sz w:val="15"/>
          <w:szCs w:val="15"/>
          <w:color w:val="auto"/>
        </w:rPr>
        <w:t>Lyra Therapeutics, Inc., a Delaware corporation (the “Company”), confirms its agreement with BofA Securities, Inc. (“BofAS”), Jefferies LLC (“Jefferies”) and William Blair &amp; Company, L.L.C. (“William Blair”) and each of the other Underwriters named in Schedule A hereto (collectively, the “Underwriters,” which term shall also include any underwriter substituted as hereinafter provided in Section 10 hereof), for whom BofAS, Jefferies and William Blair are acting as representatives (in such capacity, the “Representatives”), with respect to (i) the sale by the Company and the purchase by the Underwriters, acting severally and not jointly, of the respective numbers of shares of Common Stock, par value $0.001 per share, of the Company (“Common Stock”) set forth in Schedule A hereto and (ii) the grant by the Company to the Underwriters, acting severally and not jointly, of the option described in Section 2(b) hereof to purchase all or any part of [●] additional shares of Common Stock. The aforesaid [●] shares of Common Stock (the “Initial Securities”) to be purchased by the Underwriters and all or any part of the [●] shares of Common Stock subject to the option described in Section 2(b) hereof (the “Option Securities”) are herein called, collectively, the “Securities.”</w:t>
      </w:r>
    </w:p>
    <w:p>
      <w:pPr>
        <w:spacing w:after="0" w:line="159" w:lineRule="exact"/>
        <w:rPr>
          <w:sz w:val="20"/>
          <w:szCs w:val="20"/>
          <w:color w:val="auto"/>
        </w:rPr>
      </w:pPr>
    </w:p>
    <w:p>
      <w:pPr>
        <w:ind w:firstLine="409"/>
        <w:spacing w:after="0" w:line="268" w:lineRule="auto"/>
        <w:rPr>
          <w:sz w:val="20"/>
          <w:szCs w:val="20"/>
          <w:color w:val="auto"/>
        </w:rPr>
      </w:pPr>
      <w:r>
        <w:rPr>
          <w:rFonts w:ascii="Arial" w:cs="Arial" w:eastAsia="Arial" w:hAnsi="Arial"/>
          <w:sz w:val="17"/>
          <w:szCs w:val="17"/>
          <w:color w:val="auto"/>
        </w:rPr>
        <w:t>The Company understands that the Underwriters propose to make a public offering of the Securities as soon as the Representatives deem advisable after this Underwriting Agreement (this “Agreement”) has been executed and delivered.</w:t>
      </w:r>
    </w:p>
    <w:p>
      <w:pPr>
        <w:sectPr>
          <w:pgSz w:w="11900" w:h="16838" w:orient="portrait"/>
          <w:cols w:equalWidth="0" w:num="1">
            <w:col w:w="10240"/>
          </w:cols>
          <w:pgMar w:left="820" w:top="265" w:right="839" w:bottom="1440" w:gutter="0" w:footer="0" w:header="0"/>
          <w:type w:val="continuous"/>
        </w:sectPr>
      </w:pPr>
    </w:p>
    <w:bookmarkStart w:id="235" w:name="page236"/>
    <w:bookmarkEnd w:id="235"/>
    <w:p>
      <w:pPr>
        <w:ind w:right="20" w:firstLine="409"/>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Company has filed with the Securities and Exchange Commission (the “Commission”) a registration statement on Form S-1 (No. 333-236962),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 provisions of Rule 430A (“Rule 430A”) of the rules and regulations of the Commission under the 1933 Act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at the time it became effective, and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used in this Agreement:</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“Applicable Time” means [●]:00 [P./A.]M., New York City time, on [●], 2020 or such other time as agreed by the Company and BofAS.</w:t>
      </w:r>
    </w:p>
    <w:p>
      <w:pPr>
        <w:spacing w:after="0" w:line="117" w:lineRule="exact"/>
        <w:rPr>
          <w:sz w:val="20"/>
          <w:szCs w:val="20"/>
          <w:color w:val="auto"/>
        </w:rPr>
      </w:pPr>
    </w:p>
    <w:p>
      <w:pPr>
        <w:ind w:left="420" w:right="20" w:firstLine="393"/>
        <w:spacing w:after="0" w:line="257" w:lineRule="auto"/>
        <w:rPr>
          <w:sz w:val="20"/>
          <w:szCs w:val="20"/>
          <w:color w:val="auto"/>
        </w:rPr>
      </w:pPr>
      <w:r>
        <w:rPr>
          <w:rFonts w:ascii="Arial" w:cs="Arial" w:eastAsia="Arial" w:hAnsi="Arial"/>
          <w:sz w:val="17"/>
          <w:szCs w:val="17"/>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75" w:lineRule="exact"/>
        <w:rPr>
          <w:sz w:val="20"/>
          <w:szCs w:val="20"/>
          <w:color w:val="auto"/>
        </w:rPr>
      </w:pPr>
    </w:p>
    <w:p>
      <w:pPr>
        <w:ind w:left="420" w:firstLine="393"/>
        <w:spacing w:after="0" w:line="250" w:lineRule="auto"/>
        <w:rPr>
          <w:sz w:val="20"/>
          <w:szCs w:val="20"/>
          <w:color w:val="auto"/>
        </w:rPr>
      </w:pPr>
      <w:r>
        <w:rPr>
          <w:rFonts w:ascii="Arial" w:cs="Arial" w:eastAsia="Arial" w:hAnsi="Arial"/>
          <w:sz w:val="17"/>
          <w:szCs w:val="17"/>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1" w:lineRule="exact"/>
        <w:rPr>
          <w:sz w:val="20"/>
          <w:szCs w:val="20"/>
          <w:color w:val="auto"/>
        </w:rPr>
      </w:pPr>
    </w:p>
    <w:p>
      <w:pPr>
        <w:jc w:val="both"/>
        <w:ind w:left="420" w:right="620" w:firstLine="393"/>
        <w:spacing w:after="0" w:line="257" w:lineRule="auto"/>
        <w:rPr>
          <w:sz w:val="20"/>
          <w:szCs w:val="20"/>
          <w:color w:val="auto"/>
        </w:rPr>
      </w:pPr>
      <w:r>
        <w:rPr>
          <w:rFonts w:ascii="Arial" w:cs="Arial" w:eastAsia="Arial" w:hAnsi="Arial"/>
          <w:sz w:val="17"/>
          <w:szCs w:val="17"/>
          <w:color w:val="auto"/>
        </w:rPr>
        <w:t>“Issuer General Use Free Writing Prospectus” means any Issuer Free Writing Prospectus that is intended for general distribution to prospective investors (other than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electronic road show,” as defined in Rule 433 (the “Bona Fide Electronic Road Show”)), as evidenced by its being specified in Schedule B-2 hereto.</w:t>
      </w:r>
    </w:p>
    <w:p>
      <w:pPr>
        <w:spacing w:after="0" w:line="75" w:lineRule="exact"/>
        <w:rPr>
          <w:sz w:val="20"/>
          <w:szCs w:val="20"/>
          <w:color w:val="auto"/>
        </w:rPr>
      </w:pPr>
    </w:p>
    <w:p>
      <w:pPr>
        <w:ind w:left="420" w:right="380" w:firstLine="393"/>
        <w:spacing w:after="0" w:line="268" w:lineRule="auto"/>
        <w:rPr>
          <w:sz w:val="20"/>
          <w:szCs w:val="20"/>
          <w:color w:val="auto"/>
        </w:rPr>
      </w:pPr>
      <w:r>
        <w:rPr>
          <w:rFonts w:ascii="Arial" w:cs="Arial" w:eastAsia="Arial" w:hAnsi="Arial"/>
          <w:sz w:val="17"/>
          <w:szCs w:val="17"/>
          <w:color w:val="auto"/>
        </w:rPr>
        <w:t>“Issuer Limited Use Free Writing Prospectus” means any Issuer Free Writing Prospectus that is not an Issuer General Use Free Writing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5" w:right="839" w:bottom="1440" w:gutter="0" w:footer="0" w:header="0"/>
        </w:sectPr>
      </w:pPr>
    </w:p>
    <w:bookmarkStart w:id="236" w:name="page237"/>
    <w:bookmarkEnd w:id="236"/>
    <w:p>
      <w:pPr>
        <w:ind w:left="420" w:right="720" w:firstLine="39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“Testing-the-Waters Communication” means any oral or written communication with potential investors undertaken in reliance on Section 5(d) of the 1933 Act.</w:t>
      </w:r>
    </w:p>
    <w:p>
      <w:pPr>
        <w:spacing w:after="0" w:line="66" w:lineRule="exact"/>
        <w:rPr>
          <w:sz w:val="20"/>
          <w:szCs w:val="20"/>
          <w:color w:val="auto"/>
        </w:rPr>
      </w:pPr>
    </w:p>
    <w:p>
      <w:pPr>
        <w:ind w:left="420" w:right="300" w:firstLine="393"/>
        <w:spacing w:after="0" w:line="268" w:lineRule="auto"/>
        <w:rPr>
          <w:sz w:val="20"/>
          <w:szCs w:val="20"/>
          <w:color w:val="auto"/>
        </w:rPr>
      </w:pPr>
      <w:r>
        <w:rPr>
          <w:rFonts w:ascii="Arial" w:cs="Arial" w:eastAsia="Arial" w:hAnsi="Arial"/>
          <w:sz w:val="17"/>
          <w:szCs w:val="17"/>
          <w:color w:val="auto"/>
        </w:rPr>
        <w:t>“Written Testing-the-Waters Communication” means any Testing-the-Waters Communication that is a written communication within the meaning of Rule 405 under the 1933 Act.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106" w:lineRule="exact"/>
        <w:rPr>
          <w:sz w:val="20"/>
          <w:szCs w:val="20"/>
          <w:color w:val="auto"/>
        </w:rPr>
      </w:pPr>
    </w:p>
    <w:p>
      <w:pPr>
        <w:ind w:right="420" w:firstLine="412"/>
        <w:spacing w:after="0" w:line="335" w:lineRule="auto"/>
        <w:tabs>
          <w:tab w:leader="none" w:pos="637"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Representations and Warranties by the Company</w:t>
      </w:r>
      <w:r>
        <w:rPr>
          <w:rFonts w:ascii="Arial" w:cs="Arial" w:eastAsia="Arial" w:hAnsi="Arial"/>
          <w:sz w:val="15"/>
          <w:szCs w:val="15"/>
          <w:color w:val="auto"/>
        </w:rPr>
        <w:t>. The Company represents and warrants to each Underwriter as of the date hereof, the</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Time, the Closing Time (as defined below) and any Date of Delivery (as defined below), and agrees with each Underwriter, as follows:</w:t>
      </w:r>
    </w:p>
    <w:p>
      <w:pPr>
        <w:spacing w:after="0" w:line="20" w:lineRule="exact"/>
        <w:rPr>
          <w:rFonts w:ascii="Arial" w:cs="Arial" w:eastAsia="Arial" w:hAnsi="Arial"/>
          <w:sz w:val="15"/>
          <w:szCs w:val="15"/>
          <w:color w:val="auto"/>
        </w:rPr>
      </w:pPr>
    </w:p>
    <w:p>
      <w:pPr>
        <w:ind w:left="420" w:firstLine="385"/>
        <w:spacing w:after="0" w:line="271" w:lineRule="auto"/>
        <w:tabs>
          <w:tab w:leader="none" w:pos="1013"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Prospectuses</w:t>
      </w:r>
      <w:r>
        <w:rPr>
          <w:rFonts w:ascii="Arial" w:cs="Arial" w:eastAsia="Arial" w:hAnsi="Arial"/>
          <w:sz w:val="16"/>
          <w:szCs w:val="16"/>
          <w:color w:val="auto"/>
        </w:rPr>
        <w:t>. Each of the Registration Statement and any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66" w:lineRule="exact"/>
        <w:rPr>
          <w:sz w:val="20"/>
          <w:szCs w:val="20"/>
          <w:color w:val="auto"/>
        </w:rPr>
      </w:pPr>
    </w:p>
    <w:p>
      <w:pPr>
        <w:ind w:left="420" w:right="40" w:firstLine="393"/>
        <w:spacing w:after="0" w:line="290" w:lineRule="auto"/>
        <w:rPr>
          <w:sz w:val="20"/>
          <w:szCs w:val="20"/>
          <w:color w:val="auto"/>
        </w:rPr>
      </w:pPr>
      <w:r>
        <w:rPr>
          <w:rFonts w:ascii="Arial" w:cs="Arial" w:eastAsia="Arial" w:hAnsi="Arial"/>
          <w:sz w:val="15"/>
          <w:szCs w:val="15"/>
          <w:color w:val="auto"/>
        </w:rPr>
        <w:t>Each of the Registration Statement and any post-effective amendment thereto, at the time it became effective, complied in all material respects with the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55" w:lineRule="exact"/>
        <w:rPr>
          <w:sz w:val="20"/>
          <w:szCs w:val="20"/>
          <w:color w:val="auto"/>
        </w:rPr>
      </w:pPr>
    </w:p>
    <w:p>
      <w:pPr>
        <w:ind w:left="420" w:right="20" w:firstLine="385"/>
        <w:spacing w:after="0" w:line="265" w:lineRule="auto"/>
        <w:tabs>
          <w:tab w:leader="none" w:pos="1059"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0"/>
          </w:cols>
          <w:pgMar w:left="820" w:top="265" w:right="839" w:bottom="1440" w:gutter="0" w:footer="0" w:header="0"/>
        </w:sectPr>
      </w:pPr>
    </w:p>
    <w:bookmarkStart w:id="237" w:name="page238"/>
    <w:bookmarkEnd w:id="237"/>
    <w:p>
      <w:pPr>
        <w:ind w:right="180" w:firstLine="393"/>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Distribution” in each case contained in the Prospectus (collectively, the “Underwriter Information”).</w:t>
      </w:r>
    </w:p>
    <w:p>
      <w:pPr>
        <w:spacing w:after="0" w:line="68" w:lineRule="exact"/>
        <w:rPr>
          <w:sz w:val="20"/>
          <w:szCs w:val="20"/>
          <w:color w:val="auto"/>
        </w:rPr>
      </w:pPr>
    </w:p>
    <w:p>
      <w:pPr>
        <w:jc w:val="both"/>
        <w:ind w:right="180" w:firstLine="385"/>
        <w:spacing w:after="0" w:line="274" w:lineRule="auto"/>
        <w:tabs>
          <w:tab w:leader="none" w:pos="686"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Prospectuses</w:t>
      </w:r>
      <w:r>
        <w:rPr>
          <w:rFonts w:ascii="Arial" w:cs="Arial" w:eastAsia="Arial" w:hAnsi="Arial"/>
          <w:sz w:val="16"/>
          <w:szCs w:val="16"/>
          <w:color w:val="auto"/>
        </w:rPr>
        <w:t>. No Issuer Free Writing Prospectus conflicts or will conflict with the information contained in the Registration Statement or the Prospectus, and any preliminary or other prospectus deemed to be a part thereof that has not been superseded or modified. The Company has made available a Bona Fide Electronic Road Show in compliance with Rule 433(d)(8)(ii) such that no filing of any “road show” (as defined in Rule 433(h)) is required in connection with the offering of the Securities.</w:t>
      </w:r>
    </w:p>
    <w:p>
      <w:pPr>
        <w:spacing w:after="0" w:line="63" w:lineRule="exact"/>
        <w:rPr>
          <w:rFonts w:ascii="Arial" w:cs="Arial" w:eastAsia="Arial" w:hAnsi="Arial"/>
          <w:sz w:val="16"/>
          <w:szCs w:val="16"/>
          <w:color w:val="auto"/>
        </w:rPr>
      </w:pPr>
    </w:p>
    <w:p>
      <w:pPr>
        <w:ind w:left="660" w:hanging="275"/>
        <w:spacing w:after="0"/>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Testing-the-Waters Materials</w:t>
      </w:r>
      <w:r>
        <w:rPr>
          <w:rFonts w:ascii="Arial" w:cs="Arial" w:eastAsia="Arial" w:hAnsi="Arial"/>
          <w:sz w:val="17"/>
          <w:szCs w:val="17"/>
          <w:color w:val="auto"/>
        </w:rPr>
        <w:t>. The Company (A) has not engaged in any Testing-the-Waters Communication other than</w:t>
      </w:r>
    </w:p>
    <w:p>
      <w:pPr>
        <w:spacing w:after="0" w:line="1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B-3 hereto.</w:t>
      </w:r>
    </w:p>
    <w:p>
      <w:pPr>
        <w:spacing w:after="0" w:line="69" w:lineRule="exact"/>
        <w:rPr>
          <w:sz w:val="20"/>
          <w:szCs w:val="20"/>
          <w:color w:val="auto"/>
        </w:rPr>
      </w:pPr>
    </w:p>
    <w:p>
      <w:pPr>
        <w:ind w:right="20" w:firstLine="385"/>
        <w:spacing w:after="0" w:line="298" w:lineRule="auto"/>
        <w:tabs>
          <w:tab w:leader="none" w:pos="630"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Company Not Ineligible Issuer</w:t>
      </w:r>
      <w:r>
        <w:rPr>
          <w:rFonts w:ascii="Arial" w:cs="Arial" w:eastAsia="Arial" w:hAnsi="Arial"/>
          <w:sz w:val="15"/>
          <w:szCs w:val="15"/>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47" w:lineRule="exact"/>
        <w:rPr>
          <w:rFonts w:ascii="Arial" w:cs="Arial" w:eastAsia="Arial" w:hAnsi="Arial"/>
          <w:sz w:val="15"/>
          <w:szCs w:val="15"/>
          <w:color w:val="auto"/>
        </w:rPr>
      </w:pPr>
    </w:p>
    <w:p>
      <w:pPr>
        <w:ind w:left="660" w:hanging="275"/>
        <w:spacing w:after="0"/>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Emerging Growth Company Status.</w:t>
      </w:r>
      <w:r>
        <w:rPr>
          <w:rFonts w:ascii="Arial" w:cs="Arial" w:eastAsia="Arial" w:hAnsi="Arial"/>
          <w:sz w:val="16"/>
          <w:szCs w:val="16"/>
          <w:color w:val="auto"/>
        </w:rPr>
        <w:t xml:space="preserve"> From the time of the initial confidential submission of the Registration Statement to the</w:t>
      </w:r>
    </w:p>
    <w:p>
      <w:pPr>
        <w:spacing w:after="0" w:line="29" w:lineRule="exact"/>
        <w:rPr>
          <w:rFonts w:ascii="Arial" w:cs="Arial" w:eastAsia="Arial" w:hAnsi="Arial"/>
          <w:sz w:val="16"/>
          <w:szCs w:val="16"/>
          <w:color w:val="auto"/>
        </w:rPr>
      </w:pPr>
    </w:p>
    <w:p>
      <w:pPr>
        <w:ind w:right="20"/>
        <w:spacing w:after="0" w:line="249" w:lineRule="auto"/>
        <w:rPr>
          <w:rFonts w:ascii="Arial" w:cs="Arial" w:eastAsia="Arial" w:hAnsi="Arial"/>
          <w:sz w:val="16"/>
          <w:szCs w:val="16"/>
          <w:color w:val="auto"/>
        </w:rPr>
      </w:pPr>
      <w:r>
        <w:rPr>
          <w:rFonts w:ascii="Arial" w:cs="Arial" w:eastAsia="Arial" w:hAnsi="Arial"/>
          <w:sz w:val="17"/>
          <w:szCs w:val="17"/>
          <w:color w:val="auto"/>
        </w:rPr>
        <w:t>Commission (or, if earlier, the first date on which the Company engaged directly or through any individual or entity (“Person”) authorized to act on its behalf in any Testing-the-Waters Communication) through the date hereof, the Company has been and is an “emerging growth company,” as defined in Section 2(a) of the 1933 Act (an “Emerging Growth Company”).</w:t>
      </w:r>
    </w:p>
    <w:p>
      <w:pPr>
        <w:spacing w:after="0" w:line="82" w:lineRule="exact"/>
        <w:rPr>
          <w:rFonts w:ascii="Arial" w:cs="Arial" w:eastAsia="Arial" w:hAnsi="Arial"/>
          <w:sz w:val="16"/>
          <w:szCs w:val="16"/>
          <w:color w:val="auto"/>
        </w:rPr>
      </w:pPr>
    </w:p>
    <w:p>
      <w:pPr>
        <w:ind w:right="40" w:firstLine="385"/>
        <w:spacing w:after="0" w:line="257" w:lineRule="auto"/>
        <w:tabs>
          <w:tab w:leader="none" w:pos="723"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and the Public Company Accounting Oversight Board.</w:t>
      </w:r>
    </w:p>
    <w:p>
      <w:pPr>
        <w:spacing w:after="0" w:line="74" w:lineRule="exact"/>
        <w:rPr>
          <w:rFonts w:ascii="Arial" w:cs="Arial" w:eastAsia="Arial" w:hAnsi="Arial"/>
          <w:sz w:val="17"/>
          <w:szCs w:val="17"/>
          <w:color w:val="auto"/>
        </w:rPr>
      </w:pPr>
    </w:p>
    <w:p>
      <w:pPr>
        <w:ind w:right="360" w:firstLine="385"/>
        <w:spacing w:after="0" w:line="298" w:lineRule="auto"/>
        <w:tabs>
          <w:tab w:leader="none" w:pos="769"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financial statements included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w:t>
      </w:r>
    </w:p>
    <w:p>
      <w:pPr>
        <w:spacing w:after="0" w:line="8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20"/>
          </w:cols>
          <w:pgMar w:left="1240" w:top="265" w:right="839" w:bottom="1440" w:gutter="0" w:footer="0" w:header="0"/>
        </w:sectPr>
      </w:pPr>
    </w:p>
    <w:bookmarkStart w:id="238" w:name="page239"/>
    <w:bookmarkEnd w:id="238"/>
    <w:p>
      <w:pPr>
        <w:ind w:right="60"/>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55" w:lineRule="exact"/>
        <w:rPr>
          <w:sz w:val="20"/>
          <w:szCs w:val="20"/>
          <w:color w:val="auto"/>
        </w:rPr>
      </w:pPr>
    </w:p>
    <w:p>
      <w:pPr>
        <w:ind w:right="20" w:firstLine="385"/>
        <w:spacing w:after="0" w:line="268" w:lineRule="auto"/>
        <w:tabs>
          <w:tab w:leader="none" w:pos="677"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68" w:lineRule="exact"/>
        <w:rPr>
          <w:rFonts w:ascii="Arial" w:cs="Arial" w:eastAsia="Arial" w:hAnsi="Arial"/>
          <w:sz w:val="16"/>
          <w:szCs w:val="16"/>
          <w:color w:val="auto"/>
        </w:rPr>
      </w:pPr>
    </w:p>
    <w:p>
      <w:pPr>
        <w:ind w:firstLine="385"/>
        <w:spacing w:after="0" w:line="290" w:lineRule="auto"/>
        <w:tabs>
          <w:tab w:leader="none" w:pos="63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Good Standing of the Company</w:t>
      </w:r>
      <w:r>
        <w:rPr>
          <w:rFonts w:ascii="Arial" w:cs="Arial" w:eastAsia="Arial" w:hAnsi="Arial"/>
          <w:sz w:val="15"/>
          <w:szCs w:val="15"/>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singly or in the aggregate, result in a Material Adverse Effect.</w:t>
      </w:r>
    </w:p>
    <w:p>
      <w:pPr>
        <w:spacing w:after="0" w:line="54" w:lineRule="exact"/>
        <w:rPr>
          <w:rFonts w:ascii="Arial" w:cs="Arial" w:eastAsia="Arial" w:hAnsi="Arial"/>
          <w:sz w:val="15"/>
          <w:szCs w:val="15"/>
          <w:color w:val="auto"/>
        </w:rPr>
      </w:pPr>
    </w:p>
    <w:p>
      <w:pPr>
        <w:ind w:firstLine="385"/>
        <w:spacing w:after="0" w:line="285" w:lineRule="auto"/>
        <w:tabs>
          <w:tab w:leader="none" w:pos="677"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Good Standing of Subsidiaries</w:t>
      </w:r>
      <w:r>
        <w:rPr>
          <w:rFonts w:ascii="Arial" w:cs="Arial" w:eastAsia="Arial" w:hAnsi="Arial"/>
          <w:sz w:val="15"/>
          <w:szCs w:val="15"/>
          <w:color w:val="auto"/>
        </w:rPr>
        <w:t>. Each “significant subsidiary” of the Company (as such term is defined in Rule 1-02 of Regulation S-X) (each, a “Subsidiary” and, collectively, the “Subsidiaries”)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singly or in the aggregate,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were issued in violation of the preemptive or similar rights of any securityholder of such Subsidiary. The only subsidiaries of the Company are the subsidiaries listed on Exhibit 21 to the Registration Statement.</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20"/>
          </w:cols>
          <w:pgMar w:left="1240" w:top="265" w:right="839" w:bottom="1440" w:gutter="0" w:footer="0" w:header="0"/>
        </w:sectPr>
      </w:pPr>
    </w:p>
    <w:bookmarkStart w:id="239" w:name="page240"/>
    <w:bookmarkEnd w:id="239"/>
    <w:p>
      <w:pPr>
        <w:ind w:right="20" w:firstLine="385"/>
        <w:spacing w:after="0" w:line="286" w:lineRule="auto"/>
        <w:tabs>
          <w:tab w:leader="none" w:pos="723"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Capitalization</w:t>
      </w:r>
      <w:r>
        <w:rPr>
          <w:rFonts w:ascii="Arial" w:cs="Arial" w:eastAsia="Arial" w:hAnsi="Arial"/>
          <w:sz w:val="15"/>
          <w:szCs w:val="15"/>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options or warrants referred to in the Registration Statement, the General Disclosure Package and the Prospectus or pursuant to the automatic conversions of preferred stock of the Company into shares of Common Stock as a result of the public offering contemplated hereby as described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spacing w:after="0" w:line="58" w:lineRule="exact"/>
        <w:rPr>
          <w:rFonts w:ascii="Arial" w:cs="Arial" w:eastAsia="Arial" w:hAnsi="Arial"/>
          <w:sz w:val="15"/>
          <w:szCs w:val="15"/>
          <w:color w:val="auto"/>
        </w:rPr>
      </w:pPr>
    </w:p>
    <w:p>
      <w:pPr>
        <w:ind w:left="760" w:hanging="375"/>
        <w:spacing w:after="0"/>
        <w:tabs>
          <w:tab w:leader="none" w:pos="76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Authorization of Agreement</w:t>
      </w:r>
      <w:r>
        <w:rPr>
          <w:rFonts w:ascii="Arial" w:cs="Arial" w:eastAsia="Arial" w:hAnsi="Arial"/>
          <w:sz w:val="17"/>
          <w:szCs w:val="17"/>
          <w:color w:val="auto"/>
        </w:rPr>
        <w:t>. This Agreement has been duly authorized, executed and delivered by the Company.</w:t>
      </w:r>
    </w:p>
    <w:p>
      <w:pPr>
        <w:spacing w:after="0" w:line="105" w:lineRule="exact"/>
        <w:rPr>
          <w:rFonts w:ascii="Arial" w:cs="Arial" w:eastAsia="Arial" w:hAnsi="Arial"/>
          <w:sz w:val="17"/>
          <w:szCs w:val="17"/>
          <w:color w:val="auto"/>
        </w:rPr>
      </w:pPr>
    </w:p>
    <w:p>
      <w:pPr>
        <w:ind w:firstLine="385"/>
        <w:spacing w:after="0" w:line="268" w:lineRule="auto"/>
        <w:tabs>
          <w:tab w:leader="none" w:pos="76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Authorization and Description of Securities</w:t>
      </w:r>
      <w:r>
        <w:rPr>
          <w:rFonts w:ascii="Arial" w:cs="Arial" w:eastAsia="Arial" w:hAnsi="Arial"/>
          <w:sz w:val="16"/>
          <w:szCs w:val="16"/>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solely by reason of being such a holder.</w:t>
      </w:r>
    </w:p>
    <w:p>
      <w:pPr>
        <w:spacing w:after="0" w:line="68" w:lineRule="exact"/>
        <w:rPr>
          <w:rFonts w:ascii="Arial" w:cs="Arial" w:eastAsia="Arial" w:hAnsi="Arial"/>
          <w:sz w:val="16"/>
          <w:szCs w:val="16"/>
          <w:color w:val="auto"/>
        </w:rPr>
      </w:pPr>
    </w:p>
    <w:p>
      <w:pPr>
        <w:ind w:right="120" w:firstLine="385"/>
        <w:spacing w:after="0" w:line="253" w:lineRule="auto"/>
        <w:tabs>
          <w:tab w:leader="none" w:pos="714"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79" w:lineRule="exact"/>
        <w:rPr>
          <w:rFonts w:ascii="Arial" w:cs="Arial" w:eastAsia="Arial" w:hAnsi="Arial"/>
          <w:sz w:val="17"/>
          <w:szCs w:val="17"/>
          <w:color w:val="auto"/>
        </w:rPr>
      </w:pPr>
    </w:p>
    <w:p>
      <w:pPr>
        <w:ind w:left="760" w:hanging="375"/>
        <w:spacing w:after="0"/>
        <w:tabs>
          <w:tab w:leader="none" w:pos="76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Absence of Violations, Defaults and Conflicts</w:t>
      </w:r>
      <w:r>
        <w:rPr>
          <w:rFonts w:ascii="Arial" w:cs="Arial" w:eastAsia="Arial" w:hAnsi="Arial"/>
          <w:sz w:val="16"/>
          <w:szCs w:val="16"/>
          <w:color w:val="auto"/>
        </w:rPr>
        <w:t>. Neither the Company nor any of its subsidiaries is (A) in violation of its charter,</w:t>
      </w:r>
    </w:p>
    <w:p>
      <w:pPr>
        <w:spacing w:after="0" w:line="29"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reasonably be expected to,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reasonably be expected to, singly or in the aggregate,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w:t>
      </w:r>
    </w:p>
    <w:p>
      <w:pPr>
        <w:spacing w:after="0" w:line="98"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780"/>
          </w:cols>
          <w:pgMar w:left="1240" w:top="265" w:right="879" w:bottom="1440" w:gutter="0" w:footer="0" w:header="0"/>
        </w:sectPr>
      </w:pPr>
    </w:p>
    <w:bookmarkStart w:id="240" w:name="page241"/>
    <w:bookmarkEnd w:id="240"/>
    <w:p>
      <w:pPr>
        <w:ind w:left="8"/>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reasonably be expected to, singly or in the aggregate, result in a Material Adverse Effect), nor will such action result in any violation of (x) the provisions of the charter, by-laws or similar organizational document of the Company or</w:t>
      </w:r>
    </w:p>
    <w:p>
      <w:pPr>
        <w:spacing w:after="0" w:line="1" w:lineRule="exact"/>
        <w:rPr>
          <w:sz w:val="20"/>
          <w:szCs w:val="20"/>
          <w:color w:val="auto"/>
        </w:rPr>
      </w:pPr>
    </w:p>
    <w:p>
      <w:pPr>
        <w:ind w:left="8" w:right="80" w:hanging="8"/>
        <w:spacing w:after="0" w:line="248" w:lineRule="auto"/>
        <w:tabs>
          <w:tab w:leader="none" w:pos="24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of its subsidiaries or any law, statute, rule, regulation, judgment, order, writ or decree of any Governmental Entity, except with respect to clause (y), such violations as would not reasonably be expected to,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82" w:lineRule="exact"/>
        <w:rPr>
          <w:rFonts w:ascii="Arial" w:cs="Arial" w:eastAsia="Arial" w:hAnsi="Arial"/>
          <w:sz w:val="17"/>
          <w:szCs w:val="17"/>
          <w:color w:val="auto"/>
        </w:rPr>
      </w:pPr>
    </w:p>
    <w:p>
      <w:pPr>
        <w:ind w:left="8" w:right="40" w:firstLine="385"/>
        <w:spacing w:after="0" w:line="253" w:lineRule="auto"/>
        <w:tabs>
          <w:tab w:leader="none" w:pos="815"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Absence of Labor Dispute</w:t>
      </w:r>
      <w:r>
        <w:rPr>
          <w:rFonts w:ascii="Arial" w:cs="Arial" w:eastAsia="Arial" w:hAnsi="Arial"/>
          <w:sz w:val="17"/>
          <w:szCs w:val="17"/>
          <w:color w:val="auto"/>
        </w:rPr>
        <w:t>. Except as would not reasonably be expected to, singly or in the aggregate, result in a Material Adverse Effect, (a) no labor dispute with the employees of the Company or any of its subsidiaries exists or, to the knowledge of the Company, is imminent, and (b) to the Company’s knowledge, there is no existing or imminent labor disturbance by the employees of any of its or any subsidiary’s principal suppliers, manufacturers, customers or contractors.</w:t>
      </w:r>
    </w:p>
    <w:p>
      <w:pPr>
        <w:spacing w:after="0" w:line="79" w:lineRule="exact"/>
        <w:rPr>
          <w:rFonts w:ascii="Arial" w:cs="Arial" w:eastAsia="Arial" w:hAnsi="Arial"/>
          <w:sz w:val="17"/>
          <w:szCs w:val="17"/>
          <w:color w:val="auto"/>
        </w:rPr>
      </w:pPr>
    </w:p>
    <w:p>
      <w:pPr>
        <w:ind w:left="8" w:right="40" w:firstLine="385"/>
        <w:spacing w:after="0" w:line="265" w:lineRule="auto"/>
        <w:tabs>
          <w:tab w:leader="none" w:pos="861"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Except as disclosed in the Registration Statement, the General Disclosure Package and the Prospectus, there is no action, suit, proceeding, inquiry or investigation before or brought by any Governmental Entity (including, without limitation, any action, suit, proceeding, inquiry or investigation before or brought by the U.S. Food and Drug Administration (the “FDA”) or the European Medicines Agency (the “EMA”)) now pending or, to the knowledge of the Company, threatened, against or affecting the Company or any of its subsidiaries, which would reasonably be expected to, singly or in the aggregate, result in a Material Adverse Effect, or which would reasonably be expected to, singly or in the aggregate, materially and adversely affect their respective properties or assets or the consummation of the transactions contemplated in this Agreement or the performance by the Company of its obligations hereunder; and the aggregate of all pending legal or governmental actions, suits, inquiries, investigations or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reasonably be expected to, singly or in the aggregate, result in a Material Adverse Effect.</w:t>
      </w:r>
    </w:p>
    <w:p>
      <w:pPr>
        <w:spacing w:after="0" w:line="75" w:lineRule="exact"/>
        <w:rPr>
          <w:rFonts w:ascii="Arial" w:cs="Arial" w:eastAsia="Arial" w:hAnsi="Arial"/>
          <w:sz w:val="16"/>
          <w:szCs w:val="16"/>
          <w:color w:val="auto"/>
        </w:rPr>
      </w:pPr>
    </w:p>
    <w:p>
      <w:pPr>
        <w:ind w:left="8" w:firstLine="385"/>
        <w:spacing w:after="0" w:line="257" w:lineRule="auto"/>
        <w:tabs>
          <w:tab w:leader="none" w:pos="768"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Accuracy of Exhibits</w:t>
      </w:r>
      <w:r>
        <w:rPr>
          <w:rFonts w:ascii="Arial" w:cs="Arial" w:eastAsia="Arial" w:hAnsi="Arial"/>
          <w:sz w:val="17"/>
          <w:szCs w:val="17"/>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74" w:lineRule="exact"/>
        <w:rPr>
          <w:rFonts w:ascii="Arial" w:cs="Arial" w:eastAsia="Arial" w:hAnsi="Arial"/>
          <w:sz w:val="17"/>
          <w:szCs w:val="17"/>
          <w:color w:val="auto"/>
        </w:rPr>
      </w:pPr>
    </w:p>
    <w:p>
      <w:pPr>
        <w:ind w:left="8" w:firstLine="385"/>
        <w:spacing w:after="0" w:line="251" w:lineRule="auto"/>
        <w:tabs>
          <w:tab w:leader="none" w:pos="722"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Global Market, state securities laws or the rules of FINRA.</w:t>
      </w:r>
    </w:p>
    <w:p>
      <w:pPr>
        <w:spacing w:after="0" w:line="120" w:lineRule="exact"/>
        <w:rPr>
          <w:sz w:val="20"/>
          <w:szCs w:val="20"/>
          <w:color w:val="auto"/>
        </w:rPr>
      </w:pPr>
    </w:p>
    <w:p>
      <w:pPr>
        <w:jc w:val="center"/>
        <w:ind w:right="392"/>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828"/>
          </w:cols>
          <w:pgMar w:left="1232" w:top="265" w:right="839" w:bottom="1440" w:gutter="0" w:footer="0" w:header="0"/>
        </w:sectPr>
      </w:pPr>
    </w:p>
    <w:bookmarkStart w:id="241" w:name="page242"/>
    <w:bookmarkEnd w:id="241"/>
    <w:p>
      <w:pPr>
        <w:ind w:left="8" w:firstLine="385"/>
        <w:spacing w:after="0" w:line="280" w:lineRule="auto"/>
        <w:tabs>
          <w:tab w:leader="none" w:pos="768" w:val="left"/>
        </w:tabs>
        <w:numPr>
          <w:ilvl w:val="1"/>
          <w:numId w:val="15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Possession of Licenses and Permits</w:t>
      </w:r>
      <w:r>
        <w:rPr>
          <w:rFonts w:ascii="Arial" w:cs="Arial" w:eastAsia="Arial" w:hAnsi="Arial"/>
          <w:sz w:val="15"/>
          <w:szCs w:val="15"/>
          <w:color w:val="auto"/>
        </w:rPr>
        <w:t>. The Company and its subsidiaries possess such permits, licenses, approvals, consents and other authorizations issued by the appropriate Governmental Entities necessary to conduct the business now operated by them (including, without limitation, all such permits, licenses, approvals, consents and other authorizations required by the FDA, the EMA, or any other federal, state, local or foreign agencies or bodies engaged in the regulation of clinical trials, pharmaceutical products, medical devices or activities related to the business now operated by the Company and its subsidiaries) (collectively, “Governmental Licenses”), except where the failure so to possess would not reasonably be expected to, singly or in the aggregate, result in a Material Adverse Effect. The Company and its subsidiaries are in compliance with the terms and conditions of all Governmental Licenses, except where the failure so to comply would not reasonably be expected to, singly or in the aggregate, result in a Material Adverse Effect. All of the Governmental Licenses are valid and in full force and effect, except when the invalidity of such Governmental Licenses or the failure of such Governmental Licenses to be in full force and effect would not reasonably be expected to, singly or in the aggregate, result in a Material Adverse Effect. Neither the Company nor any of its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 The Company and its subsidiaries (i) are, and at all times have been, in compliance with all statutes, rules and regulations applicable to the ownership, testing, development, manufacture, packaging, processing, use, distribution, storage, import, export or disposal of any product manufactured or distributed by them (“Applicable Laws”), except where such noncompliance would not reasonably be expected to, singly or in the aggregate,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w:t>
      </w:r>
    </w:p>
    <w:p>
      <w:pPr>
        <w:spacing w:after="0" w:line="5" w:lineRule="exact"/>
        <w:rPr>
          <w:rFonts w:ascii="Arial" w:cs="Arial" w:eastAsia="Arial" w:hAnsi="Arial"/>
          <w:sz w:val="15"/>
          <w:szCs w:val="15"/>
          <w:color w:val="auto"/>
        </w:rPr>
      </w:pPr>
    </w:p>
    <w:p>
      <w:pPr>
        <w:ind w:left="8" w:right="40" w:hanging="8"/>
        <w:spacing w:after="0" w:line="318" w:lineRule="auto"/>
        <w:tabs>
          <w:tab w:leader="none" w:pos="245"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any Applicable Laws or (y) any Governmental Licenses required by any such Applicable Laws, except where being in contravention of any of the foregoing representations or warranties, singly or in the aggregate, would not reasonably be expected to result in a Material Adverse Effect.</w:t>
      </w:r>
    </w:p>
    <w:p>
      <w:pPr>
        <w:spacing w:after="0" w:line="32" w:lineRule="exact"/>
        <w:rPr>
          <w:rFonts w:ascii="Arial" w:cs="Arial" w:eastAsia="Arial" w:hAnsi="Arial"/>
          <w:sz w:val="15"/>
          <w:szCs w:val="15"/>
          <w:color w:val="auto"/>
        </w:rPr>
      </w:pPr>
    </w:p>
    <w:p>
      <w:pPr>
        <w:ind w:left="8" w:right="120" w:firstLine="385"/>
        <w:spacing w:after="0" w:line="305" w:lineRule="auto"/>
        <w:tabs>
          <w:tab w:leader="none" w:pos="815" w:val="left"/>
        </w:tabs>
        <w:numPr>
          <w:ilvl w:val="1"/>
          <w:numId w:val="154"/>
        </w:numPr>
        <w:rPr>
          <w:rFonts w:ascii="Arial" w:cs="Arial" w:eastAsia="Arial" w:hAnsi="Arial"/>
          <w:sz w:val="14"/>
          <w:szCs w:val="14"/>
          <w:color w:val="auto"/>
        </w:rPr>
      </w:pPr>
      <w:r>
        <w:rPr>
          <w:rFonts w:ascii="Arial" w:cs="Arial" w:eastAsia="Arial" w:hAnsi="Arial"/>
          <w:sz w:val="14"/>
          <w:szCs w:val="14"/>
          <w:u w:val="single" w:color="auto"/>
          <w:color w:val="auto"/>
        </w:rPr>
        <w:t>Title to Property</w:t>
      </w:r>
      <w:r>
        <w:rPr>
          <w:rFonts w:ascii="Arial" w:cs="Arial" w:eastAsia="Arial" w:hAnsi="Arial"/>
          <w:sz w:val="14"/>
          <w:szCs w:val="14"/>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ind w:left="8"/>
        <w:spacing w:after="0" w:line="286" w:lineRule="auto"/>
        <w:rPr>
          <w:rFonts w:ascii="Arial" w:cs="Arial" w:eastAsia="Arial" w:hAnsi="Arial"/>
          <w:sz w:val="14"/>
          <w:szCs w:val="14"/>
          <w:color w:val="auto"/>
        </w:rPr>
      </w:pPr>
      <w:r>
        <w:rPr>
          <w:rFonts w:ascii="Arial" w:cs="Arial" w:eastAsia="Arial" w:hAnsi="Arial"/>
          <w:sz w:val="15"/>
          <w:szCs w:val="15"/>
          <w:color w:val="auto"/>
        </w:rPr>
        <w:t>(B) do not, singly or in the aggregate, materially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93" w:lineRule="exact"/>
        <w:rPr>
          <w:sz w:val="20"/>
          <w:szCs w:val="20"/>
          <w:color w:val="auto"/>
        </w:rPr>
      </w:pPr>
    </w:p>
    <w:p>
      <w:pPr>
        <w:jc w:val="center"/>
        <w:ind w:right="372"/>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808"/>
          </w:cols>
          <w:pgMar w:left="1232" w:top="265" w:right="859" w:bottom="1440" w:gutter="0" w:footer="0" w:header="0"/>
        </w:sectPr>
      </w:pPr>
    </w:p>
    <w:bookmarkStart w:id="242" w:name="page243"/>
    <w:bookmarkEnd w:id="242"/>
    <w:p>
      <w:pPr>
        <w:ind w:left="8" w:firstLine="385"/>
        <w:spacing w:after="0" w:line="280" w:lineRule="auto"/>
        <w:tabs>
          <w:tab w:leader="none" w:pos="861" w:val="left"/>
        </w:tabs>
        <w:numPr>
          <w:ilvl w:val="1"/>
          <w:numId w:val="15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Possession of Intellectual Property</w:t>
      </w:r>
      <w:r>
        <w:rPr>
          <w:rFonts w:ascii="Arial" w:cs="Arial" w:eastAsia="Arial" w:hAnsi="Arial"/>
          <w:sz w:val="15"/>
          <w:szCs w:val="15"/>
          <w:color w:val="auto"/>
        </w:rPr>
        <w:t>. With regards to each sentence of this Section 1(a)(xxiii), other than as would not reasonably be expected, singly or in the aggregate, to result in a Material Adverse Effect: The Company and its subsidiaries own or possess, have a valid license to, or can acquire on reasonable terms, all patents, patent applications, statutory invention rights, community designs, invention disclosures, rights in utility models and industrial designs, inventions, registered and unregistered copyrights (including copyrights in software), intellectual property rights in technology and software, data, know-how (including trade secrets and other unpatented and/or unpatentable proprietary or confidential information, systems or procedures), trademarks, service marks, business names, trade names, logos, slogans, trade dress, design rights, Internet domain names, social media accounts, any other designations of source or origin, and any applications (including provisional applications), registrations, or renewals for any of the foregoing, together with the goodwill associated with any of the foregoing, rights to publicity and privacy and/or other intellectual property (collectively,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necessary to carry on the business now operated by them and as currently proposed to be conducted as described in the Registration Statement, the General Disclosure Package and the Prospectus. (i) Neither the Company nor any of its subsidiaries has received any notice of nor has engaged in any infringement, misappropriation or other violation of or conflict regarding any Intellectual Property of any third party, (ii) there is no pending or, to the knowledge of the Company, threatened action, suit, proceeding or claim regarding the subject matter of the foregoing and (iii) the Company and its subsidiaries are unaware of any facts which would form a reasonable basis for any such claim. (a) To the knowledge of the Company, all Intellectual Property owned by or exclusively licensed to the Company or any of its subsidiaries (such Intellectual Property, the “</w:t>
      </w:r>
      <w:r>
        <w:rPr>
          <w:rFonts w:ascii="Arial" w:cs="Arial" w:eastAsia="Arial" w:hAnsi="Arial"/>
          <w:sz w:val="15"/>
          <w:szCs w:val="15"/>
          <w:u w:val="single" w:color="auto"/>
          <w:color w:val="auto"/>
        </w:rPr>
        <w:t>Company Intellectual Property</w:t>
      </w:r>
      <w:r>
        <w:rPr>
          <w:rFonts w:ascii="Arial" w:cs="Arial" w:eastAsia="Arial" w:hAnsi="Arial"/>
          <w:sz w:val="15"/>
          <w:szCs w:val="15"/>
          <w:color w:val="auto"/>
        </w:rPr>
        <w:t>”) is valid, subsisting and enforceable, (b) there is no pending or, to the knowledge of the Company, threatened action, suit, proceeding or claim by any third party challenging the validity, ownership, registrability, enforceability or scope of any such Company Intellectual Property and (c) the Company is unaware of any facts which would form a reasonable basis for any such claim</w:t>
      </w:r>
      <w:r>
        <w:rPr>
          <w:rFonts w:ascii="Arial" w:cs="Arial" w:eastAsia="Arial" w:hAnsi="Arial"/>
          <w:sz w:val="15"/>
          <w:szCs w:val="15"/>
          <w:i w:val="1"/>
          <w:iCs w:val="1"/>
          <w:color w:val="auto"/>
        </w:rPr>
        <w:t>.</w:t>
      </w:r>
      <w:r>
        <w:rPr>
          <w:rFonts w:ascii="Arial" w:cs="Arial" w:eastAsia="Arial" w:hAnsi="Arial"/>
          <w:sz w:val="15"/>
          <w:szCs w:val="15"/>
          <w:color w:val="auto"/>
        </w:rPr>
        <w:t xml:space="preserve"> No third party, to the knowledge of the Company, is infringing, misappropriating or otherwise violating any of the Company Intellectual Property and there is no pending or, to the knowledge of the Company, threatened action, suit, proceeding or claim by the Company or any of its subsidiaries against a third party regarding the foregoing. (1) The Company and its subsidiaries have complied with the terms of each agreement pursuant to which Intellectual Property has been licensed to the Company or its subsidiaries,</w:t>
      </w:r>
    </w:p>
    <w:p>
      <w:pPr>
        <w:spacing w:after="0" w:line="4" w:lineRule="exact"/>
        <w:rPr>
          <w:rFonts w:ascii="Arial" w:cs="Arial" w:eastAsia="Arial" w:hAnsi="Arial"/>
          <w:sz w:val="15"/>
          <w:szCs w:val="15"/>
          <w:color w:val="auto"/>
        </w:rPr>
      </w:pPr>
    </w:p>
    <w:p>
      <w:pPr>
        <w:ind w:left="8" w:right="20" w:hanging="8"/>
        <w:spacing w:after="0" w:line="283" w:lineRule="auto"/>
        <w:tabs>
          <w:tab w:leader="none" w:pos="245"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received any written notice alleging any such noncompliance and are unaware of any facts which would form a reasonable basis for any such claim, and (3) all such agreements are in full force and effect. All Company Intellectual Property has been duly maintained and is in full force and effect and there are no defects in any of the Company Intellectual Property. Each person who is or was an employee or contractor of the Company or any of its subsidiaries and who is or was involved in the creation or development of any Intellectual Property for or on behalf of the Company has executed a valid agreement containing an assignment to the Company or any of its subsidiaries of such person’s rights in and to such Intellectual Property and, to the knowledge of the Company, no employee of the Company or any of its subsidiaries is in or has ever been in violation of any term of any agreement with or covenant to a former employer where the basis of such violation relates to such employee’s employment with the Company or any of its subsidiaries or actions undertaken by the employee while employed with the Company or any of its subsidiaries. The Company has taken all reasonable steps necessary to maintain and protect the confidentiality of the trade secrets and other confidential Intellectual Property used in connection with the business of the Company and its subsidiaries and the confidentiality of such trade secrets and confidential Intellectual Property has not been compromised or disclosed to or accessed by any third party except pursuant to appropriate nondisclosure and confidentiality agreements.</w:t>
      </w:r>
    </w:p>
    <w:p>
      <w:pPr>
        <w:spacing w:after="0" w:line="95" w:lineRule="exact"/>
        <w:rPr>
          <w:sz w:val="20"/>
          <w:szCs w:val="20"/>
          <w:color w:val="auto"/>
        </w:rPr>
      </w:pPr>
    </w:p>
    <w:p>
      <w:pPr>
        <w:jc w:val="center"/>
        <w:ind w:right="392"/>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828"/>
          </w:cols>
          <w:pgMar w:left="1232" w:top="265" w:right="839" w:bottom="1440" w:gutter="0" w:footer="0" w:header="0"/>
        </w:sectPr>
      </w:pPr>
    </w:p>
    <w:bookmarkStart w:id="243" w:name="page244"/>
    <w:bookmarkEnd w:id="243"/>
    <w:p>
      <w:pPr>
        <w:ind w:left="8" w:right="20" w:firstLine="385"/>
        <w:spacing w:after="0" w:line="264" w:lineRule="auto"/>
        <w:tabs>
          <w:tab w:leader="none" w:pos="852"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Environmental Laws</w:t>
      </w:r>
      <w:r>
        <w:rPr>
          <w:rFonts w:ascii="Arial" w:cs="Arial" w:eastAsia="Arial" w:hAnsi="Arial"/>
          <w:sz w:val="16"/>
          <w:szCs w:val="16"/>
          <w:color w:val="auto"/>
        </w:rPr>
        <w:t>. Except as described in the Registration Statement, the General Disclosure Package and the Prospectus or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77" w:lineRule="exact"/>
        <w:rPr>
          <w:rFonts w:ascii="Arial" w:cs="Arial" w:eastAsia="Arial" w:hAnsi="Arial"/>
          <w:sz w:val="16"/>
          <w:szCs w:val="16"/>
          <w:color w:val="auto"/>
        </w:rPr>
      </w:pPr>
    </w:p>
    <w:p>
      <w:pPr>
        <w:ind w:left="8" w:firstLine="385"/>
        <w:spacing w:after="0" w:line="285" w:lineRule="auto"/>
        <w:tabs>
          <w:tab w:leader="none" w:pos="805" w:val="left"/>
        </w:tabs>
        <w:numPr>
          <w:ilvl w:val="1"/>
          <w:numId w:val="157"/>
        </w:numPr>
        <w:rPr>
          <w:rFonts w:ascii="Arial" w:cs="Arial" w:eastAsia="Arial" w:hAnsi="Arial"/>
          <w:sz w:val="15"/>
          <w:szCs w:val="15"/>
          <w:color w:val="auto"/>
        </w:rPr>
      </w:pPr>
      <w:r>
        <w:rPr>
          <w:rFonts w:ascii="Arial" w:cs="Arial" w:eastAsia="Arial" w:hAnsi="Arial"/>
          <w:sz w:val="15"/>
          <w:szCs w:val="15"/>
          <w:u w:val="single" w:color="auto"/>
          <w:color w:val="auto"/>
        </w:rPr>
        <w:t>Accounting Controls</w:t>
      </w:r>
      <w:r>
        <w:rPr>
          <w:rFonts w:ascii="Arial" w:cs="Arial" w:eastAsia="Arial" w:hAnsi="Arial"/>
          <w:sz w:val="15"/>
          <w:szCs w:val="15"/>
          <w:color w:val="auto"/>
        </w:rPr>
        <w:t>. The Company and each of its subsidiaries maintain effective internal control over financial reporting (as defined under Rules 13-a15 and 15d-15 under the rules and regulations of the Commission (the “1934 Act Regulations”) under the Securities Exchange Act of 1934, as amended (the “1934 Act”)) and a system of internal accounting controls sufficient to provide reasonable assurances that</w:t>
      </w:r>
    </w:p>
    <w:p>
      <w:pPr>
        <w:ind w:left="8" w:right="260" w:hanging="8"/>
        <w:spacing w:after="0" w:line="299" w:lineRule="auto"/>
        <w:tabs>
          <w:tab w:leader="none" w:pos="282"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w:t>
      </w:r>
    </w:p>
    <w:p>
      <w:pPr>
        <w:spacing w:after="0" w:line="1" w:lineRule="exact"/>
        <w:rPr>
          <w:rFonts w:ascii="Arial" w:cs="Arial" w:eastAsia="Arial" w:hAnsi="Arial"/>
          <w:sz w:val="14"/>
          <w:szCs w:val="14"/>
          <w:color w:val="auto"/>
        </w:rPr>
      </w:pPr>
    </w:p>
    <w:p>
      <w:pPr>
        <w:ind w:left="8" w:right="120"/>
        <w:spacing w:after="0" w:line="249" w:lineRule="auto"/>
        <w:rPr>
          <w:rFonts w:ascii="Arial" w:cs="Arial" w:eastAsia="Arial" w:hAnsi="Arial"/>
          <w:sz w:val="14"/>
          <w:szCs w:val="14"/>
          <w:color w:val="auto"/>
        </w:rPr>
      </w:pPr>
      <w:r>
        <w:rPr>
          <w:rFonts w:ascii="Arial" w:cs="Arial" w:eastAsia="Arial" w:hAnsi="Arial"/>
          <w:sz w:val="17"/>
          <w:szCs w:val="17"/>
          <w:color w:val="auto"/>
        </w:rPr>
        <w:t>(1)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w:t>
      </w:r>
    </w:p>
    <w:p>
      <w:pPr>
        <w:spacing w:after="0" w:line="82" w:lineRule="exact"/>
        <w:rPr>
          <w:rFonts w:ascii="Arial" w:cs="Arial" w:eastAsia="Arial" w:hAnsi="Arial"/>
          <w:sz w:val="14"/>
          <w:szCs w:val="14"/>
          <w:color w:val="auto"/>
        </w:rPr>
      </w:pPr>
    </w:p>
    <w:p>
      <w:pPr>
        <w:ind w:left="8" w:right="80" w:firstLine="385"/>
        <w:spacing w:after="0" w:line="290" w:lineRule="auto"/>
        <w:tabs>
          <w:tab w:leader="none" w:pos="852" w:val="left"/>
        </w:tabs>
        <w:numPr>
          <w:ilvl w:val="1"/>
          <w:numId w:val="158"/>
        </w:numPr>
        <w:rPr>
          <w:rFonts w:ascii="Arial" w:cs="Arial" w:eastAsia="Arial" w:hAnsi="Arial"/>
          <w:sz w:val="15"/>
          <w:szCs w:val="15"/>
          <w:color w:val="auto"/>
        </w:rPr>
      </w:pPr>
      <w:r>
        <w:rPr>
          <w:rFonts w:ascii="Arial" w:cs="Arial" w:eastAsia="Arial" w:hAnsi="Arial"/>
          <w:sz w:val="15"/>
          <w:szCs w:val="15"/>
          <w:u w:val="single" w:color="auto"/>
          <w:color w:val="auto"/>
        </w:rPr>
        <w:t>Compliance with the Sarbanes-Oxley Act.</w:t>
      </w:r>
      <w:r>
        <w:rPr>
          <w:rFonts w:ascii="Arial" w:cs="Arial" w:eastAsia="Arial" w:hAnsi="Arial"/>
          <w:sz w:val="15"/>
          <w:szCs w:val="15"/>
          <w:color w:val="auto"/>
        </w:rPr>
        <w:t xml:space="preserve"> The Company has taken all necessary actions to ensure that, upon the effectiveness of the Registration Statement, it will be in compliance in all material respects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 and is taking reasonable steps to enable it to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93" w:lineRule="exact"/>
        <w:rPr>
          <w:sz w:val="20"/>
          <w:szCs w:val="20"/>
          <w:color w:val="auto"/>
        </w:rPr>
      </w:pPr>
    </w:p>
    <w:p>
      <w:pPr>
        <w:jc w:val="center"/>
        <w:ind w:right="372"/>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808"/>
          </w:cols>
          <w:pgMar w:left="1232" w:top="265" w:right="859" w:bottom="1440" w:gutter="0" w:footer="0" w:header="0"/>
        </w:sectPr>
      </w:pPr>
    </w:p>
    <w:bookmarkStart w:id="244" w:name="page245"/>
    <w:bookmarkEnd w:id="244"/>
    <w:p>
      <w:pPr>
        <w:ind w:firstLine="385"/>
        <w:spacing w:after="0" w:line="284" w:lineRule="auto"/>
        <w:tabs>
          <w:tab w:leader="none" w:pos="890"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Payment of Taxes</w:t>
      </w:r>
      <w:r>
        <w:rPr>
          <w:rFonts w:ascii="Arial" w:cs="Arial" w:eastAsia="Arial" w:hAnsi="Arial"/>
          <w:sz w:val="15"/>
          <w:szCs w:val="15"/>
          <w:color w:val="auto"/>
        </w:rPr>
        <w:t>. All United States federal, state and local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in accordance with GAAP by the Company. The United States federal, state and local income tax returns of the Company and its subsidiaries through the fiscal year ended December 31, 2018 have been settled and no assessment in connection therewith has been made against the Company or its subsidiaries, as applicable. The Company and its subsidiaries have filed all other tax returns that are required to have been filed by them pursuant to applicable foreign, state, local or other law except insofar as the failure to file such returns would not reasonably be expected to,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singly or in the aggregate, result in a Material Adverse Effect.</w:t>
      </w:r>
    </w:p>
    <w:p>
      <w:pPr>
        <w:spacing w:after="0" w:line="61" w:lineRule="exact"/>
        <w:rPr>
          <w:rFonts w:ascii="Arial" w:cs="Arial" w:eastAsia="Arial" w:hAnsi="Arial"/>
          <w:sz w:val="15"/>
          <w:szCs w:val="15"/>
          <w:color w:val="auto"/>
        </w:rPr>
      </w:pPr>
    </w:p>
    <w:p>
      <w:pPr>
        <w:ind w:right="120" w:firstLine="385"/>
        <w:spacing w:after="0" w:line="268" w:lineRule="auto"/>
        <w:tabs>
          <w:tab w:leader="none" w:pos="937"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its subsidiaries carry or are entitled to the benefits of insurance, with financially sound and reputable insurers, in such amounts and covering such risks as is generally maintained by similarly sized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singly or in the aggregate, result in a Material Adverse Effect. Neither of the Company nor any of its subsidiaries has been denied any insurance coverage which it has sought or for which it has applied.</w:t>
      </w:r>
    </w:p>
    <w:p>
      <w:pPr>
        <w:spacing w:after="0" w:line="68" w:lineRule="exact"/>
        <w:rPr>
          <w:rFonts w:ascii="Arial" w:cs="Arial" w:eastAsia="Arial" w:hAnsi="Arial"/>
          <w:sz w:val="16"/>
          <w:szCs w:val="16"/>
          <w:color w:val="auto"/>
        </w:rPr>
      </w:pPr>
    </w:p>
    <w:p>
      <w:pPr>
        <w:ind w:right="80" w:firstLine="385"/>
        <w:spacing w:after="0" w:line="307" w:lineRule="auto"/>
        <w:tabs>
          <w:tab w:leader="none" w:pos="844"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Investment Company Act</w:t>
      </w:r>
      <w:r>
        <w:rPr>
          <w:rFonts w:ascii="Arial" w:cs="Arial" w:eastAsia="Arial" w:hAnsi="Arial"/>
          <w:sz w:val="15"/>
          <w:szCs w:val="15"/>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41" w:lineRule="exact"/>
        <w:rPr>
          <w:rFonts w:ascii="Arial" w:cs="Arial" w:eastAsia="Arial" w:hAnsi="Arial"/>
          <w:sz w:val="15"/>
          <w:szCs w:val="15"/>
          <w:color w:val="auto"/>
        </w:rPr>
      </w:pPr>
    </w:p>
    <w:p>
      <w:pPr>
        <w:ind w:right="40" w:firstLine="385"/>
        <w:spacing w:after="0" w:line="251" w:lineRule="auto"/>
        <w:tabs>
          <w:tab w:leader="none" w:pos="797"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Absence of Manipulation</w:t>
      </w:r>
      <w:r>
        <w:rPr>
          <w:rFonts w:ascii="Arial" w:cs="Arial" w:eastAsia="Arial" w:hAnsi="Arial"/>
          <w:sz w:val="17"/>
          <w:szCs w:val="17"/>
          <w:color w:val="auto"/>
        </w:rPr>
        <w:t>. None of the Company or any controlled affiliate, or to the knowledge of the Company, any non-controlled affiliate has taken, nor will the Company or any controlled affiliate, or to the knowledge of the Company, any non-controlled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82" w:lineRule="exact"/>
        <w:rPr>
          <w:rFonts w:ascii="Arial" w:cs="Arial" w:eastAsia="Arial" w:hAnsi="Arial"/>
          <w:sz w:val="17"/>
          <w:szCs w:val="17"/>
          <w:color w:val="auto"/>
        </w:rPr>
      </w:pPr>
    </w:p>
    <w:p>
      <w:pPr>
        <w:ind w:right="80" w:firstLine="385"/>
        <w:spacing w:after="0" w:line="268" w:lineRule="auto"/>
        <w:tabs>
          <w:tab w:leader="none" w:pos="844"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any of its subsidiaries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w:t>
      </w:r>
    </w:p>
    <w:p>
      <w:pPr>
        <w:spacing w:after="0" w:line="10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800"/>
          </w:cols>
          <w:pgMar w:left="1240" w:top="265" w:right="859" w:bottom="1440" w:gutter="0" w:footer="0" w:header="0"/>
        </w:sectPr>
      </w:pPr>
    </w:p>
    <w:bookmarkStart w:id="245" w:name="page246"/>
    <w:bookmarkEnd w:id="245"/>
    <w:p>
      <w:pPr>
        <w:ind w:right="20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75" w:lineRule="exact"/>
        <w:rPr>
          <w:sz w:val="20"/>
          <w:szCs w:val="20"/>
          <w:color w:val="auto"/>
        </w:rPr>
      </w:pPr>
    </w:p>
    <w:p>
      <w:pPr>
        <w:ind w:right="80" w:firstLine="385"/>
        <w:spacing w:after="0" w:line="269" w:lineRule="auto"/>
        <w:tabs>
          <w:tab w:leader="none" w:pos="89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w:t>
      </w:r>
    </w:p>
    <w:p>
      <w:pPr>
        <w:spacing w:after="0" w:line="68" w:lineRule="exact"/>
        <w:rPr>
          <w:rFonts w:ascii="Arial" w:cs="Arial" w:eastAsia="Arial" w:hAnsi="Arial"/>
          <w:sz w:val="16"/>
          <w:szCs w:val="16"/>
          <w:color w:val="auto"/>
        </w:rPr>
      </w:pPr>
    </w:p>
    <w:p>
      <w:pPr>
        <w:ind w:right="20" w:firstLine="385"/>
        <w:spacing w:after="0" w:line="286" w:lineRule="auto"/>
        <w:tabs>
          <w:tab w:leader="none" w:pos="937"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OFAC</w:t>
      </w:r>
      <w:r>
        <w:rPr>
          <w:rFonts w:ascii="Arial" w:cs="Arial" w:eastAsia="Arial" w:hAnsi="Arial"/>
          <w:sz w:val="15"/>
          <w:szCs w:val="15"/>
          <w:color w:val="auto"/>
        </w:rPr>
        <w:t>. None of the Company, any of its subsidiaries or, to the knowledge of the Company, any director, officer, agent, employee, affiliate or representative of the Company or any of its subsidiaries is a Person currently the subject or target of any sanctions administered or enforced by the United States Government, including, without limitation, the U.S. Department of the Treasury’s Office of Foreign Assets Control (“OFAC”), the United Nations Security Council (“UNSC”), the European Union, Her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58" w:lineRule="exact"/>
        <w:rPr>
          <w:rFonts w:ascii="Arial" w:cs="Arial" w:eastAsia="Arial" w:hAnsi="Arial"/>
          <w:sz w:val="15"/>
          <w:szCs w:val="15"/>
          <w:color w:val="auto"/>
        </w:rPr>
      </w:pPr>
    </w:p>
    <w:p>
      <w:pPr>
        <w:ind w:firstLine="385"/>
        <w:spacing w:after="0" w:line="307" w:lineRule="auto"/>
        <w:tabs>
          <w:tab w:leader="none" w:pos="928"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Lending Relationship</w:t>
      </w:r>
      <w:r>
        <w:rPr>
          <w:rFonts w:ascii="Arial" w:cs="Arial" w:eastAsia="Arial" w:hAnsi="Arial"/>
          <w:sz w:val="15"/>
          <w:szCs w:val="15"/>
          <w:i w:val="1"/>
          <w:iCs w:val="1"/>
          <w:color w:val="auto"/>
        </w:rPr>
        <w:t>.</w:t>
      </w:r>
      <w:r>
        <w:rPr>
          <w:rFonts w:ascii="Arial" w:cs="Arial" w:eastAsia="Arial" w:hAnsi="Arial"/>
          <w:sz w:val="15"/>
          <w:szCs w:val="15"/>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41" w:lineRule="exact"/>
        <w:rPr>
          <w:rFonts w:ascii="Arial" w:cs="Arial" w:eastAsia="Arial" w:hAnsi="Arial"/>
          <w:sz w:val="15"/>
          <w:szCs w:val="15"/>
          <w:color w:val="auto"/>
        </w:rPr>
      </w:pPr>
    </w:p>
    <w:p>
      <w:pPr>
        <w:ind w:right="80" w:firstLine="385"/>
        <w:spacing w:after="0" w:line="253" w:lineRule="auto"/>
        <w:tabs>
          <w:tab w:leader="none" w:pos="881"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79" w:lineRule="exact"/>
        <w:rPr>
          <w:rFonts w:ascii="Arial" w:cs="Arial" w:eastAsia="Arial" w:hAnsi="Arial"/>
          <w:sz w:val="17"/>
          <w:szCs w:val="17"/>
          <w:color w:val="auto"/>
        </w:rPr>
      </w:pPr>
    </w:p>
    <w:p>
      <w:pPr>
        <w:ind w:right="20" w:firstLine="385"/>
        <w:spacing w:after="0" w:line="290" w:lineRule="auto"/>
        <w:tabs>
          <w:tab w:leader="none" w:pos="928"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Cybersecurity and Data Protection</w:t>
      </w:r>
      <w:r>
        <w:rPr>
          <w:rFonts w:ascii="Arial" w:cs="Arial" w:eastAsia="Arial" w:hAnsi="Arial"/>
          <w:sz w:val="15"/>
          <w:szCs w:val="15"/>
          <w:color w:val="auto"/>
        </w:rPr>
        <w:t>. Except as would not, singly or in the aggregate, have or reasonably be expected to have a Material Adverse Effect: (A)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or its subsidiaries), equipment or technology (collectively, “</w:t>
      </w:r>
      <w:r>
        <w:rPr>
          <w:rFonts w:ascii="Arial" w:cs="Arial" w:eastAsia="Arial" w:hAnsi="Arial"/>
          <w:sz w:val="15"/>
          <w:szCs w:val="15"/>
          <w:u w:val="single" w:color="auto"/>
          <w:color w:val="auto"/>
        </w:rPr>
        <w:t>IT Systems and Data</w:t>
      </w:r>
      <w:r>
        <w:rPr>
          <w:rFonts w:ascii="Arial" w:cs="Arial" w:eastAsia="Arial" w:hAnsi="Arial"/>
          <w:sz w:val="15"/>
          <w:szCs w:val="15"/>
          <w:color w:val="auto"/>
        </w:rPr>
        <w:t>”); (B) neither the Company nor its subsidiaries have been notified of, nor</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820"/>
          </w:cols>
          <w:pgMar w:left="1240" w:top="265" w:right="839" w:bottom="1440" w:gutter="0" w:footer="0" w:header="0"/>
        </w:sectPr>
      </w:pPr>
    </w:p>
    <w:bookmarkStart w:id="246" w:name="page247"/>
    <w:bookmarkEnd w:id="246"/>
    <w:p>
      <w:pPr>
        <w:ind w:left="8" w:right="40"/>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have any knowledge of any event or condition that would result in, any security breach or incident, unauthorized access or disclosure of or other compromise to their IT Systems and Data;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and (D)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including the collection, use, transfer, processing, disposal, disclosure, handling, storage and analysis of personally identifiable information, protected health information, consumer information and other confidential information of the Company, its subsidiaries and any third parties in their possession (“</w:t>
      </w:r>
      <w:r>
        <w:rPr>
          <w:rFonts w:ascii="Arial" w:cs="Arial" w:eastAsia="Arial" w:hAnsi="Arial"/>
          <w:sz w:val="15"/>
          <w:szCs w:val="15"/>
          <w:u w:val="single" w:color="auto"/>
          <w:color w:val="auto"/>
        </w:rPr>
        <w:t>Sensitive Company Data</w:t>
      </w:r>
      <w:r>
        <w:rPr>
          <w:rFonts w:ascii="Arial" w:cs="Arial" w:eastAsia="Arial" w:hAnsi="Arial"/>
          <w:sz w:val="15"/>
          <w:szCs w:val="15"/>
          <w:color w:val="auto"/>
        </w:rPr>
        <w:t>”), and to the protection of such IT Systems and Data from unauthorized use, access, misappropriation or modification. The Company and its subsidiaries have taken all reasonable steps necessary to maintain the confidentiality of the Sensitive Company Data. The Company and its subsidiaries have not received any written notice, claim, complaint, demand or letter from any person in respect of their businesses under applicable data security and data protection laws and regulations and industry standards regarding misuse, loss, unauthorized destruction or unauthorized disclosure of any Sensitive Company Data. There has been no unauthorized or illegal use of or access to any Sensitive Company Data by any third party. The Company and its subsidiaries have not been required to notify any individual or data protection authority of any information security breach, compromise or incident involving Sensitive Company Data.</w:t>
      </w:r>
    </w:p>
    <w:p>
      <w:pPr>
        <w:spacing w:after="0" w:line="62" w:lineRule="exact"/>
        <w:rPr>
          <w:sz w:val="20"/>
          <w:szCs w:val="20"/>
          <w:color w:val="auto"/>
        </w:rPr>
      </w:pPr>
    </w:p>
    <w:p>
      <w:pPr>
        <w:ind w:left="8" w:right="420" w:firstLine="385"/>
        <w:spacing w:after="0" w:line="268" w:lineRule="auto"/>
        <w:tabs>
          <w:tab w:leader="none" w:pos="982"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t>No Rated Securities</w:t>
      </w:r>
      <w:r>
        <w:rPr>
          <w:rFonts w:ascii="Arial" w:cs="Arial" w:eastAsia="Arial" w:hAnsi="Arial"/>
          <w:sz w:val="17"/>
          <w:szCs w:val="17"/>
          <w:color w:val="auto"/>
        </w:rPr>
        <w:t>. Neither the Company nor its subsidiaries have any debt securities or preferred stock that are rated by any “nationally recognized statistical rating organization” (as defined in Section 3(a)(62) of the 1934 Act).</w:t>
      </w:r>
    </w:p>
    <w:p>
      <w:pPr>
        <w:spacing w:after="0" w:line="65" w:lineRule="exact"/>
        <w:rPr>
          <w:rFonts w:ascii="Arial" w:cs="Arial" w:eastAsia="Arial" w:hAnsi="Arial"/>
          <w:sz w:val="17"/>
          <w:szCs w:val="17"/>
          <w:color w:val="auto"/>
        </w:rPr>
      </w:pPr>
    </w:p>
    <w:p>
      <w:pPr>
        <w:ind w:left="8" w:firstLine="385"/>
        <w:spacing w:after="0" w:line="281" w:lineRule="auto"/>
        <w:tabs>
          <w:tab w:leader="none" w:pos="1029" w:val="left"/>
        </w:tabs>
        <w:numPr>
          <w:ilvl w:val="1"/>
          <w:numId w:val="161"/>
        </w:numPr>
        <w:rPr>
          <w:rFonts w:ascii="Arial" w:cs="Arial" w:eastAsia="Arial" w:hAnsi="Arial"/>
          <w:sz w:val="15"/>
          <w:szCs w:val="15"/>
          <w:color w:val="auto"/>
        </w:rPr>
      </w:pPr>
      <w:r>
        <w:rPr>
          <w:rFonts w:ascii="Arial" w:cs="Arial" w:eastAsia="Arial" w:hAnsi="Arial"/>
          <w:sz w:val="15"/>
          <w:szCs w:val="15"/>
          <w:u w:val="single" w:color="auto"/>
          <w:color w:val="auto"/>
        </w:rPr>
        <w:t>ERISA Compliance</w:t>
      </w:r>
      <w:r>
        <w:rPr>
          <w:rFonts w:ascii="Arial" w:cs="Arial" w:eastAsia="Arial" w:hAnsi="Arial"/>
          <w:sz w:val="15"/>
          <w:szCs w:val="15"/>
          <w:color w:val="auto"/>
        </w:rPr>
        <w:t>. (a) The Company and its subsidiaries and any “Employee Benefit Plan” (as defined under the Employee Retirement Income Security Act of 1974, as amended, and the regulations and published interpretations promulgated thereunder (collectively, “ERISA”)) for which the Company, its subsidiaries or its or their “ERISA Affiliates” (as defined below) would have any liability (each, a “Plan”) are in compliance in all material respects with ERISA and each Plan has been maintained in compliance with its terms and the requirements of any applicable statutes, orders, rules and regulations, including but not limited to, ERISA and the Internal Revenue Code of 1986, as amended, and the regulations and published interpretations thereunder (the “Code”); (b) no “reportable event” (as defined under ERISA) has occurred or is reasonably expected to occur with respect to any Plan; (c) no Plan, if such Plan were terminated, would have any “amount of unfunded benefit liabilities” (as defined under ERISA), as the fair market value of the assets under each Plan (excluding for these purposes accrued but unpaid contributions) exceeds the present value of all benefits accrued under such Plan (determined based on those assumptions used to fund such Plan);</w:t>
      </w:r>
    </w:p>
    <w:p>
      <w:pPr>
        <w:spacing w:after="0" w:line="2" w:lineRule="exact"/>
        <w:rPr>
          <w:rFonts w:ascii="Arial" w:cs="Arial" w:eastAsia="Arial" w:hAnsi="Arial"/>
          <w:sz w:val="15"/>
          <w:szCs w:val="15"/>
          <w:color w:val="auto"/>
        </w:rPr>
      </w:pPr>
    </w:p>
    <w:p>
      <w:pPr>
        <w:ind w:left="8" w:right="20" w:hanging="8"/>
        <w:spacing w:after="0" w:line="247" w:lineRule="auto"/>
        <w:tabs>
          <w:tab w:leader="none" w:pos="24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neither the Company, its subsidiaries nor any of its or their ERISA Affiliates has incurred or reasonably expects to incur any obligation or liability under (i) Title IV of ERISA with respect to termination of, or withdrawal from, any Plan, (ii) Sections 412 and 430, 4971, 4975 or 4980B of the Code or (iii) Sections 302 and 303, 406, 4063 and 4064 of ERISA; and (e) each Plan that is intended to be qualified under Section 401(a) of the Code is so qualified and nothing has occurred, whether by action or failure to act, which would reasonably be likely to cause the loss of such qualification. There is no pending audit or investigation by the Internal Revenue Service, the U.S. Department of Labor, the Pension Benefit Guaranty Corporation or any other governmental or foreign regulatory entity or agency with respect to any Plan that could reasonably be expected to result in</w:t>
      </w:r>
    </w:p>
    <w:p>
      <w:pPr>
        <w:spacing w:after="0" w:line="124" w:lineRule="exact"/>
        <w:rPr>
          <w:sz w:val="20"/>
          <w:szCs w:val="20"/>
          <w:color w:val="auto"/>
        </w:rPr>
      </w:pPr>
    </w:p>
    <w:p>
      <w:pPr>
        <w:jc w:val="center"/>
        <w:ind w:right="392"/>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828"/>
          </w:cols>
          <w:pgMar w:left="1232" w:top="265" w:right="839" w:bottom="1440" w:gutter="0" w:footer="0" w:header="0"/>
        </w:sectPr>
      </w:pPr>
    </w:p>
    <w:bookmarkStart w:id="247" w:name="page248"/>
    <w:bookmarkEnd w:id="247"/>
    <w:p>
      <w:pPr>
        <w:ind w:left="8" w:right="8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 Material Adverse Effect. Except as would not reasonably be expected to result in liability to the Company or any of its subsidiaries, neither the Company nor any of its subsidiaries have any “accumulated post-retirement benefit obligations” (within the meaning of Statement of Financial Accounting Standards 106). “ERISA Affiliate” means, with respect to the Company, any member of any group of organizations described in Sections 414(b), (c), (m) or (o) of the Code of which the Company or such subsidiary is a member.</w:t>
      </w:r>
    </w:p>
    <w:p>
      <w:pPr>
        <w:spacing w:after="0" w:line="64" w:lineRule="exact"/>
        <w:rPr>
          <w:sz w:val="20"/>
          <w:szCs w:val="20"/>
          <w:color w:val="auto"/>
        </w:rPr>
      </w:pPr>
    </w:p>
    <w:p>
      <w:pPr>
        <w:ind w:left="8" w:firstLine="385"/>
        <w:spacing w:after="0" w:line="282" w:lineRule="auto"/>
        <w:tabs>
          <w:tab w:leader="none" w:pos="936" w:val="left"/>
        </w:tabs>
        <w:numPr>
          <w:ilvl w:val="1"/>
          <w:numId w:val="163"/>
        </w:numPr>
        <w:rPr>
          <w:rFonts w:ascii="Arial" w:cs="Arial" w:eastAsia="Arial" w:hAnsi="Arial"/>
          <w:sz w:val="15"/>
          <w:szCs w:val="15"/>
          <w:color w:val="auto"/>
        </w:rPr>
      </w:pPr>
      <w:r>
        <w:rPr>
          <w:rFonts w:ascii="Arial" w:cs="Arial" w:eastAsia="Arial" w:hAnsi="Arial"/>
          <w:sz w:val="15"/>
          <w:szCs w:val="15"/>
          <w:u w:val="single" w:color="auto"/>
          <w:color w:val="auto"/>
        </w:rPr>
        <w:t>Regulatory Matters</w:t>
      </w:r>
      <w:r>
        <w:rPr>
          <w:rFonts w:ascii="Arial" w:cs="Arial" w:eastAsia="Arial" w:hAnsi="Arial"/>
          <w:sz w:val="15"/>
          <w:szCs w:val="15"/>
          <w:color w:val="auto"/>
        </w:rPr>
        <w:t>. Except as described in the Registration Statement, the General Disclosure Package and the Prospectus, and except as would not, singly or in the aggregate, have or reasonably be expected to have a Material Adverse Effect: (i) neither the Company nor its Subsidiaries has received any written notice of adverse finding, warning letter, untitled letter or other correspondence or notice from the FDA, the EMA or other relevant regulatory authorities, or any other court or arbitrator or federal, state, local or foreign governmental or regulatory authority, alleging or asserting material noncompliance with the Federal Food, Drug and Cosmetic Act (21 U.S.C. § 301 et seq.), as amended, and the regulations promulgated thereunder (the “FFDCA”), or similar state, federal or foreign law or regulation (collectively, “Health Care Laws”);</w:t>
      </w:r>
    </w:p>
    <w:p>
      <w:pPr>
        <w:spacing w:after="0" w:line="1" w:lineRule="exact"/>
        <w:rPr>
          <w:rFonts w:ascii="Arial" w:cs="Arial" w:eastAsia="Arial" w:hAnsi="Arial"/>
          <w:sz w:val="15"/>
          <w:szCs w:val="15"/>
          <w:color w:val="auto"/>
        </w:rPr>
      </w:pPr>
    </w:p>
    <w:p>
      <w:pPr>
        <w:ind w:left="8" w:right="60" w:hanging="8"/>
        <w:spacing w:after="0" w:line="279" w:lineRule="auto"/>
        <w:tabs>
          <w:tab w:leader="none" w:pos="254"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Company and its Subsidiaries are and have been in compliance in all material respects with applicable Health Care Laws; (iii) neither the Company nor its Subsidiaries received written notice of any ongoing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“Governmental Authority”) or third party alleging that any product operation or activity is in violation of any Health Care Laws; (iv) the Company and its Subsidiaries have filed, obtained, maintained or submitted all reports, documents, forms, notices, applications, records, claims, submissions and supplements or amendments as required by applicable Health Care Laws, and all such reports, documents, forms, notices, applications, records, claims, submissions and supplements or amendments were complete, correct and not misleading on the date filed (or were corrected or supplemented by a subsequent submission);</w:t>
      </w:r>
    </w:p>
    <w:p>
      <w:pPr>
        <w:spacing w:after="0" w:line="2" w:lineRule="exact"/>
        <w:rPr>
          <w:rFonts w:ascii="Arial" w:cs="Arial" w:eastAsia="Arial" w:hAnsi="Arial"/>
          <w:sz w:val="15"/>
          <w:szCs w:val="15"/>
          <w:color w:val="auto"/>
        </w:rPr>
      </w:pPr>
    </w:p>
    <w:p>
      <w:pPr>
        <w:ind w:left="8" w:right="20" w:hanging="8"/>
        <w:spacing w:after="0" w:line="289" w:lineRule="auto"/>
        <w:tabs>
          <w:tab w:leader="none" w:pos="245"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neither the Company nor its Subsidiaries or any of their respective directors, officers, employees or agents is or has been debarred, suspended or excluded, or has been convicted of any crime or engaged in any conduct that would result in a debarment, suspension or exclusion from any federal or state government health care program; and (vi) the Company is not a party to and the Company does not have any ongoing reporting obligations pursuant to, any corporate integrity agreements, deferred prosecution agreements, monitoring agreements, consent decrees, settlement orders, plans of correction or similar agreements with or imposed by an Governmental Authority.</w:t>
      </w:r>
    </w:p>
    <w:p>
      <w:pPr>
        <w:spacing w:after="0" w:line="54" w:lineRule="exact"/>
        <w:rPr>
          <w:sz w:val="20"/>
          <w:szCs w:val="20"/>
          <w:color w:val="auto"/>
        </w:rPr>
      </w:pPr>
    </w:p>
    <w:p>
      <w:pPr>
        <w:ind w:left="8" w:right="60" w:firstLine="393"/>
        <w:spacing w:after="0" w:line="266" w:lineRule="auto"/>
        <w:rPr>
          <w:sz w:val="20"/>
          <w:szCs w:val="20"/>
          <w:color w:val="auto"/>
        </w:rPr>
      </w:pPr>
      <w:r>
        <w:rPr>
          <w:rFonts w:ascii="Arial" w:cs="Arial" w:eastAsia="Arial" w:hAnsi="Arial"/>
          <w:sz w:val="16"/>
          <w:szCs w:val="16"/>
          <w:color w:val="auto"/>
        </w:rPr>
        <w:t xml:space="preserve">(xl) </w:t>
      </w:r>
      <w:r>
        <w:rPr>
          <w:rFonts w:ascii="Arial" w:cs="Arial" w:eastAsia="Arial" w:hAnsi="Arial"/>
          <w:sz w:val="16"/>
          <w:szCs w:val="16"/>
          <w:u w:val="single" w:color="auto"/>
          <w:color w:val="auto"/>
        </w:rPr>
        <w:t>Preclinical and Clinical Studies and Tests</w:t>
      </w:r>
      <w:r>
        <w:rPr>
          <w:rFonts w:ascii="Arial" w:cs="Arial" w:eastAsia="Arial" w:hAnsi="Arial"/>
          <w:sz w:val="16"/>
          <w:szCs w:val="16"/>
          <w:color w:val="auto"/>
        </w:rPr>
        <w:t>. The preclinical and clinical studies and tests conducted by, on behalf of or sponsored by the Company or its Subsidiaries, or in which the Company or its Subsidiaries has participated, that are described in, or the results of which are referred to in, the Registration Statement, the General Disclosure Package and the Prospectus, as applicable, were, and if still pending are, being conducted in accordance with the experimental protocols established for each study or trial, as well as any conditions of approval and policies imposed by any institutional review board, ethics review board or committee responsible for the oversight of such preclinical and clinical studies and tests, and all applicable local, state and federal laws, rules and regulations of the FDA, the EMA and comparable drug regulatory agencies outside of the United States to which they are subject (collectively, the “Regulatory Authorities”) except where the failure to be so in compliance has not resulted and would not reasonably be expected to, singly or in the aggregate, result in a Material Adverse Effect; the descriptions in the Registration Statement, the General Disclosure Package or the Prospectus of the results of such studies and tests are accurate and not misleading in all material respects with</w:t>
      </w:r>
    </w:p>
    <w:p>
      <w:pPr>
        <w:spacing w:after="0" w:line="107" w:lineRule="exact"/>
        <w:rPr>
          <w:sz w:val="20"/>
          <w:szCs w:val="20"/>
          <w:color w:val="auto"/>
        </w:rPr>
      </w:pPr>
    </w:p>
    <w:p>
      <w:pPr>
        <w:jc w:val="center"/>
        <w:ind w:right="332"/>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768"/>
          </w:cols>
          <w:pgMar w:left="1232" w:top="265" w:right="899" w:bottom="1440" w:gutter="0" w:footer="0" w:header="0"/>
        </w:sectPr>
      </w:pPr>
    </w:p>
    <w:bookmarkStart w:id="248" w:name="page249"/>
    <w:bookmarkEnd w:id="248"/>
    <w:p>
      <w:pPr>
        <w:ind w:left="420"/>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respect to the portions of such studies being described and fairly present the data derived from such studies or tests in all material respects; the Company has no knowledge of any other studies or tests not described in the Registration Statement, the General Disclosure Package and the Prospectus, the results of which are materially inconsistent with or reasonably call into question the results described or referred to in the Registration Statement, the General Disclosure Package and the Prospectus when viewed in the context in which such results are described and the current state of development; neither the Company nor its Subsidiaries have, except as disclosed in the Registration Statement, the General Disclosure Package and the Prospectus, and except as would not, singly or in the aggregate, have or reasonably be expected to have a Material Adverse Effect, received any written notice, correspondence or other communications from the Regulatory Authorities requiring or threatening</w:t>
      </w:r>
    </w:p>
    <w:p>
      <w:pPr>
        <w:spacing w:after="0" w:line="4" w:lineRule="exact"/>
        <w:rPr>
          <w:sz w:val="20"/>
          <w:szCs w:val="20"/>
          <w:color w:val="auto"/>
        </w:rPr>
      </w:pPr>
    </w:p>
    <w:p>
      <w:pPr>
        <w:ind w:left="420" w:right="20" w:hanging="8"/>
        <w:spacing w:after="0" w:line="267" w:lineRule="auto"/>
        <w:tabs>
          <w:tab w:leader="none" w:pos="6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termination or suspension or clinical hold of any preclinical and clinical studies or tests that are described in, or the results of which are referred to in, the Registration Statement, the General Disclosure Package and the Prospectus, or (ii) the material modification of any preclinical and clinical studies or tests that would cause them to differ from their descriptions in the Registration Statement, the General Disclosure Package and the Prospectus, other than ordinary course communications with respect to modifications in connection with the design and implementation of such studies or tests, and, to the Company’s knowledge, there are no reasonable grounds for the same.</w:t>
      </w:r>
    </w:p>
    <w:p>
      <w:pPr>
        <w:spacing w:after="0" w:line="69" w:lineRule="exact"/>
        <w:rPr>
          <w:sz w:val="20"/>
          <w:szCs w:val="20"/>
          <w:color w:val="auto"/>
        </w:rPr>
      </w:pPr>
    </w:p>
    <w:p>
      <w:pPr>
        <w:ind w:left="420" w:right="60" w:firstLine="393"/>
        <w:spacing w:after="0" w:line="250" w:lineRule="auto"/>
        <w:rPr>
          <w:sz w:val="20"/>
          <w:szCs w:val="20"/>
          <w:color w:val="auto"/>
        </w:rPr>
      </w:pPr>
      <w:r>
        <w:rPr>
          <w:rFonts w:ascii="Arial" w:cs="Arial" w:eastAsia="Arial" w:hAnsi="Arial"/>
          <w:sz w:val="17"/>
          <w:szCs w:val="17"/>
          <w:color w:val="auto"/>
        </w:rPr>
        <w:t xml:space="preserve">(xli) </w:t>
      </w:r>
      <w:r>
        <w:rPr>
          <w:rFonts w:ascii="Arial" w:cs="Arial" w:eastAsia="Arial" w:hAnsi="Arial"/>
          <w:sz w:val="17"/>
          <w:szCs w:val="17"/>
          <w:u w:val="single" w:color="auto"/>
          <w:color w:val="auto"/>
        </w:rPr>
        <w:t>No Safety Notices</w:t>
      </w:r>
      <w:r>
        <w:rPr>
          <w:rFonts w:ascii="Arial" w:cs="Arial" w:eastAsia="Arial" w:hAnsi="Arial"/>
          <w:sz w:val="17"/>
          <w:szCs w:val="17"/>
          <w:color w:val="auto"/>
        </w:rPr>
        <w:t>. (i) There have been no recalls, field notifications, field corrections, market withdrawals or replacements, warnings, “dear doctor” letters, investigator notices, safety alerts or other notice of action relating to an alleged lack of safety, efficacy, or regulatory compliance of the Company’s or its subsidiaries’ product candidates (“Safety Notices”), except as would not reasonably be expected to, singly or in the aggregate, result in a Material Adverse Effect, and (ii) there are no facts that would be reasonably likely to result in (x) a Safety Notice with respect to the Company’s or its subsidiaries’ product candidates, or (y) a termination or suspension of testing of any of the Company’s or its subsidiaries’ product candidates, except, in each of cases (x) or (y) such as would not reasonably be expected to, singly or in the aggregate, result in a Material Adverse Effect.</w:t>
      </w:r>
    </w:p>
    <w:p>
      <w:pPr>
        <w:spacing w:after="0" w:line="81" w:lineRule="exact"/>
        <w:rPr>
          <w:sz w:val="20"/>
          <w:szCs w:val="20"/>
          <w:color w:val="auto"/>
        </w:rPr>
      </w:pPr>
    </w:p>
    <w:p>
      <w:pPr>
        <w:jc w:val="both"/>
        <w:ind w:right="320" w:firstLine="412"/>
        <w:spacing w:after="0" w:line="335" w:lineRule="auto"/>
        <w:tabs>
          <w:tab w:leader="none" w:pos="646" w:val="left"/>
        </w:tabs>
        <w:numPr>
          <w:ilvl w:val="0"/>
          <w:numId w:val="167"/>
        </w:numPr>
        <w:rPr>
          <w:rFonts w:ascii="Arial" w:cs="Arial" w:eastAsia="Arial" w:hAnsi="Arial"/>
          <w:sz w:val="15"/>
          <w:szCs w:val="15"/>
          <w:color w:val="auto"/>
        </w:rPr>
      </w:pPr>
      <w:r>
        <w:rPr>
          <w:rFonts w:ascii="Arial" w:cs="Arial" w:eastAsia="Arial" w:hAnsi="Arial"/>
          <w:sz w:val="15"/>
          <w:szCs w:val="15"/>
          <w:i w:val="1"/>
          <w:iCs w:val="1"/>
          <w:color w:val="auto"/>
        </w:rPr>
        <w:t>Officer’s Certificates</w:t>
      </w:r>
      <w:r>
        <w:rPr>
          <w:rFonts w:ascii="Arial" w:cs="Arial" w:eastAsia="Arial" w:hAnsi="Arial"/>
          <w:sz w:val="15"/>
          <w:szCs w:val="15"/>
          <w:color w:val="auto"/>
        </w:rPr>
        <w:t>. Any certificate signed by any officer of the Company or any of its subsidiaries delivered to the Representatives or to</w:t>
      </w:r>
      <w:r>
        <w:rPr>
          <w:rFonts w:ascii="Arial" w:cs="Arial" w:eastAsia="Arial" w:hAnsi="Arial"/>
          <w:sz w:val="15"/>
          <w:szCs w:val="15"/>
          <w:i w:val="1"/>
          <w:iCs w:val="1"/>
          <w:color w:val="auto"/>
        </w:rPr>
        <w:t xml:space="preserve"> </w:t>
      </w:r>
      <w:r>
        <w:rPr>
          <w:rFonts w:ascii="Arial" w:cs="Arial" w:eastAsia="Arial" w:hAnsi="Arial"/>
          <w:sz w:val="15"/>
          <w:szCs w:val="15"/>
          <w:color w:val="auto"/>
        </w:rPr>
        <w:t>counsel for the Underwriters shall be deemed a representation and warranty by the Company to each Underwriter as to the matters covered thereby.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Sale and Delivery to Underwriters; Closing</w:t>
      </w:r>
      <w:r>
        <w:rPr>
          <w:rFonts w:ascii="Arial" w:cs="Arial" w:eastAsia="Arial" w:hAnsi="Arial"/>
          <w:sz w:val="17"/>
          <w:szCs w:val="17"/>
          <w:color w:val="auto"/>
        </w:rPr>
        <w:t>.</w:t>
      </w:r>
    </w:p>
    <w:p>
      <w:pPr>
        <w:spacing w:after="0" w:line="106" w:lineRule="exact"/>
        <w:rPr>
          <w:sz w:val="20"/>
          <w:szCs w:val="20"/>
          <w:color w:val="auto"/>
        </w:rPr>
      </w:pPr>
    </w:p>
    <w:p>
      <w:pPr>
        <w:ind w:right="60" w:firstLine="412"/>
        <w:spacing w:after="0" w:line="250" w:lineRule="auto"/>
        <w:tabs>
          <w:tab w:leader="none" w:pos="637"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Initial Securities</w:t>
      </w:r>
      <w:r>
        <w:rPr>
          <w:rFonts w:ascii="Arial" w:cs="Arial" w:eastAsia="Arial" w:hAnsi="Arial"/>
          <w:sz w:val="17"/>
          <w:szCs w:val="17"/>
          <w:color w:val="auto"/>
        </w:rPr>
        <w:t>. On the basis of the representations and warranties herein contained and subject to the terms and conditions herein set forth,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83" w:lineRule="exact"/>
        <w:rPr>
          <w:rFonts w:ascii="Arial" w:cs="Arial" w:eastAsia="Arial" w:hAnsi="Arial"/>
          <w:sz w:val="17"/>
          <w:szCs w:val="17"/>
          <w:color w:val="auto"/>
        </w:rPr>
      </w:pPr>
    </w:p>
    <w:p>
      <w:pPr>
        <w:ind w:right="40" w:firstLine="412"/>
        <w:spacing w:after="0" w:line="253" w:lineRule="auto"/>
        <w:tabs>
          <w:tab w:leader="none" w:pos="646"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Option Securities</w:t>
      </w:r>
      <w:r>
        <w:rPr>
          <w:rFonts w:ascii="Arial" w:cs="Arial" w:eastAsia="Arial" w:hAnsi="Arial"/>
          <w:sz w:val="17"/>
          <w:szCs w:val="17"/>
          <w:color w:val="auto"/>
        </w:rPr>
        <w:t>. In addition, on the basis of the representations and warranties herein contained and subject to the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herein set forth, the Company hereby grants an option to the Underwriters, severally and not jointly, to purchase up to an additional [●] shares of Common Stock, at the price per share set forth in Schedule A, less an amount per share equal to any dividends or distributions declared by the Company and payable on the Initial Securities but not payable on the Option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40"/>
          </w:cols>
          <w:pgMar w:left="820" w:top="265" w:right="839" w:bottom="1440" w:gutter="0" w:footer="0" w:header="0"/>
        </w:sectPr>
      </w:pPr>
    </w:p>
    <w:bookmarkStart w:id="249" w:name="page250"/>
    <w:bookmarkEnd w:id="249"/>
    <w:p>
      <w:pPr>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57" w:lineRule="exact"/>
        <w:rPr>
          <w:sz w:val="20"/>
          <w:szCs w:val="20"/>
          <w:color w:val="auto"/>
        </w:rPr>
      </w:pPr>
    </w:p>
    <w:p>
      <w:pPr>
        <w:ind w:firstLine="412"/>
        <w:spacing w:after="0" w:line="250" w:lineRule="auto"/>
        <w:tabs>
          <w:tab w:leader="none" w:pos="637"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Payment of the purchase price for, and delivery of certificates or security entitlements for, the Initial Securities shall be made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offices of Shearman &amp; Sterling LLP, 599 Lexington Avenue, New York, New York 10022,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84" w:lineRule="exact"/>
        <w:rPr>
          <w:sz w:val="20"/>
          <w:szCs w:val="20"/>
          <w:color w:val="auto"/>
        </w:rPr>
      </w:pPr>
    </w:p>
    <w:p>
      <w:pPr>
        <w:jc w:val="both"/>
        <w:ind w:right="20" w:firstLine="409"/>
        <w:spacing w:after="0" w:line="307" w:lineRule="auto"/>
        <w:rPr>
          <w:sz w:val="20"/>
          <w:szCs w:val="20"/>
          <w:color w:val="auto"/>
        </w:rPr>
      </w:pPr>
      <w:r>
        <w:rPr>
          <w:rFonts w:ascii="Arial" w:cs="Arial" w:eastAsia="Arial" w:hAnsi="Arial"/>
          <w:sz w:val="15"/>
          <w:szCs w:val="15"/>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41" w:lineRule="exact"/>
        <w:rPr>
          <w:sz w:val="20"/>
          <w:szCs w:val="20"/>
          <w:color w:val="auto"/>
        </w:rPr>
      </w:pPr>
    </w:p>
    <w:p>
      <w:pPr>
        <w:ind w:right="80" w:firstLine="409"/>
        <w:spacing w:after="0" w:line="268"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BofAS,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Covenants of the Company</w:t>
      </w:r>
      <w:r>
        <w:rPr>
          <w:rFonts w:ascii="Arial" w:cs="Arial" w:eastAsia="Arial" w:hAnsi="Arial"/>
          <w:sz w:val="17"/>
          <w:szCs w:val="17"/>
          <w:color w:val="auto"/>
        </w:rPr>
        <w:t>. The Company covenants with each Underwriter as follows:</w:t>
      </w:r>
    </w:p>
    <w:p>
      <w:pPr>
        <w:spacing w:after="0" w:line="106" w:lineRule="exact"/>
        <w:rPr>
          <w:sz w:val="20"/>
          <w:szCs w:val="20"/>
          <w:color w:val="auto"/>
        </w:rPr>
      </w:pPr>
    </w:p>
    <w:p>
      <w:pPr>
        <w:ind w:right="40" w:firstLine="412"/>
        <w:spacing w:after="0" w:line="250" w:lineRule="auto"/>
        <w:tabs>
          <w:tab w:leader="none" w:pos="637"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Compliance with Securities Regulations and Commission Requests</w:t>
      </w:r>
      <w:r>
        <w:rPr>
          <w:rFonts w:ascii="Arial" w:cs="Arial" w:eastAsia="Arial" w:hAnsi="Arial"/>
          <w:sz w:val="17"/>
          <w:szCs w:val="17"/>
          <w:color w:val="auto"/>
        </w:rPr>
        <w:t>. The Company, subject to Section 3(b), will comply with the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Rule 430A, and will promptly notify the Representatives,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20"/>
          </w:cols>
          <w:pgMar w:left="820" w:top="265" w:right="859" w:bottom="1440" w:gutter="0" w:footer="0" w:header="0"/>
        </w:sectPr>
      </w:pPr>
    </w:p>
    <w:bookmarkStart w:id="250" w:name="page251"/>
    <w:bookmarkEnd w:id="250"/>
    <w:p>
      <w:pPr>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use reasonable best efforts to prevent the issuance of any stop order, prevention or suspension and, if any such order is issued, to obtain the lifting thereof as soon as practicable.</w:t>
      </w:r>
    </w:p>
    <w:p>
      <w:pPr>
        <w:spacing w:after="0" w:line="57" w:lineRule="exact"/>
        <w:rPr>
          <w:sz w:val="20"/>
          <w:szCs w:val="20"/>
          <w:color w:val="auto"/>
        </w:rPr>
      </w:pPr>
    </w:p>
    <w:p>
      <w:pPr>
        <w:ind w:firstLine="412"/>
        <w:spacing w:after="0" w:line="282" w:lineRule="auto"/>
        <w:tabs>
          <w:tab w:leader="none" w:pos="646" w:val="left"/>
        </w:tabs>
        <w:numPr>
          <w:ilvl w:val="0"/>
          <w:numId w:val="171"/>
        </w:numPr>
        <w:rPr>
          <w:rFonts w:ascii="Arial" w:cs="Arial" w:eastAsia="Arial" w:hAnsi="Arial"/>
          <w:sz w:val="15"/>
          <w:szCs w:val="15"/>
          <w:color w:val="auto"/>
        </w:rPr>
      </w:pPr>
      <w:r>
        <w:rPr>
          <w:rFonts w:ascii="Arial" w:cs="Arial" w:eastAsia="Arial" w:hAnsi="Arial"/>
          <w:sz w:val="15"/>
          <w:szCs w:val="15"/>
          <w:i w:val="1"/>
          <w:iCs w:val="1"/>
          <w:color w:val="auto"/>
        </w:rPr>
        <w:t>Continued Compliance with Securities Laws</w:t>
      </w:r>
      <w:r>
        <w:rPr>
          <w:rFonts w:ascii="Arial" w:cs="Arial" w:eastAsia="Arial" w:hAnsi="Arial"/>
          <w:sz w:val="15"/>
          <w:szCs w:val="15"/>
          <w:color w:val="auto"/>
        </w:rPr>
        <w:t>. The Company will comply with the 1933 Act and the 1933 Act Regulations so as to permit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w:t>
      </w:r>
    </w:p>
    <w:p>
      <w:pPr>
        <w:spacing w:after="0" w:line="266" w:lineRule="exact"/>
        <w:rPr>
          <w:rFonts w:ascii="Arial" w:cs="Arial" w:eastAsia="Arial" w:hAnsi="Arial"/>
          <w:sz w:val="15"/>
          <w:szCs w:val="15"/>
          <w:color w:val="auto"/>
        </w:rPr>
      </w:pPr>
    </w:p>
    <w:p>
      <w:pPr>
        <w:ind w:right="240" w:firstLine="412"/>
        <w:spacing w:after="0" w:line="269" w:lineRule="auto"/>
        <w:tabs>
          <w:tab w:leader="none" w:pos="637"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Delivery of Registration Statements</w:t>
      </w:r>
      <w:r>
        <w:rPr>
          <w:rFonts w:ascii="Arial" w:cs="Arial" w:eastAsia="Arial" w:hAnsi="Arial"/>
          <w:sz w:val="16"/>
          <w:szCs w:val="16"/>
          <w:color w:val="auto"/>
        </w:rPr>
        <w:t>. The Company has furnished or will deliver to the Representatives and counsel for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charge, signed copies of the Registration Statement as originally filed and each amendment thereto (including exhibits filed therewith)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20"/>
          </w:cols>
          <w:pgMar w:left="820" w:top="265" w:right="859" w:bottom="1440" w:gutter="0" w:footer="0" w:header="0"/>
        </w:sectPr>
      </w:pPr>
    </w:p>
    <w:bookmarkStart w:id="251" w:name="page252"/>
    <w:bookmarkEnd w:id="251"/>
    <w:p>
      <w:pPr>
        <w:ind w:left="-20" w:firstLine="412"/>
        <w:spacing w:after="0" w:line="290" w:lineRule="auto"/>
        <w:tabs>
          <w:tab w:leader="none" w:pos="626"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Delivery of Prospectuses</w:t>
      </w:r>
      <w:r>
        <w:rPr>
          <w:rFonts w:ascii="Arial" w:cs="Arial" w:eastAsia="Arial" w:hAnsi="Arial"/>
          <w:sz w:val="15"/>
          <w:szCs w:val="15"/>
          <w:color w:val="auto"/>
        </w:rPr>
        <w:t>. The Company has delivered to each Underwriter, without charge, as many copies of each preliminary prospectus as</w:t>
      </w:r>
      <w:r>
        <w:rPr>
          <w:rFonts w:ascii="Arial" w:cs="Arial" w:eastAsia="Arial" w:hAnsi="Arial"/>
          <w:sz w:val="15"/>
          <w:szCs w:val="15"/>
          <w:i w:val="1"/>
          <w:iCs w:val="1"/>
          <w:color w:val="auto"/>
        </w:rPr>
        <w:t xml:space="preserve"> </w:t>
      </w:r>
      <w:r>
        <w:rPr>
          <w:rFonts w:ascii="Arial" w:cs="Arial" w:eastAsia="Arial" w:hAnsi="Arial"/>
          <w:sz w:val="15"/>
          <w:szCs w:val="15"/>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54" w:lineRule="exact"/>
        <w:rPr>
          <w:rFonts w:ascii="Arial" w:cs="Arial" w:eastAsia="Arial" w:hAnsi="Arial"/>
          <w:sz w:val="15"/>
          <w:szCs w:val="15"/>
          <w:color w:val="auto"/>
        </w:rPr>
      </w:pPr>
    </w:p>
    <w:p>
      <w:pPr>
        <w:ind w:left="-20" w:firstLine="412"/>
        <w:spacing w:after="0" w:line="293" w:lineRule="auto"/>
        <w:tabs>
          <w:tab w:leader="none" w:pos="617"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Blue Sky Qualifications</w:t>
      </w:r>
      <w:r>
        <w:rPr>
          <w:rFonts w:ascii="Arial" w:cs="Arial" w:eastAsia="Arial" w:hAnsi="Arial"/>
          <w:sz w:val="15"/>
          <w:szCs w:val="15"/>
          <w:color w:val="auto"/>
        </w:rPr>
        <w:t>. The Company will use its reasonable best efforts, in cooperation with the Underwriters, to qualify the Securities for</w:t>
      </w:r>
      <w:r>
        <w:rPr>
          <w:rFonts w:ascii="Arial" w:cs="Arial" w:eastAsia="Arial" w:hAnsi="Arial"/>
          <w:sz w:val="15"/>
          <w:szCs w:val="15"/>
          <w:i w:val="1"/>
          <w:iCs w:val="1"/>
          <w:color w:val="auto"/>
        </w:rPr>
        <w:t xml:space="preserve"> </w:t>
      </w:r>
      <w:r>
        <w:rPr>
          <w:rFonts w:ascii="Arial" w:cs="Arial" w:eastAsia="Arial" w:hAnsi="Arial"/>
          <w:sz w:val="15"/>
          <w:szCs w:val="15"/>
          <w:color w:val="auto"/>
        </w:rPr>
        <w:t>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51" w:lineRule="exact"/>
        <w:rPr>
          <w:rFonts w:ascii="Arial" w:cs="Arial" w:eastAsia="Arial" w:hAnsi="Arial"/>
          <w:sz w:val="15"/>
          <w:szCs w:val="15"/>
          <w:color w:val="auto"/>
        </w:rPr>
      </w:pPr>
    </w:p>
    <w:p>
      <w:pPr>
        <w:ind w:left="-20" w:firstLine="412"/>
        <w:spacing w:after="0" w:line="257" w:lineRule="auto"/>
        <w:tabs>
          <w:tab w:leader="none" w:pos="598"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The Company will timely file such reports pursuant to the “1934 Act” as are necessary in order to make generally available to its</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securityholders as soon as practicable an earnings statement for the purposes of, and to provide to the Underwriters the benefits contemplated by, the last paragraph of Section 11(a) of the 1933 Act.</w:t>
      </w:r>
    </w:p>
    <w:p>
      <w:pPr>
        <w:spacing w:after="0" w:line="74" w:lineRule="exact"/>
        <w:rPr>
          <w:rFonts w:ascii="Arial" w:cs="Arial" w:eastAsia="Arial" w:hAnsi="Arial"/>
          <w:sz w:val="17"/>
          <w:szCs w:val="17"/>
          <w:color w:val="auto"/>
        </w:rPr>
      </w:pPr>
    </w:p>
    <w:p>
      <w:pPr>
        <w:ind w:left="-20" w:right="720" w:firstLine="412"/>
        <w:spacing w:after="0" w:line="268" w:lineRule="auto"/>
        <w:tabs>
          <w:tab w:leader="none" w:pos="626"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will use the net proceeds received by it from the sale of the Securities in the manner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General Disclosure Package and the Prospectus under “Use of Proceeds.”</w:t>
      </w:r>
    </w:p>
    <w:p>
      <w:pPr>
        <w:spacing w:after="0" w:line="65" w:lineRule="exact"/>
        <w:rPr>
          <w:rFonts w:ascii="Arial" w:cs="Arial" w:eastAsia="Arial" w:hAnsi="Arial"/>
          <w:sz w:val="17"/>
          <w:szCs w:val="17"/>
          <w:color w:val="auto"/>
        </w:rPr>
      </w:pPr>
    </w:p>
    <w:p>
      <w:pPr>
        <w:ind w:left="-20" w:right="100" w:firstLine="412"/>
        <w:spacing w:after="0" w:line="268" w:lineRule="auto"/>
        <w:tabs>
          <w:tab w:leader="none" w:pos="626"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Listing</w:t>
      </w:r>
      <w:r>
        <w:rPr>
          <w:rFonts w:ascii="Arial" w:cs="Arial" w:eastAsia="Arial" w:hAnsi="Arial"/>
          <w:sz w:val="17"/>
          <w:szCs w:val="17"/>
          <w:color w:val="auto"/>
        </w:rPr>
        <w:t>. The Company will use its reasonable best efforts to effect and maintain the listing of the Common Stock (including the Securities) on</w:t>
      </w:r>
      <w:r>
        <w:rPr>
          <w:rFonts w:ascii="Arial" w:cs="Arial" w:eastAsia="Arial" w:hAnsi="Arial"/>
          <w:sz w:val="17"/>
          <w:szCs w:val="17"/>
          <w:i w:val="1"/>
          <w:iCs w:val="1"/>
          <w:color w:val="auto"/>
        </w:rPr>
        <w:t xml:space="preserve"> </w:t>
      </w:r>
      <w:r>
        <w:rPr>
          <w:rFonts w:ascii="Arial" w:cs="Arial" w:eastAsia="Arial" w:hAnsi="Arial"/>
          <w:sz w:val="17"/>
          <w:szCs w:val="17"/>
          <w:color w:val="auto"/>
        </w:rPr>
        <w:t>the Nasdaq Global Market.</w:t>
      </w:r>
    </w:p>
    <w:p>
      <w:pPr>
        <w:spacing w:after="0" w:line="65" w:lineRule="exact"/>
        <w:rPr>
          <w:rFonts w:ascii="Arial" w:cs="Arial" w:eastAsia="Arial" w:hAnsi="Arial"/>
          <w:sz w:val="17"/>
          <w:szCs w:val="17"/>
          <w:color w:val="auto"/>
        </w:rPr>
      </w:pPr>
    </w:p>
    <w:p>
      <w:pPr>
        <w:ind w:left="-20" w:right="40" w:firstLine="412"/>
        <w:spacing w:after="0" w:line="283" w:lineRule="auto"/>
        <w:tabs>
          <w:tab w:leader="none" w:pos="589"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Restriction on Sale of Securities</w:t>
      </w:r>
      <w:r>
        <w:rPr>
          <w:rFonts w:ascii="Arial" w:cs="Arial" w:eastAsia="Arial" w:hAnsi="Arial"/>
          <w:sz w:val="15"/>
          <w:szCs w:val="15"/>
          <w:color w:val="auto"/>
        </w:rPr>
        <w:t>. During a period of 180 days from the date of the Prospectus, the Company will not, without the prior written</w:t>
      </w:r>
      <w:r>
        <w:rPr>
          <w:rFonts w:ascii="Arial" w:cs="Arial" w:eastAsia="Arial" w:hAnsi="Arial"/>
          <w:sz w:val="15"/>
          <w:szCs w:val="15"/>
          <w:i w:val="1"/>
          <w:iCs w:val="1"/>
          <w:color w:val="auto"/>
        </w:rPr>
        <w:t xml:space="preserve"> </w:t>
      </w:r>
      <w:r>
        <w:rPr>
          <w:rFonts w:ascii="Arial" w:cs="Arial" w:eastAsia="Arial" w:hAnsi="Arial"/>
          <w:sz w:val="15"/>
          <w:szCs w:val="15"/>
          <w:color w:val="auto"/>
        </w:rPr>
        <w:t>consent of BofAS and Jefferies,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or (iii) publicly disclose the intention to do any of the foregoing described in clauses (i) and (ii). The foregoing sentence shall not apply to (A) the Securities to be sold hereunder, (B) any shares of Common Stock issued by the Company upon the exercise of an option or warrant or the conversion of a security outstanding on the date hereof and referred to in the Registration Statement, the General Disclosure Package and the Prospectus, (C) any shares of Common Stock issued or options to purchase Common Stock or other equity awards covering Common Stock granted, in either case, pursuant to existing employee benefit plans of the Company referred to in the Registration Statement, the General Disclosure Package and the Prospectus, (D) any shares of Common Stock issued pursuant to any non-employee director compensation plan or program or dividend reinvestment plan referred to in the Registration Statement, the General Disclosure Package and the Prospectus, (E) the filing by the Company of a registration statement with the Commission on Form S-8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200"/>
          </w:cols>
          <w:pgMar w:left="840" w:top="265" w:right="859" w:bottom="1440" w:gutter="0" w:footer="0" w:header="0"/>
        </w:sectPr>
      </w:pPr>
    </w:p>
    <w:bookmarkStart w:id="252" w:name="page253"/>
    <w:bookmarkEnd w:id="252"/>
    <w:p>
      <w:pPr>
        <w:ind w:right="2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respect of any shares or other equity instruments issued pursuant to any plans or programs described in (C) or (D) above, or (F) the sale or issuance of or entry into an agreement to sell or issue shares of Common Stock or securities convertible into or exercisable or exchangeable for Common Stock in connection with any (1) mergers, (2) acquisition of securities, businesses, property or other assets, (3) joint ventures or (4) strategic alliances or relationships; provided, that the aggregate number of shares of Common Stock or securities convertible into or exercisable for Common Stock (on an as-converted or as-exercised basis, as the case may be) that the Company may sell or issue or agree to sell or issue pursuant to this clause (F) shall not exceed 5% of the total number of shares of the Company’s Common Stock issued and outstanding immediately following the completion of the transactions contemplated by this Agreement; and provided further, that each recipient of shares of Common Stock or securities convertible into or exercisable for Common Stock pursuant to this clause (F) shall execute a lock-up agreement substantially in the form of Exhibit A-2 hereto.</w:t>
      </w:r>
    </w:p>
    <w:p>
      <w:pPr>
        <w:spacing w:after="0" w:line="57" w:lineRule="exact"/>
        <w:rPr>
          <w:sz w:val="20"/>
          <w:szCs w:val="20"/>
          <w:color w:val="auto"/>
        </w:rPr>
      </w:pPr>
    </w:p>
    <w:p>
      <w:pPr>
        <w:ind w:right="200" w:firstLine="412"/>
        <w:spacing w:after="0" w:line="298" w:lineRule="auto"/>
        <w:tabs>
          <w:tab w:leader="none" w:pos="60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If BofAS and Jefferies, in their sole discretion, agree to release or waive the restrictions set forth in a lock-up agreement described in Section 5(i)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47" w:lineRule="exact"/>
        <w:rPr>
          <w:rFonts w:ascii="Arial" w:cs="Arial" w:eastAsia="Arial" w:hAnsi="Arial"/>
          <w:sz w:val="15"/>
          <w:szCs w:val="15"/>
          <w:color w:val="auto"/>
        </w:rPr>
      </w:pPr>
    </w:p>
    <w:p>
      <w:pPr>
        <w:jc w:val="both"/>
        <w:ind w:right="80" w:firstLine="412"/>
        <w:spacing w:after="0" w:line="253" w:lineRule="auto"/>
        <w:tabs>
          <w:tab w:leader="none" w:pos="646"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Reporting Requirements</w:t>
      </w:r>
      <w:r>
        <w:rPr>
          <w:rFonts w:ascii="Arial" w:cs="Arial" w:eastAsia="Arial" w:hAnsi="Arial"/>
          <w:sz w:val="17"/>
          <w:szCs w:val="17"/>
          <w:color w:val="auto"/>
        </w:rPr>
        <w:t>. The Company, during the period when a Prospectus relating to the Securities is (or, but for the exception afforded by</w:t>
      </w:r>
      <w:r>
        <w:rPr>
          <w:rFonts w:ascii="Arial" w:cs="Arial" w:eastAsia="Arial" w:hAnsi="Arial"/>
          <w:sz w:val="17"/>
          <w:szCs w:val="17"/>
          <w:i w:val="1"/>
          <w:iCs w:val="1"/>
          <w:color w:val="auto"/>
        </w:rPr>
        <w:t xml:space="preserve"> </w:t>
      </w:r>
      <w:r>
        <w:rPr>
          <w:rFonts w:ascii="Arial" w:cs="Arial" w:eastAsia="Arial" w:hAnsi="Arial"/>
          <w:sz w:val="17"/>
          <w:szCs w:val="17"/>
          <w:color w:val="auto"/>
        </w:rPr>
        <w:t>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79" w:lineRule="exact"/>
        <w:rPr>
          <w:rFonts w:ascii="Arial" w:cs="Arial" w:eastAsia="Arial" w:hAnsi="Arial"/>
          <w:sz w:val="17"/>
          <w:szCs w:val="17"/>
          <w:color w:val="auto"/>
        </w:rPr>
      </w:pPr>
    </w:p>
    <w:p>
      <w:pPr>
        <w:ind w:firstLine="412"/>
        <w:spacing w:after="0" w:line="264" w:lineRule="auto"/>
        <w:tabs>
          <w:tab w:leader="none" w:pos="609"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The Company agrees that, unless it obtains the prior written consent of the Representatives, it will not make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which has not been superseded or modified,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78" w:lineRule="exact"/>
        <w:rPr>
          <w:rFonts w:ascii="Arial" w:cs="Arial" w:eastAsia="Arial" w:hAnsi="Arial"/>
          <w:sz w:val="16"/>
          <w:szCs w:val="16"/>
          <w:color w:val="auto"/>
        </w:rPr>
      </w:pPr>
    </w:p>
    <w:p>
      <w:pPr>
        <w:ind w:right="220" w:firstLine="412"/>
        <w:spacing w:after="0" w:line="253" w:lineRule="auto"/>
        <w:tabs>
          <w:tab w:leader="none" w:pos="693"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Certification Regarding Beneficial Owners</w:t>
      </w:r>
      <w:r>
        <w:rPr>
          <w:rFonts w:ascii="Arial" w:cs="Arial" w:eastAsia="Arial" w:hAnsi="Arial"/>
          <w:sz w:val="17"/>
          <w:szCs w:val="17"/>
          <w:color w:val="auto"/>
        </w:rPr>
        <w:t>. The Company will deliver to the Representatives, on the date of execution of this Agreement, a</w:t>
      </w:r>
      <w:r>
        <w:rPr>
          <w:rFonts w:ascii="Arial" w:cs="Arial" w:eastAsia="Arial" w:hAnsi="Arial"/>
          <w:sz w:val="17"/>
          <w:szCs w:val="17"/>
          <w:i w:val="1"/>
          <w:iCs w:val="1"/>
          <w:color w:val="auto"/>
        </w:rPr>
        <w:t xml:space="preserve"> </w:t>
      </w:r>
      <w:r>
        <w:rPr>
          <w:rFonts w:ascii="Arial" w:cs="Arial" w:eastAsia="Arial" w:hAnsi="Arial"/>
          <w:sz w:val="17"/>
          <w:szCs w:val="17"/>
          <w:color w:val="auto"/>
        </w:rPr>
        <w:t>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240"/>
          </w:cols>
          <w:pgMar w:left="820" w:top="265" w:right="839" w:bottom="1440" w:gutter="0" w:footer="0" w:header="0"/>
        </w:sectPr>
      </w:pPr>
    </w:p>
    <w:bookmarkStart w:id="253" w:name="page254"/>
    <w:bookmarkEnd w:id="253"/>
    <w:p>
      <w:pPr>
        <w:ind w:firstLine="412"/>
        <w:spacing w:after="0" w:line="271" w:lineRule="auto"/>
        <w:tabs>
          <w:tab w:leader="none" w:pos="646"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Testing-the-Waters Materials</w:t>
      </w:r>
      <w:r>
        <w:rPr>
          <w:rFonts w:ascii="Arial" w:cs="Arial" w:eastAsia="Arial" w:hAnsi="Arial"/>
          <w:sz w:val="16"/>
          <w:szCs w:val="16"/>
          <w:color w:val="auto"/>
        </w:rPr>
        <w:t>.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65" w:lineRule="exact"/>
        <w:rPr>
          <w:rFonts w:ascii="Arial" w:cs="Arial" w:eastAsia="Arial" w:hAnsi="Arial"/>
          <w:sz w:val="16"/>
          <w:szCs w:val="16"/>
          <w:color w:val="auto"/>
        </w:rPr>
      </w:pPr>
    </w:p>
    <w:p>
      <w:pPr>
        <w:ind w:right="80" w:firstLine="412"/>
        <w:spacing w:after="0" w:line="257" w:lineRule="auto"/>
        <w:tabs>
          <w:tab w:leader="none" w:pos="646"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Emerging Growth Company Status</w:t>
      </w:r>
      <w:r>
        <w:rPr>
          <w:rFonts w:ascii="Arial" w:cs="Arial" w:eastAsia="Arial" w:hAnsi="Arial"/>
          <w:sz w:val="17"/>
          <w:szCs w:val="17"/>
          <w:color w:val="auto"/>
        </w:rPr>
        <w:t>. The Company will promptly notify the Representatives if the Company ceases to be an Emerging Growth Company at any time prior to the later of (i) completion of the distribution of the Securities within the meaning of the 1933 Act and (ii) completion of the 180-day restricted period referred to in Section 3(i).</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Payment of Expenses</w:t>
      </w:r>
      <w:r>
        <w:rPr>
          <w:rFonts w:ascii="Arial" w:cs="Arial" w:eastAsia="Arial" w:hAnsi="Arial"/>
          <w:sz w:val="17"/>
          <w:szCs w:val="17"/>
          <w:color w:val="auto"/>
        </w:rPr>
        <w:t>.</w:t>
      </w:r>
    </w:p>
    <w:p>
      <w:pPr>
        <w:spacing w:after="0" w:line="106" w:lineRule="exact"/>
        <w:rPr>
          <w:sz w:val="20"/>
          <w:szCs w:val="20"/>
          <w:color w:val="auto"/>
        </w:rPr>
      </w:pPr>
    </w:p>
    <w:p>
      <w:pPr>
        <w:ind w:firstLine="412"/>
        <w:spacing w:after="0" w:line="281" w:lineRule="auto"/>
        <w:tabs>
          <w:tab w:leader="none" w:pos="637" w:val="left"/>
        </w:tabs>
        <w:numPr>
          <w:ilvl w:val="1"/>
          <w:numId w:val="175"/>
        </w:numPr>
        <w:rPr>
          <w:rFonts w:ascii="Arial" w:cs="Arial" w:eastAsia="Arial" w:hAnsi="Arial"/>
          <w:sz w:val="15"/>
          <w:szCs w:val="15"/>
          <w:color w:val="auto"/>
        </w:rPr>
      </w:pPr>
      <w:r>
        <w:rPr>
          <w:rFonts w:ascii="Arial" w:cs="Arial" w:eastAsia="Arial" w:hAnsi="Arial"/>
          <w:sz w:val="15"/>
          <w:szCs w:val="15"/>
          <w:i w:val="1"/>
          <w:iCs w:val="1"/>
          <w:color w:val="auto"/>
        </w:rPr>
        <w:t>Expenses</w:t>
      </w:r>
      <w:r>
        <w:rPr>
          <w:rFonts w:ascii="Arial" w:cs="Arial" w:eastAsia="Arial" w:hAnsi="Arial"/>
          <w:sz w:val="15"/>
          <w:szCs w:val="15"/>
          <w:color w:val="auto"/>
        </w:rPr>
        <w:t>. The Company will pay or cause to be paid all expenses incident to the performance of its obligations under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subject to the limitation set forth in clause</w:t>
      </w:r>
    </w:p>
    <w:p>
      <w:pPr>
        <w:spacing w:after="0" w:line="4" w:lineRule="exact"/>
        <w:rPr>
          <w:rFonts w:ascii="Arial" w:cs="Arial" w:eastAsia="Arial" w:hAnsi="Arial"/>
          <w:sz w:val="15"/>
          <w:szCs w:val="15"/>
          <w:color w:val="auto"/>
        </w:rPr>
      </w:pPr>
    </w:p>
    <w:p>
      <w:pPr>
        <w:ind w:right="20" w:firstLine="3"/>
        <w:spacing w:after="0" w:line="282" w:lineRule="auto"/>
        <w:tabs>
          <w:tab w:leader="none" w:pos="376" w:val="left"/>
        </w:tabs>
        <w:numPr>
          <w:ilvl w:val="0"/>
          <w:numId w:val="176"/>
        </w:numPr>
        <w:rPr>
          <w:rFonts w:ascii="Arial" w:cs="Arial" w:eastAsia="Arial" w:hAnsi="Arial"/>
          <w:sz w:val="15"/>
          <w:szCs w:val="15"/>
          <w:color w:val="auto"/>
        </w:rPr>
      </w:pPr>
      <w:r>
        <w:rPr>
          <w:rFonts w:ascii="Arial" w:cs="Arial" w:eastAsia="Arial" w:hAnsi="Arial"/>
          <w:sz w:val="15"/>
          <w:szCs w:val="15"/>
          <w:color w:val="auto"/>
        </w:rPr>
        <w:t xml:space="preserve">below,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50% of the cost of aircraft and other transportation chartered in connection with the road show, (viii) the filing fees incident to, and the reasonable fees and disbursements of counsel to the Underwriters in connection with, the review by FINRA of the terms of the sale of the Securities;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amount payable by the Company pursuant to this clause (viii) when taken together with amounts payable pursuant to clause (v) shall not exceed $50,000 in the aggregate, (ix) the fees and expenses incurred in connection with the listing of the Securities on the Nasdaq Global Market,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provided that any expenses payable under clauses (v) and (viii) above and any expenses relating to the remaining 50% of the cost of any aircraft or other transportation chartered in connection with the road show described in clause (vii) above are invoiced in a reasonably timely manner.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240"/>
          </w:cols>
          <w:pgMar w:left="820" w:top="265" w:right="839" w:bottom="1440" w:gutter="0" w:footer="0" w:header="0"/>
        </w:sectPr>
      </w:pPr>
    </w:p>
    <w:bookmarkStart w:id="254" w:name="page255"/>
    <w:bookmarkEnd w:id="254"/>
    <w:p>
      <w:pPr>
        <w:ind w:left="640" w:hanging="228"/>
        <w:spacing w:after="0"/>
        <w:tabs>
          <w:tab w:leader="none" w:pos="640" w:val="left"/>
        </w:tabs>
        <w:numPr>
          <w:ilvl w:val="1"/>
          <w:numId w:val="177"/>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Termination of Agreement</w:t>
      </w:r>
      <w:r>
        <w:rPr>
          <w:rFonts w:ascii="Arial" w:cs="Arial" w:eastAsia="Arial" w:hAnsi="Arial"/>
          <w:sz w:val="15"/>
          <w:szCs w:val="15"/>
          <w:color w:val="auto"/>
        </w:rPr>
        <w:t>. If this Agreement is terminated by the Representatives in accordance with the provisions of Section 5, Section 9(a)</w:t>
      </w:r>
    </w:p>
    <w:p>
      <w:pPr>
        <w:spacing w:after="0" w:line="40" w:lineRule="exact"/>
        <w:rPr>
          <w:rFonts w:ascii="Arial" w:cs="Arial" w:eastAsia="Arial" w:hAnsi="Arial"/>
          <w:sz w:val="15"/>
          <w:szCs w:val="15"/>
          <w:color w:val="auto"/>
        </w:rPr>
      </w:pPr>
    </w:p>
    <w:p>
      <w:pPr>
        <w:ind w:right="480" w:firstLine="3"/>
        <w:spacing w:after="0" w:line="253" w:lineRule="auto"/>
        <w:tabs>
          <w:tab w:leader="none" w:pos="2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or (iii) or Section 10 hereof, the Company shall reimburse the non-defaulting Underwriters for all of their documented out-of-pocket expenses, including the reasonable and documented fees and disbursements of counsel for the Underwriters.</w:t>
      </w:r>
    </w:p>
    <w:p>
      <w:pPr>
        <w:spacing w:after="0" w:line="178" w:lineRule="exact"/>
        <w:rPr>
          <w:sz w:val="20"/>
          <w:szCs w:val="20"/>
          <w:color w:val="auto"/>
        </w:rPr>
      </w:pPr>
    </w:p>
    <w:p>
      <w:pPr>
        <w:ind w:right="240" w:firstLine="409"/>
        <w:spacing w:after="0" w:line="25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80" w:lineRule="exact"/>
        <w:rPr>
          <w:sz w:val="20"/>
          <w:szCs w:val="20"/>
          <w:color w:val="auto"/>
        </w:rPr>
      </w:pPr>
    </w:p>
    <w:p>
      <w:pPr>
        <w:ind w:right="40" w:firstLine="412"/>
        <w:spacing w:after="0" w:line="267" w:lineRule="auto"/>
        <w:tabs>
          <w:tab w:leader="none" w:pos="637"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 Rule 430A Information</w:t>
      </w:r>
      <w:r>
        <w:rPr>
          <w:rFonts w:ascii="Arial" w:cs="Arial" w:eastAsia="Arial" w:hAnsi="Arial"/>
          <w:sz w:val="16"/>
          <w:szCs w:val="16"/>
          <w:color w:val="auto"/>
        </w:rPr>
        <w:t>. The Registration Statement, including any Rule 462(b)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70" w:lineRule="exact"/>
        <w:rPr>
          <w:rFonts w:ascii="Arial" w:cs="Arial" w:eastAsia="Arial" w:hAnsi="Arial"/>
          <w:sz w:val="16"/>
          <w:szCs w:val="16"/>
          <w:color w:val="auto"/>
        </w:rPr>
      </w:pPr>
    </w:p>
    <w:p>
      <w:pPr>
        <w:ind w:left="640" w:hanging="228"/>
        <w:spacing w:after="0"/>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Opinion of Counsel for Company</w:t>
      </w:r>
      <w:r>
        <w:rPr>
          <w:rFonts w:ascii="Arial" w:cs="Arial" w:eastAsia="Arial" w:hAnsi="Arial"/>
          <w:sz w:val="17"/>
          <w:szCs w:val="17"/>
          <w:color w:val="auto"/>
        </w:rPr>
        <w:t>. At the Closing Time, the Representative shall have received:</w:t>
      </w:r>
    </w:p>
    <w:p>
      <w:pPr>
        <w:spacing w:after="0" w:line="105" w:lineRule="exact"/>
        <w:rPr>
          <w:rFonts w:ascii="Arial" w:cs="Arial" w:eastAsia="Arial" w:hAnsi="Arial"/>
          <w:sz w:val="17"/>
          <w:szCs w:val="17"/>
          <w:color w:val="auto"/>
        </w:rPr>
      </w:pPr>
    </w:p>
    <w:p>
      <w:pPr>
        <w:ind w:left="420" w:right="260" w:firstLine="385"/>
        <w:spacing w:after="0" w:line="257" w:lineRule="auto"/>
        <w:tabs>
          <w:tab w:leader="none" w:pos="1013"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opinion and negative assurance letter, dated the Closing Time, of Latham &amp; Watkins LLP, counsel for the Company, in form and substance reasonably satisfactory to counsel for the Underwriters, together with signed or reproduced copies of such letter for each of the other Underwriters; and</w:t>
      </w:r>
    </w:p>
    <w:p>
      <w:pPr>
        <w:spacing w:after="0" w:line="74" w:lineRule="exact"/>
        <w:rPr>
          <w:rFonts w:ascii="Arial" w:cs="Arial" w:eastAsia="Arial" w:hAnsi="Arial"/>
          <w:sz w:val="17"/>
          <w:szCs w:val="17"/>
          <w:color w:val="auto"/>
        </w:rPr>
      </w:pPr>
    </w:p>
    <w:p>
      <w:pPr>
        <w:ind w:left="420" w:right="300" w:firstLine="385"/>
        <w:spacing w:after="0" w:line="257" w:lineRule="auto"/>
        <w:tabs>
          <w:tab w:leader="none" w:pos="106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opinion, dated the Closing Time, of Medlen &amp; Carroll LLP, intellectual property counsel for the Company, in form and substance reasonably satisfactory to counsel for the Underwriters, together with signed or reproduced copies of such letter for each of the other Underwriters.</w:t>
      </w:r>
    </w:p>
    <w:p>
      <w:pPr>
        <w:spacing w:after="0" w:line="74" w:lineRule="exact"/>
        <w:rPr>
          <w:rFonts w:ascii="Arial" w:cs="Arial" w:eastAsia="Arial" w:hAnsi="Arial"/>
          <w:sz w:val="17"/>
          <w:szCs w:val="17"/>
          <w:color w:val="auto"/>
        </w:rPr>
      </w:pPr>
    </w:p>
    <w:p>
      <w:pPr>
        <w:ind w:right="140" w:firstLine="412"/>
        <w:spacing w:after="0" w:line="257" w:lineRule="auto"/>
        <w:tabs>
          <w:tab w:leader="none" w:pos="637"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Opinion of Counsel for Underwriters</w:t>
      </w:r>
      <w:r>
        <w:rPr>
          <w:rFonts w:ascii="Arial" w:cs="Arial" w:eastAsia="Arial" w:hAnsi="Arial"/>
          <w:sz w:val="17"/>
          <w:szCs w:val="17"/>
          <w:color w:val="auto"/>
        </w:rPr>
        <w:t>. At the Closing Time, the Representatives shall have received the favorable opinion and negative</w:t>
      </w:r>
      <w:r>
        <w:rPr>
          <w:rFonts w:ascii="Arial" w:cs="Arial" w:eastAsia="Arial" w:hAnsi="Arial"/>
          <w:sz w:val="17"/>
          <w:szCs w:val="17"/>
          <w:i w:val="1"/>
          <w:iCs w:val="1"/>
          <w:color w:val="auto"/>
        </w:rPr>
        <w:t xml:space="preserve"> </w:t>
      </w:r>
      <w:r>
        <w:rPr>
          <w:rFonts w:ascii="Arial" w:cs="Arial" w:eastAsia="Arial" w:hAnsi="Arial"/>
          <w:sz w:val="17"/>
          <w:szCs w:val="17"/>
          <w:color w:val="auto"/>
        </w:rPr>
        <w:t>assurance letter, dated the Closing Time, of Shearman &amp; Sterling LLP, counsel for the Underwriters, together with signed or reproduced copies of such letter for each of the other Underwriters, in form and substance satisfactory to the Underwriters.</w:t>
      </w:r>
    </w:p>
    <w:p>
      <w:pPr>
        <w:spacing w:after="0" w:line="74" w:lineRule="exact"/>
        <w:rPr>
          <w:rFonts w:ascii="Arial" w:cs="Arial" w:eastAsia="Arial" w:hAnsi="Arial"/>
          <w:sz w:val="17"/>
          <w:szCs w:val="17"/>
          <w:color w:val="auto"/>
        </w:rPr>
      </w:pPr>
    </w:p>
    <w:p>
      <w:pPr>
        <w:ind w:firstLine="412"/>
        <w:spacing w:after="0" w:line="288" w:lineRule="auto"/>
        <w:tabs>
          <w:tab w:leader="none" w:pos="646" w:val="left"/>
        </w:tabs>
        <w:numPr>
          <w:ilvl w:val="0"/>
          <w:numId w:val="179"/>
        </w:numPr>
        <w:rPr>
          <w:rFonts w:ascii="Arial" w:cs="Arial" w:eastAsia="Arial" w:hAnsi="Arial"/>
          <w:sz w:val="15"/>
          <w:szCs w:val="15"/>
          <w:color w:val="auto"/>
        </w:rPr>
      </w:pPr>
      <w:r>
        <w:rPr>
          <w:rFonts w:ascii="Arial" w:cs="Arial" w:eastAsia="Arial" w:hAnsi="Arial"/>
          <w:sz w:val="15"/>
          <w:szCs w:val="15"/>
          <w:i w:val="1"/>
          <w:iCs w:val="1"/>
          <w:color w:val="auto"/>
        </w:rPr>
        <w:t>Officers’ Certificate</w:t>
      </w:r>
      <w:r>
        <w:rPr>
          <w:rFonts w:ascii="Arial" w:cs="Arial" w:eastAsia="Arial" w:hAnsi="Arial"/>
          <w:sz w:val="15"/>
          <w:szCs w:val="15"/>
          <w:color w:val="auto"/>
        </w:rPr>
        <w:t>. At the Closing Time, there shall not have been, since the date hereof or since the respective dates as of which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240"/>
          </w:cols>
          <w:pgMar w:left="820" w:top="265" w:right="839" w:bottom="1440" w:gutter="0" w:footer="0" w:header="0"/>
        </w:sectPr>
      </w:pPr>
    </w:p>
    <w:bookmarkStart w:id="255" w:name="page256"/>
    <w:bookmarkEnd w:id="255"/>
    <w:p>
      <w:pPr>
        <w:ind w:right="10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41" w:lineRule="exact"/>
        <w:rPr>
          <w:sz w:val="20"/>
          <w:szCs w:val="20"/>
          <w:color w:val="auto"/>
        </w:rPr>
      </w:pPr>
    </w:p>
    <w:p>
      <w:pPr>
        <w:ind w:right="20" w:firstLine="412"/>
        <w:spacing w:after="0" w:line="298" w:lineRule="auto"/>
        <w:tabs>
          <w:tab w:leader="none" w:pos="637"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Accountant’s Comfort Letter</w:t>
      </w:r>
      <w:r>
        <w:rPr>
          <w:rFonts w:ascii="Arial" w:cs="Arial" w:eastAsia="Arial" w:hAnsi="Arial"/>
          <w:sz w:val="15"/>
          <w:szCs w:val="15"/>
          <w:color w:val="auto"/>
        </w:rPr>
        <w:t>. At the time of the execution of this Agreement, the Representatives shall have received from BDO USA, LLP a</w:t>
      </w:r>
      <w:r>
        <w:rPr>
          <w:rFonts w:ascii="Arial" w:cs="Arial" w:eastAsia="Arial" w:hAnsi="Arial"/>
          <w:sz w:val="15"/>
          <w:szCs w:val="15"/>
          <w:i w:val="1"/>
          <w:iCs w:val="1"/>
          <w:color w:val="auto"/>
        </w:rPr>
        <w:t xml:space="preserve"> </w:t>
      </w:r>
      <w:r>
        <w:rPr>
          <w:rFonts w:ascii="Arial" w:cs="Arial" w:eastAsia="Arial" w:hAnsi="Arial"/>
          <w:sz w:val="15"/>
          <w:szCs w:val="15"/>
          <w:color w:val="auto"/>
        </w:rPr>
        <w:t>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47" w:lineRule="exact"/>
        <w:rPr>
          <w:rFonts w:ascii="Arial" w:cs="Arial" w:eastAsia="Arial" w:hAnsi="Arial"/>
          <w:sz w:val="15"/>
          <w:szCs w:val="15"/>
          <w:color w:val="auto"/>
        </w:rPr>
      </w:pPr>
    </w:p>
    <w:p>
      <w:pPr>
        <w:jc w:val="both"/>
        <w:ind w:right="540" w:firstLine="412"/>
        <w:spacing w:after="0" w:line="280" w:lineRule="auto"/>
        <w:tabs>
          <w:tab w:leader="none" w:pos="618"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Bring-down Comfort Letter</w:t>
      </w:r>
      <w:r>
        <w:rPr>
          <w:rFonts w:ascii="Arial" w:cs="Arial" w:eastAsia="Arial" w:hAnsi="Arial"/>
          <w:sz w:val="16"/>
          <w:szCs w:val="16"/>
          <w:color w:val="auto"/>
        </w:rPr>
        <w:t>. At the Closing Time, the Representatives shall have received from BDO USA, LLP a letter, dated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58" w:lineRule="exact"/>
        <w:rPr>
          <w:rFonts w:ascii="Arial" w:cs="Arial" w:eastAsia="Arial" w:hAnsi="Arial"/>
          <w:sz w:val="16"/>
          <w:szCs w:val="16"/>
          <w:color w:val="auto"/>
        </w:rPr>
      </w:pPr>
    </w:p>
    <w:p>
      <w:pPr>
        <w:ind w:right="340" w:firstLine="412"/>
        <w:spacing w:after="0" w:line="268" w:lineRule="auto"/>
        <w:tabs>
          <w:tab w:leader="none" w:pos="646"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Approval of Listing</w:t>
      </w:r>
      <w:r>
        <w:rPr>
          <w:rFonts w:ascii="Arial" w:cs="Arial" w:eastAsia="Arial" w:hAnsi="Arial"/>
          <w:sz w:val="17"/>
          <w:szCs w:val="17"/>
          <w:color w:val="auto"/>
        </w:rPr>
        <w:t>. At the Closing Time, the Securities shall have been approved for listing on the Nasdaq Global Market, subject only to</w:t>
      </w:r>
      <w:r>
        <w:rPr>
          <w:rFonts w:ascii="Arial" w:cs="Arial" w:eastAsia="Arial" w:hAnsi="Arial"/>
          <w:sz w:val="17"/>
          <w:szCs w:val="17"/>
          <w:i w:val="1"/>
          <w:iCs w:val="1"/>
          <w:color w:val="auto"/>
        </w:rPr>
        <w:t xml:space="preserve"> </w:t>
      </w:r>
      <w:r>
        <w:rPr>
          <w:rFonts w:ascii="Arial" w:cs="Arial" w:eastAsia="Arial" w:hAnsi="Arial"/>
          <w:sz w:val="17"/>
          <w:szCs w:val="17"/>
          <w:color w:val="auto"/>
        </w:rPr>
        <w:t>official notice of issuance.</w:t>
      </w:r>
    </w:p>
    <w:p>
      <w:pPr>
        <w:spacing w:after="0" w:line="65" w:lineRule="exact"/>
        <w:rPr>
          <w:rFonts w:ascii="Arial" w:cs="Arial" w:eastAsia="Arial" w:hAnsi="Arial"/>
          <w:sz w:val="17"/>
          <w:szCs w:val="17"/>
          <w:color w:val="auto"/>
        </w:rPr>
      </w:pPr>
    </w:p>
    <w:p>
      <w:pPr>
        <w:ind w:right="740" w:firstLine="412"/>
        <w:spacing w:after="0" w:line="268" w:lineRule="auto"/>
        <w:tabs>
          <w:tab w:leader="none" w:pos="646"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No Objection</w:t>
      </w:r>
      <w:r>
        <w:rPr>
          <w:rFonts w:ascii="Arial" w:cs="Arial" w:eastAsia="Arial" w:hAnsi="Arial"/>
          <w:sz w:val="17"/>
          <w:szCs w:val="17"/>
          <w:color w:val="auto"/>
        </w:rPr>
        <w:t>. FINRA shall have confirmed that it has not raised any objection with respect to the fairness and reasonableness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terms and arrangements relating to the offering of the Securities.</w:t>
      </w:r>
    </w:p>
    <w:p>
      <w:pPr>
        <w:spacing w:after="0" w:line="65" w:lineRule="exact"/>
        <w:rPr>
          <w:rFonts w:ascii="Arial" w:cs="Arial" w:eastAsia="Arial" w:hAnsi="Arial"/>
          <w:sz w:val="17"/>
          <w:szCs w:val="17"/>
          <w:color w:val="auto"/>
        </w:rPr>
      </w:pPr>
    </w:p>
    <w:p>
      <w:pPr>
        <w:ind w:right="180" w:firstLine="412"/>
        <w:spacing w:after="0" w:line="298" w:lineRule="auto"/>
        <w:tabs>
          <w:tab w:leader="none" w:pos="609"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Lock-up Agreements</w:t>
      </w:r>
      <w:r>
        <w:rPr>
          <w:rFonts w:ascii="Arial" w:cs="Arial" w:eastAsia="Arial" w:hAnsi="Arial"/>
          <w:sz w:val="15"/>
          <w:szCs w:val="15"/>
          <w:color w:val="auto"/>
        </w:rPr>
        <w:t>. At the date of this Agreement, the Representatives shall have received (i) an agreement substantially in the form of</w:t>
      </w:r>
      <w:r>
        <w:rPr>
          <w:rFonts w:ascii="Arial" w:cs="Arial" w:eastAsia="Arial" w:hAnsi="Arial"/>
          <w:sz w:val="15"/>
          <w:szCs w:val="15"/>
          <w:i w:val="1"/>
          <w:iCs w:val="1"/>
          <w:color w:val="auto"/>
        </w:rPr>
        <w:t xml:space="preserve"> </w:t>
      </w:r>
      <w:r>
        <w:rPr>
          <w:rFonts w:ascii="Arial" w:cs="Arial" w:eastAsia="Arial" w:hAnsi="Arial"/>
          <w:sz w:val="15"/>
          <w:szCs w:val="15"/>
          <w:color w:val="auto"/>
        </w:rPr>
        <w:t>Exhibit A-1 hereto signed by each Person who beneficially owns (as such term is defined in the 1934 Act Regulations) 5% or more of the Company’s capital stock (as an as-converted basis) and certain directors affiliated with such Persons and (ii) an agreement substantially in the form of Exhibit A-2 hereto signed by substantially all other Persons who hold shares of the Company’s capital stock or options to purchase the Company’s capital stock.</w:t>
      </w:r>
    </w:p>
    <w:p>
      <w:pPr>
        <w:spacing w:after="0" w:line="47" w:lineRule="exact"/>
        <w:rPr>
          <w:rFonts w:ascii="Arial" w:cs="Arial" w:eastAsia="Arial" w:hAnsi="Arial"/>
          <w:sz w:val="15"/>
          <w:szCs w:val="15"/>
          <w:color w:val="auto"/>
        </w:rPr>
      </w:pPr>
    </w:p>
    <w:p>
      <w:pPr>
        <w:ind w:right="40" w:firstLine="412"/>
        <w:spacing w:after="0" w:line="257" w:lineRule="auto"/>
        <w:tabs>
          <w:tab w:leader="none" w:pos="609"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Chief Financial Officer’s Certificate</w:t>
      </w:r>
      <w:r>
        <w:rPr>
          <w:rFonts w:ascii="Arial" w:cs="Arial" w:eastAsia="Arial" w:hAnsi="Arial"/>
          <w:sz w:val="17"/>
          <w:szCs w:val="17"/>
          <w:color w:val="auto"/>
        </w:rPr>
        <w:t>. On the date of this Agreement and at Closing Time, the Representative shall have received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 certificate of its chief financial officer with respect to certain financial data contained in the General Disclosure Package and the Prospectus, which certificate shall be in form and substance reasonably satisfactory to counsel for the Underwriters.</w:t>
      </w:r>
    </w:p>
    <w:p>
      <w:pPr>
        <w:spacing w:after="0" w:line="74" w:lineRule="exact"/>
        <w:rPr>
          <w:rFonts w:ascii="Arial" w:cs="Arial" w:eastAsia="Arial" w:hAnsi="Arial"/>
          <w:sz w:val="17"/>
          <w:szCs w:val="17"/>
          <w:color w:val="auto"/>
        </w:rPr>
      </w:pPr>
    </w:p>
    <w:p>
      <w:pPr>
        <w:ind w:firstLine="412"/>
        <w:spacing w:after="0" w:line="253" w:lineRule="auto"/>
        <w:tabs>
          <w:tab w:leader="none" w:pos="646"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Conditions to Purchase of Option Securities</w:t>
      </w:r>
      <w:r>
        <w:rPr>
          <w:rFonts w:ascii="Arial" w:cs="Arial" w:eastAsia="Arial" w:hAnsi="Arial"/>
          <w:sz w:val="17"/>
          <w:szCs w:val="17"/>
          <w:color w:val="auto"/>
        </w:rPr>
        <w:t>. In the event that the Underwriters exercise their option provided in Section 2(b) hereof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79" w:lineRule="exact"/>
        <w:rPr>
          <w:rFonts w:ascii="Arial" w:cs="Arial" w:eastAsia="Arial" w:hAnsi="Arial"/>
          <w:sz w:val="17"/>
          <w:szCs w:val="17"/>
          <w:color w:val="auto"/>
        </w:rPr>
      </w:pPr>
    </w:p>
    <w:p>
      <w:pPr>
        <w:ind w:left="420" w:right="120" w:firstLine="385"/>
        <w:spacing w:after="0" w:line="257" w:lineRule="auto"/>
        <w:tabs>
          <w:tab w:leader="none" w:pos="1013"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A certificate, dated such Date of Delivery, of the President or a Vice President of the Company and of the chief financial or chief accounting officer of the Company confirming that the certificate delivered at the Closing Time pursuant to Section 5(d) hereof remains true and correct as of such Date of Delivery.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240"/>
          </w:cols>
          <w:pgMar w:left="820" w:top="265" w:right="839" w:bottom="1440" w:gutter="0" w:footer="0" w:header="0"/>
        </w:sectPr>
      </w:pPr>
    </w:p>
    <w:bookmarkStart w:id="256" w:name="page257"/>
    <w:bookmarkEnd w:id="256"/>
    <w:p>
      <w:pPr>
        <w:jc w:val="both"/>
        <w:ind w:left="400" w:right="180" w:firstLine="385"/>
        <w:spacing w:after="0" w:line="298" w:lineRule="auto"/>
        <w:tabs>
          <w:tab w:leader="none" w:pos="1039"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Opinion of Counsel for Company</w:t>
      </w:r>
      <w:r>
        <w:rPr>
          <w:rFonts w:ascii="Arial" w:cs="Arial" w:eastAsia="Arial" w:hAnsi="Arial"/>
          <w:sz w:val="15"/>
          <w:szCs w:val="15"/>
          <w:color w:val="auto"/>
        </w:rPr>
        <w:t>. If requested by the Representatives, the opinion and negative assurance letter of Latham &amp; Watkins LLP, counsel for the Company, together with the opinion of Medlen &amp; Carroll LLP, intellectual property counsel for the Company, each in form and substance reasonably satisfactory to counsel for the Underwriters, dated such Date of Delivery, relating to the Option Securities to be purchased on such Date of Delivery and otherwise to the same effect as the opinion required by Section 5(b) hereof.</w:t>
      </w:r>
    </w:p>
    <w:p>
      <w:pPr>
        <w:spacing w:after="0" w:line="47" w:lineRule="exact"/>
        <w:rPr>
          <w:rFonts w:ascii="Arial" w:cs="Arial" w:eastAsia="Arial" w:hAnsi="Arial"/>
          <w:sz w:val="15"/>
          <w:szCs w:val="15"/>
          <w:color w:val="auto"/>
        </w:rPr>
      </w:pPr>
    </w:p>
    <w:p>
      <w:pPr>
        <w:ind w:left="400" w:right="60" w:firstLine="385"/>
        <w:spacing w:after="0" w:line="257" w:lineRule="auto"/>
        <w:tabs>
          <w:tab w:leader="none" w:pos="1086"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Opinion of Counsel for Underwriters</w:t>
      </w:r>
      <w:r>
        <w:rPr>
          <w:rFonts w:ascii="Arial" w:cs="Arial" w:eastAsia="Arial" w:hAnsi="Arial"/>
          <w:sz w:val="17"/>
          <w:szCs w:val="17"/>
          <w:color w:val="auto"/>
        </w:rPr>
        <w:t>. If requested by the Representative, the favorable opinion of Shearman &amp; Sterling LLP, counsel for the Underwriters, dated such Date of Delivery, relating to the Option Securities to be purchased on such Date of Delivery and otherwise to the same effect as the opinion required by Section 5(c) hereof.</w:t>
      </w:r>
    </w:p>
    <w:p>
      <w:pPr>
        <w:spacing w:after="0" w:line="75" w:lineRule="exact"/>
        <w:rPr>
          <w:sz w:val="20"/>
          <w:szCs w:val="20"/>
          <w:color w:val="auto"/>
        </w:rPr>
      </w:pPr>
    </w:p>
    <w:p>
      <w:pPr>
        <w:ind w:left="400" w:right="120" w:firstLine="385"/>
        <w:spacing w:after="0" w:line="253" w:lineRule="auto"/>
        <w:tabs>
          <w:tab w:leader="none" w:pos="1030"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Bring-down Comfort Letter</w:t>
      </w:r>
      <w:r>
        <w:rPr>
          <w:rFonts w:ascii="Arial" w:cs="Arial" w:eastAsia="Arial" w:hAnsi="Arial"/>
          <w:sz w:val="17"/>
          <w:szCs w:val="17"/>
          <w:color w:val="auto"/>
        </w:rPr>
        <w:t>. If requested by the Representative, a letter from BDO USA, LLP, in form and substance satisfactory to the Representatives and dated such Date of Delivery, substantially in the same form and substance as the letter furnished to the Representatives pursuant to Section 5(e) hereof, except that the “specified date” in the letter furnished pursuant to this paragraph shall be a date not more than three business days prior to such Date of Delivery.</w:t>
      </w:r>
    </w:p>
    <w:p>
      <w:pPr>
        <w:spacing w:after="0" w:line="79" w:lineRule="exact"/>
        <w:rPr>
          <w:rFonts w:ascii="Arial" w:cs="Arial" w:eastAsia="Arial" w:hAnsi="Arial"/>
          <w:sz w:val="17"/>
          <w:szCs w:val="17"/>
          <w:color w:val="auto"/>
        </w:rPr>
      </w:pPr>
    </w:p>
    <w:p>
      <w:pPr>
        <w:ind w:left="400" w:right="60" w:firstLine="385"/>
        <w:spacing w:after="0" w:line="257" w:lineRule="auto"/>
        <w:tabs>
          <w:tab w:leader="none" w:pos="1077"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Chief Financial Officer’s Certificate</w:t>
      </w:r>
      <w:r>
        <w:rPr>
          <w:rFonts w:ascii="Arial" w:cs="Arial" w:eastAsia="Arial" w:hAnsi="Arial"/>
          <w:sz w:val="17"/>
          <w:szCs w:val="17"/>
          <w:color w:val="auto"/>
        </w:rPr>
        <w:t>. A certificate, dated such Date of Delivery, of the chief financial or chief accounting officer of the Company confirming that the certificate delivered at the Closing Time pursuant to Section 5(k) hereof remains true and correct as of such Date of Delivery.</w:t>
      </w:r>
    </w:p>
    <w:p>
      <w:pPr>
        <w:spacing w:after="0" w:line="74" w:lineRule="exact"/>
        <w:rPr>
          <w:rFonts w:ascii="Arial" w:cs="Arial" w:eastAsia="Arial" w:hAnsi="Arial"/>
          <w:sz w:val="17"/>
          <w:szCs w:val="17"/>
          <w:color w:val="auto"/>
        </w:rPr>
      </w:pPr>
    </w:p>
    <w:p>
      <w:pPr>
        <w:ind w:left="-20" w:right="120" w:firstLine="412"/>
        <w:spacing w:after="0" w:line="293" w:lineRule="auto"/>
        <w:tabs>
          <w:tab w:leader="none" w:pos="589" w:val="left"/>
        </w:tabs>
        <w:numPr>
          <w:ilvl w:val="0"/>
          <w:numId w:val="183"/>
        </w:numPr>
        <w:rPr>
          <w:rFonts w:ascii="Arial" w:cs="Arial" w:eastAsia="Arial" w:hAnsi="Arial"/>
          <w:sz w:val="15"/>
          <w:szCs w:val="15"/>
          <w:color w:val="auto"/>
        </w:rPr>
      </w:pPr>
      <w:r>
        <w:rPr>
          <w:rFonts w:ascii="Arial" w:cs="Arial" w:eastAsia="Arial" w:hAnsi="Arial"/>
          <w:sz w:val="15"/>
          <w:szCs w:val="15"/>
          <w:i w:val="1"/>
          <w:iCs w:val="1"/>
          <w:color w:val="auto"/>
        </w:rPr>
        <w:t>Additional Documents</w:t>
      </w:r>
      <w:r>
        <w:rPr>
          <w:rFonts w:ascii="Arial" w:cs="Arial" w:eastAsia="Arial" w:hAnsi="Arial"/>
          <w:sz w:val="15"/>
          <w:szCs w:val="15"/>
          <w:color w:val="auto"/>
        </w:rPr>
        <w:t>. At the Closing Time and at each Date of Delivery (if any) counsel for the Underwriters shall have been furnished with</w:t>
      </w:r>
      <w:r>
        <w:rPr>
          <w:rFonts w:ascii="Arial" w:cs="Arial" w:eastAsia="Arial" w:hAnsi="Arial"/>
          <w:sz w:val="15"/>
          <w:szCs w:val="15"/>
          <w:i w:val="1"/>
          <w:iCs w:val="1"/>
          <w:color w:val="auto"/>
        </w:rPr>
        <w:t xml:space="preserve"> </w:t>
      </w:r>
      <w:r>
        <w:rPr>
          <w:rFonts w:ascii="Arial" w:cs="Arial" w:eastAsia="Arial" w:hAnsi="Arial"/>
          <w:sz w:val="15"/>
          <w:szCs w:val="15"/>
          <w:color w:val="auto"/>
        </w:rPr>
        <w:t>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51" w:lineRule="exact"/>
        <w:rPr>
          <w:rFonts w:ascii="Arial" w:cs="Arial" w:eastAsia="Arial" w:hAnsi="Arial"/>
          <w:sz w:val="15"/>
          <w:szCs w:val="15"/>
          <w:color w:val="auto"/>
        </w:rPr>
      </w:pPr>
    </w:p>
    <w:p>
      <w:pPr>
        <w:ind w:left="-20" w:firstLine="412"/>
        <w:spacing w:after="0" w:line="250" w:lineRule="auto"/>
        <w:tabs>
          <w:tab w:leader="none" w:pos="673"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any condition specified in this Section shall not have been fulfilled when and as required to be fulfilled,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06" w:lineRule="exact"/>
        <w:rPr>
          <w:sz w:val="20"/>
          <w:szCs w:val="20"/>
          <w:color w:val="auto"/>
        </w:rPr>
      </w:pPr>
    </w:p>
    <w:p>
      <w:pPr>
        <w:jc w:val="both"/>
        <w:ind w:left="-20" w:right="20" w:firstLine="412"/>
        <w:spacing w:after="0" w:line="257" w:lineRule="auto"/>
        <w:tabs>
          <w:tab w:leader="none" w:pos="617"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Indemnification of Underwriters</w:t>
      </w:r>
      <w:r>
        <w:rPr>
          <w:rFonts w:ascii="Arial" w:cs="Arial" w:eastAsia="Arial" w:hAnsi="Arial"/>
          <w:sz w:val="17"/>
          <w:szCs w:val="17"/>
          <w:color w:val="auto"/>
        </w:rPr>
        <w:t>. The Company agrees to indemnify and hold harmless each Underwriter, its affiliates (as such term is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in Rule 501(b) under the 1933 Act (each, an “Affiliate”)), its selling agents and each person, if any, who controls any Underwriter within the meaning of Section 15 of the 1933 Act or Section 20 of the 1934 Act as follows:</w:t>
      </w:r>
    </w:p>
    <w:p>
      <w:pPr>
        <w:spacing w:after="0" w:line="74" w:lineRule="exact"/>
        <w:rPr>
          <w:rFonts w:ascii="Arial" w:cs="Arial" w:eastAsia="Arial" w:hAnsi="Arial"/>
          <w:sz w:val="17"/>
          <w:szCs w:val="17"/>
          <w:color w:val="auto"/>
        </w:rPr>
      </w:pPr>
    </w:p>
    <w:p>
      <w:pPr>
        <w:ind w:left="400" w:right="140" w:firstLine="385"/>
        <w:spacing w:after="0" w:line="298" w:lineRule="auto"/>
        <w:tabs>
          <w:tab w:leader="none" w:pos="993" w:val="left"/>
        </w:tabs>
        <w:numPr>
          <w:ilvl w:val="1"/>
          <w:numId w:val="184"/>
        </w:numPr>
        <w:rPr>
          <w:rFonts w:ascii="Arial" w:cs="Arial" w:eastAsia="Arial" w:hAnsi="Arial"/>
          <w:sz w:val="15"/>
          <w:szCs w:val="15"/>
          <w:color w:val="auto"/>
        </w:rPr>
      </w:pPr>
      <w:r>
        <w:rPr>
          <w:rFonts w:ascii="Arial" w:cs="Arial" w:eastAsia="Arial" w:hAnsi="Arial"/>
          <w:sz w:val="15"/>
          <w:szCs w:val="15"/>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00"/>
          </w:cols>
          <w:pgMar w:left="840" w:top="265" w:right="859" w:bottom="1440" w:gutter="0" w:footer="0" w:header="0"/>
        </w:sectPr>
      </w:pPr>
    </w:p>
    <w:bookmarkStart w:id="257" w:name="page258"/>
    <w:bookmarkEnd w:id="257"/>
    <w:p>
      <w:pPr>
        <w:ind w:left="420" w:right="40"/>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any preliminary prospectus, Issuer Free Writing Prospectus, any Written Testing-the-Waters Communication, Prospectus or in any Marketing Materials of a material fact necessary in order to make the statements therein, in the light of the circumstances under which they were made, not misleading;</w:t>
      </w:r>
    </w:p>
    <w:p>
      <w:pPr>
        <w:spacing w:after="0" w:line="55" w:lineRule="exact"/>
        <w:rPr>
          <w:sz w:val="20"/>
          <w:szCs w:val="20"/>
          <w:color w:val="auto"/>
        </w:rPr>
      </w:pPr>
    </w:p>
    <w:p>
      <w:pPr>
        <w:ind w:left="420" w:right="220" w:firstLine="385"/>
        <w:spacing w:after="0" w:line="274" w:lineRule="auto"/>
        <w:tabs>
          <w:tab w:leader="none" w:pos="10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63" w:lineRule="exact"/>
        <w:rPr>
          <w:rFonts w:ascii="Arial" w:cs="Arial" w:eastAsia="Arial" w:hAnsi="Arial"/>
          <w:sz w:val="16"/>
          <w:szCs w:val="16"/>
          <w:color w:val="auto"/>
        </w:rPr>
      </w:pPr>
    </w:p>
    <w:p>
      <w:pPr>
        <w:ind w:left="420" w:right="20" w:firstLine="385"/>
        <w:spacing w:after="0" w:line="274" w:lineRule="auto"/>
        <w:tabs>
          <w:tab w:leader="none" w:pos="110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6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80" w:lineRule="exact"/>
        <w:rPr>
          <w:sz w:val="20"/>
          <w:szCs w:val="20"/>
          <w:color w:val="auto"/>
        </w:rPr>
      </w:pPr>
    </w:p>
    <w:p>
      <w:pPr>
        <w:ind w:right="80" w:firstLine="412"/>
        <w:spacing w:after="0" w:line="290" w:lineRule="auto"/>
        <w:tabs>
          <w:tab w:leader="none" w:pos="646" w:val="left"/>
        </w:tabs>
        <w:numPr>
          <w:ilvl w:val="0"/>
          <w:numId w:val="186"/>
        </w:numPr>
        <w:rPr>
          <w:rFonts w:ascii="Arial" w:cs="Arial" w:eastAsia="Arial" w:hAnsi="Arial"/>
          <w:sz w:val="15"/>
          <w:szCs w:val="15"/>
          <w:color w:val="auto"/>
        </w:rPr>
      </w:pPr>
      <w:r>
        <w:rPr>
          <w:rFonts w:ascii="Arial" w:cs="Arial" w:eastAsia="Arial" w:hAnsi="Arial"/>
          <w:sz w:val="15"/>
          <w:szCs w:val="15"/>
          <w:i w:val="1"/>
          <w:iCs w:val="1"/>
          <w:color w:val="auto"/>
        </w:rPr>
        <w:t>Indemnification of Company, Directors and Officers</w:t>
      </w:r>
      <w:r>
        <w:rPr>
          <w:rFonts w:ascii="Arial" w:cs="Arial" w:eastAsia="Arial" w:hAnsi="Arial"/>
          <w:sz w:val="15"/>
          <w:szCs w:val="15"/>
          <w:color w:val="auto"/>
        </w:rPr>
        <w:t>. Each Underwriter, severally and not jointly, agrees to indemnify and hold harmless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54" w:lineRule="exact"/>
        <w:rPr>
          <w:rFonts w:ascii="Arial" w:cs="Arial" w:eastAsia="Arial" w:hAnsi="Arial"/>
          <w:sz w:val="15"/>
          <w:szCs w:val="15"/>
          <w:color w:val="auto"/>
        </w:rPr>
      </w:pPr>
    </w:p>
    <w:p>
      <w:pPr>
        <w:ind w:firstLine="412"/>
        <w:spacing w:after="0" w:line="267" w:lineRule="auto"/>
        <w:tabs>
          <w:tab w:leader="none" w:pos="637"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40"/>
          </w:cols>
          <w:pgMar w:left="820" w:top="265" w:right="839" w:bottom="1440" w:gutter="0" w:footer="0" w:header="0"/>
        </w:sectPr>
      </w:pPr>
    </w:p>
    <w:bookmarkStart w:id="258" w:name="page259"/>
    <w:bookmarkEnd w:id="258"/>
    <w:p>
      <w:pPr>
        <w:ind w:right="10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57" w:lineRule="exact"/>
        <w:rPr>
          <w:sz w:val="20"/>
          <w:szCs w:val="20"/>
          <w:color w:val="auto"/>
        </w:rPr>
      </w:pPr>
    </w:p>
    <w:p>
      <w:pPr>
        <w:ind w:firstLine="412"/>
        <w:spacing w:after="0" w:line="250" w:lineRule="auto"/>
        <w:tabs>
          <w:tab w:leader="none" w:pos="646"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Settlement without Consent if Failure to Reimburse</w:t>
      </w:r>
      <w:r>
        <w:rPr>
          <w:rFonts w:ascii="Arial" w:cs="Arial" w:eastAsia="Arial" w:hAnsi="Arial"/>
          <w:sz w:val="17"/>
          <w:szCs w:val="17"/>
          <w:color w:val="auto"/>
        </w:rPr>
        <w:t>. If at any time an indemnified party shall have requested an indemnifying party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right="60" w:firstLine="409"/>
        <w:spacing w:after="0" w:line="26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70" w:lineRule="exact"/>
        <w:rPr>
          <w:sz w:val="20"/>
          <w:szCs w:val="20"/>
          <w:color w:val="auto"/>
        </w:rPr>
      </w:pPr>
    </w:p>
    <w:p>
      <w:pPr>
        <w:ind w:right="240" w:firstLine="409"/>
        <w:spacing w:after="0" w:line="271" w:lineRule="auto"/>
        <w:rPr>
          <w:sz w:val="20"/>
          <w:szCs w:val="20"/>
          <w:color w:val="auto"/>
        </w:rPr>
      </w:pPr>
      <w:r>
        <w:rPr>
          <w:rFonts w:ascii="Arial" w:cs="Arial" w:eastAsia="Arial" w:hAnsi="Arial"/>
          <w:sz w:val="16"/>
          <w:szCs w:val="16"/>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66" w:lineRule="exact"/>
        <w:rPr>
          <w:sz w:val="20"/>
          <w:szCs w:val="20"/>
          <w:color w:val="auto"/>
        </w:rPr>
      </w:pPr>
    </w:p>
    <w:p>
      <w:pPr>
        <w:ind w:right="320" w:firstLine="409"/>
        <w:spacing w:after="0" w:line="253" w:lineRule="auto"/>
        <w:rPr>
          <w:sz w:val="20"/>
          <w:szCs w:val="20"/>
          <w:color w:val="auto"/>
        </w:rPr>
      </w:pPr>
      <w:r>
        <w:rPr>
          <w:rFonts w:ascii="Arial" w:cs="Arial" w:eastAsia="Arial" w:hAnsi="Arial"/>
          <w:sz w:val="17"/>
          <w:szCs w:val="17"/>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40"/>
          </w:cols>
          <w:pgMar w:left="820" w:top="265" w:right="839" w:bottom="1440" w:gutter="0" w:footer="0" w:header="0"/>
        </w:sectPr>
      </w:pPr>
    </w:p>
    <w:bookmarkStart w:id="259" w:name="page260"/>
    <w:bookmarkEnd w:id="259"/>
    <w:p>
      <w:pPr>
        <w:ind w:right="40" w:firstLine="409"/>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55" w:lineRule="exact"/>
        <w:rPr>
          <w:sz w:val="20"/>
          <w:szCs w:val="20"/>
          <w:color w:val="auto"/>
        </w:rPr>
      </w:pPr>
    </w:p>
    <w:p>
      <w:pPr>
        <w:ind w:right="620" w:firstLine="409"/>
        <w:spacing w:after="0" w:line="299" w:lineRule="auto"/>
        <w:rPr>
          <w:sz w:val="20"/>
          <w:szCs w:val="20"/>
          <w:color w:val="auto"/>
        </w:rPr>
      </w:pPr>
      <w:r>
        <w:rPr>
          <w:rFonts w:ascii="Arial" w:cs="Arial" w:eastAsia="Arial" w:hAnsi="Arial"/>
          <w:sz w:val="16"/>
          <w:szCs w:val="16"/>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44" w:lineRule="exact"/>
        <w:rPr>
          <w:sz w:val="20"/>
          <w:szCs w:val="20"/>
          <w:color w:val="auto"/>
        </w:rPr>
      </w:pPr>
    </w:p>
    <w:p>
      <w:pPr>
        <w:ind w:right="160" w:firstLine="409"/>
        <w:spacing w:after="0" w:line="268" w:lineRule="auto"/>
        <w:rPr>
          <w:sz w:val="20"/>
          <w:szCs w:val="20"/>
          <w:color w:val="auto"/>
        </w:rPr>
      </w:pPr>
      <w:r>
        <w:rPr>
          <w:rFonts w:ascii="Arial" w:cs="Arial" w:eastAsia="Arial" w:hAnsi="Arial"/>
          <w:sz w:val="17"/>
          <w:szCs w:val="17"/>
          <w:color w:val="auto"/>
        </w:rPr>
        <w:t>No person guilty of fraudulent misrepresentation (within the meaning of Section 11(f) of the 1933 Act) shall be entitled to contribution from any person who was not guilty of such fraudulent misrepresentation.</w:t>
      </w:r>
    </w:p>
    <w:p>
      <w:pPr>
        <w:spacing w:after="0" w:line="166" w:lineRule="exact"/>
        <w:rPr>
          <w:sz w:val="20"/>
          <w:szCs w:val="20"/>
          <w:color w:val="auto"/>
        </w:rPr>
      </w:pPr>
    </w:p>
    <w:p>
      <w:pPr>
        <w:ind w:firstLine="409"/>
        <w:spacing w:after="0" w:line="250" w:lineRule="auto"/>
        <w:rPr>
          <w:sz w:val="20"/>
          <w:szCs w:val="20"/>
          <w:color w:val="auto"/>
        </w:rPr>
      </w:pPr>
      <w:r>
        <w:rPr>
          <w:rFonts w:ascii="Arial" w:cs="Arial" w:eastAsia="Arial" w:hAnsi="Arial"/>
          <w:sz w:val="17"/>
          <w:szCs w:val="17"/>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84" w:lineRule="exact"/>
        <w:rPr>
          <w:sz w:val="20"/>
          <w:szCs w:val="20"/>
          <w:color w:val="auto"/>
        </w:rPr>
      </w:pPr>
    </w:p>
    <w:p>
      <w:pPr>
        <w:ind w:right="20" w:firstLine="409"/>
        <w:spacing w:after="0" w:line="27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Representations, Warranties and Agreements to Survive</w:t>
      </w:r>
      <w:r>
        <w:rPr>
          <w:rFonts w:ascii="Arial" w:cs="Arial" w:eastAsia="Arial" w:hAnsi="Arial"/>
          <w:sz w:val="16"/>
          <w:szCs w:val="16"/>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Termination of Agreement</w:t>
      </w:r>
      <w:r>
        <w:rPr>
          <w:rFonts w:ascii="Arial" w:cs="Arial" w:eastAsia="Arial" w:hAnsi="Arial"/>
          <w:sz w:val="17"/>
          <w:szCs w:val="17"/>
          <w:color w:val="auto"/>
        </w:rPr>
        <w:t>.</w:t>
      </w:r>
    </w:p>
    <w:p>
      <w:pPr>
        <w:spacing w:after="0" w:line="106" w:lineRule="exact"/>
        <w:rPr>
          <w:sz w:val="20"/>
          <w:szCs w:val="20"/>
          <w:color w:val="auto"/>
        </w:rPr>
      </w:pPr>
    </w:p>
    <w:p>
      <w:pPr>
        <w:ind w:right="20" w:firstLine="412"/>
        <w:spacing w:after="0" w:line="283" w:lineRule="auto"/>
        <w:tabs>
          <w:tab w:leader="none" w:pos="637" w:val="left"/>
        </w:tabs>
        <w:numPr>
          <w:ilvl w:val="0"/>
          <w:numId w:val="188"/>
        </w:numPr>
        <w:rPr>
          <w:rFonts w:ascii="Arial" w:cs="Arial" w:eastAsia="Arial" w:hAnsi="Arial"/>
          <w:sz w:val="15"/>
          <w:szCs w:val="15"/>
          <w:color w:val="auto"/>
        </w:rPr>
      </w:pPr>
      <w:r>
        <w:rPr>
          <w:rFonts w:ascii="Arial" w:cs="Arial" w:eastAsia="Arial" w:hAnsi="Arial"/>
          <w:sz w:val="15"/>
          <w:szCs w:val="15"/>
          <w:i w:val="1"/>
          <w:iCs w:val="1"/>
          <w:color w:val="auto"/>
        </w:rPr>
        <w:t>Termination</w:t>
      </w:r>
      <w:r>
        <w:rPr>
          <w:rFonts w:ascii="Arial" w:cs="Arial" w:eastAsia="Arial" w:hAnsi="Arial"/>
          <w:sz w:val="15"/>
          <w:szCs w:val="15"/>
          <w:color w:val="auto"/>
        </w:rPr>
        <w:t>. The Representatives may terminate this Agreement, by notice to the Company, at any time at or prior to the Closing Time (i) if</w:t>
      </w:r>
      <w:r>
        <w:rPr>
          <w:rFonts w:ascii="Arial" w:cs="Arial" w:eastAsia="Arial" w:hAnsi="Arial"/>
          <w:sz w:val="15"/>
          <w:szCs w:val="15"/>
          <w:i w:val="1"/>
          <w:iCs w:val="1"/>
          <w:color w:val="auto"/>
        </w:rPr>
        <w:t xml:space="preserve"> </w:t>
      </w:r>
      <w:r>
        <w:rPr>
          <w:rFonts w:ascii="Arial" w:cs="Arial" w:eastAsia="Arial" w:hAnsi="Arial"/>
          <w:sz w:val="15"/>
          <w:szCs w:val="15"/>
          <w:color w:val="auto"/>
        </w:rPr>
        <w:t>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240"/>
          </w:cols>
          <w:pgMar w:left="820" w:top="265" w:right="839" w:bottom="1440" w:gutter="0" w:footer="0" w:header="0"/>
        </w:sectPr>
      </w:pPr>
    </w:p>
    <w:bookmarkStart w:id="260" w:name="page261"/>
    <w:bookmarkEnd w:id="260"/>
    <w:p>
      <w:pPr>
        <w:ind w:right="20" w:firstLine="412"/>
        <w:spacing w:after="0" w:line="257" w:lineRule="auto"/>
        <w:tabs>
          <w:tab w:leader="none" w:pos="646"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Liabilities</w:t>
      </w:r>
      <w:r>
        <w:rPr>
          <w:rFonts w:ascii="Arial" w:cs="Arial" w:eastAsia="Arial" w:hAnsi="Arial"/>
          <w:sz w:val="17"/>
          <w:szCs w:val="17"/>
          <w:color w:val="auto"/>
        </w:rPr>
        <w:t>. If this Agreement is terminated pursuant to this Section, such termination shall be without liability of any party to any other party</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provided in Section 4 hereof, and provided further that Sections 1, 6, 7, 8, 14, 15 and 16 shall survive such termination and remain in full force and effect.</w:t>
      </w:r>
    </w:p>
    <w:p>
      <w:pPr>
        <w:spacing w:after="0" w:line="175" w:lineRule="exact"/>
        <w:rPr>
          <w:sz w:val="20"/>
          <w:szCs w:val="20"/>
          <w:color w:val="auto"/>
        </w:rPr>
      </w:pPr>
    </w:p>
    <w:p>
      <w:pPr>
        <w:ind w:right="20" w:firstLine="409"/>
        <w:spacing w:after="0" w:line="293"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Default by One or More of the Underwriters</w:t>
      </w:r>
      <w:r>
        <w:rPr>
          <w:rFonts w:ascii="Arial" w:cs="Arial" w:eastAsia="Arial" w:hAnsi="Arial"/>
          <w:sz w:val="15"/>
          <w:szCs w:val="15"/>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reasonably satisfactory to the Company,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52" w:lineRule="exact"/>
        <w:rPr>
          <w:sz w:val="20"/>
          <w:szCs w:val="20"/>
          <w:color w:val="auto"/>
        </w:rPr>
      </w:pPr>
    </w:p>
    <w:p>
      <w:pPr>
        <w:ind w:left="420" w:right="640" w:firstLine="385"/>
        <w:spacing w:after="0" w:line="307" w:lineRule="auto"/>
        <w:tabs>
          <w:tab w:leader="none" w:pos="1013" w:val="left"/>
        </w:tabs>
        <w:numPr>
          <w:ilvl w:val="0"/>
          <w:numId w:val="190"/>
        </w:numPr>
        <w:rPr>
          <w:rFonts w:ascii="Arial" w:cs="Arial" w:eastAsia="Arial" w:hAnsi="Arial"/>
          <w:sz w:val="15"/>
          <w:szCs w:val="15"/>
          <w:color w:val="auto"/>
        </w:rPr>
      </w:pPr>
      <w:r>
        <w:rPr>
          <w:rFonts w:ascii="Arial" w:cs="Arial" w:eastAsia="Arial" w:hAnsi="Arial"/>
          <w:sz w:val="15"/>
          <w:szCs w:val="15"/>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41" w:lineRule="exact"/>
        <w:rPr>
          <w:rFonts w:ascii="Arial" w:cs="Arial" w:eastAsia="Arial" w:hAnsi="Arial"/>
          <w:sz w:val="15"/>
          <w:szCs w:val="15"/>
          <w:color w:val="auto"/>
        </w:rPr>
      </w:pPr>
    </w:p>
    <w:p>
      <w:pPr>
        <w:ind w:left="420" w:right="100" w:firstLine="385"/>
        <w:spacing w:after="0" w:line="253" w:lineRule="auto"/>
        <w:tabs>
          <w:tab w:leader="none" w:pos="10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 action taken pursuant to this Section shall relieve any defaulting Underwriter from liability in respect of its default.</w:t>
      </w:r>
    </w:p>
    <w:p>
      <w:pPr>
        <w:spacing w:after="0" w:line="206" w:lineRule="exact"/>
        <w:rPr>
          <w:sz w:val="20"/>
          <w:szCs w:val="20"/>
          <w:color w:val="auto"/>
        </w:rPr>
      </w:pPr>
    </w:p>
    <w:p>
      <w:pPr>
        <w:ind w:right="240" w:firstLine="409"/>
        <w:spacing w:after="0" w:line="269" w:lineRule="auto"/>
        <w:rPr>
          <w:sz w:val="20"/>
          <w:szCs w:val="20"/>
          <w:color w:val="auto"/>
        </w:rPr>
      </w:pPr>
      <w:r>
        <w:rPr>
          <w:rFonts w:ascii="Arial" w:cs="Arial" w:eastAsia="Arial" w:hAnsi="Arial"/>
          <w:sz w:val="16"/>
          <w:szCs w:val="16"/>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69" w:lineRule="exact"/>
        <w:rPr>
          <w:sz w:val="20"/>
          <w:szCs w:val="20"/>
          <w:color w:val="auto"/>
        </w:rPr>
      </w:pPr>
    </w:p>
    <w:p>
      <w:pPr>
        <w:ind w:firstLine="409"/>
        <w:spacing w:after="0" w:line="24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to have been duly given if mailed or transmitted by any standard form of telecommunication. Notices to the Underwriters shall be directed to BofAS at One Bryant Park, New York, New York 10036, attention of Syndicate Department (facsimile: (646) 855-3073), with a copy to ECM Legal (facsimile: (212) 230-8730), to Jefferies at 520 Madison Avenue, New York, New York 10022, attention of General Counsel (facsimile: (646) 619-4437), to William Blair at 150 North Riverside Plaza, Chicago, IL 60606, attention of General Counsel, (facsimile: (312) 551-4646) and to Shearman &amp; Sterling LLP, 599 Lexington Avenue, New York, New York 10013, attention of Ilir Mujalovic; notices to the Company shall be directed to it at 480 Arsenal Street, Watertown, Massachusetts 02472, attention of Chief Financial Officer; with a copy to Latham &amp; Watkins LLP at 200 Clarendon Street, Boston, Massachusetts, attention of Peter Handrinos and Wesley Holmes.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40"/>
          </w:cols>
          <w:pgMar w:left="820" w:top="265" w:right="839" w:bottom="1440" w:gutter="0" w:footer="0" w:header="0"/>
        </w:sectPr>
      </w:pPr>
    </w:p>
    <w:bookmarkStart w:id="261" w:name="page262"/>
    <w:bookmarkEnd w:id="261"/>
    <w:p>
      <w:pPr>
        <w:ind w:right="100" w:firstLine="409"/>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SECTION 12. </w:t>
      </w:r>
      <w:r>
        <w:rPr>
          <w:rFonts w:ascii="Arial" w:cs="Arial" w:eastAsia="Arial" w:hAnsi="Arial"/>
          <w:sz w:val="15"/>
          <w:szCs w:val="15"/>
          <w:u w:val="single" w:color="auto"/>
          <w:color w:val="auto"/>
        </w:rPr>
        <w:t>No Advisory or Fiduciary Relationship</w:t>
      </w:r>
      <w:r>
        <w:rPr>
          <w:rFonts w:ascii="Arial" w:cs="Arial" w:eastAsia="Arial" w:hAnsi="Arial"/>
          <w:sz w:val="15"/>
          <w:szCs w:val="15"/>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Recognition of the U.S. Special Resolution Regimes</w:t>
      </w:r>
      <w:r>
        <w:rPr>
          <w:rFonts w:ascii="Arial" w:cs="Arial" w:eastAsia="Arial" w:hAnsi="Arial"/>
          <w:sz w:val="17"/>
          <w:szCs w:val="17"/>
          <w:color w:val="auto"/>
        </w:rPr>
        <w:t>.</w:t>
      </w:r>
    </w:p>
    <w:p>
      <w:pPr>
        <w:spacing w:after="0" w:line="106" w:lineRule="exact"/>
        <w:rPr>
          <w:sz w:val="20"/>
          <w:szCs w:val="20"/>
          <w:color w:val="auto"/>
        </w:rPr>
      </w:pPr>
    </w:p>
    <w:p>
      <w:pPr>
        <w:ind w:right="60" w:firstLine="412"/>
        <w:spacing w:after="0" w:line="253" w:lineRule="auto"/>
        <w:tabs>
          <w:tab w:leader="none" w:pos="63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9" w:lineRule="exact"/>
        <w:rPr>
          <w:rFonts w:ascii="Arial" w:cs="Arial" w:eastAsia="Arial" w:hAnsi="Arial"/>
          <w:sz w:val="17"/>
          <w:szCs w:val="17"/>
          <w:color w:val="auto"/>
        </w:rPr>
      </w:pPr>
    </w:p>
    <w:p>
      <w:pPr>
        <w:ind w:right="20" w:firstLine="412"/>
        <w:spacing w:after="0" w:line="253" w:lineRule="auto"/>
        <w:tabs>
          <w:tab w:leader="none" w:pos="64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b w:val="1"/>
          <w:bCs w:val="1"/>
          <w:color w:val="auto"/>
        </w:rPr>
        <w:t>“</w:t>
      </w:r>
      <w:r>
        <w:rPr>
          <w:rFonts w:ascii="Arial" w:cs="Arial" w:eastAsia="Arial" w:hAnsi="Arial"/>
          <w:sz w:val="16"/>
          <w:szCs w:val="16"/>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9" w:lineRule="exact"/>
        <w:rPr>
          <w:sz w:val="20"/>
          <w:szCs w:val="20"/>
          <w:color w:val="auto"/>
        </w:rPr>
      </w:pPr>
    </w:p>
    <w:p>
      <w:pPr>
        <w:ind w:right="40" w:firstLine="409"/>
        <w:spacing w:after="0" w:line="253"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40"/>
          </w:cols>
          <w:pgMar w:left="820" w:top="265" w:right="839" w:bottom="1440" w:gutter="0" w:footer="0" w:header="0"/>
        </w:sectPr>
      </w:pPr>
    </w:p>
    <w:bookmarkStart w:id="262" w:name="page263"/>
    <w:bookmarkEnd w:id="262"/>
    <w:p>
      <w:pPr>
        <w:ind w:right="26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48" w:lineRule="exact"/>
        <w:rPr>
          <w:sz w:val="20"/>
          <w:szCs w:val="20"/>
          <w:color w:val="auto"/>
        </w:rPr>
      </w:pPr>
    </w:p>
    <w:p>
      <w:pPr>
        <w:ind w:right="200" w:firstLine="409"/>
        <w:spacing w:after="0" w:line="280"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Trial by Jury</w:t>
      </w:r>
      <w:r>
        <w:rPr>
          <w:rFonts w:ascii="Arial" w:cs="Arial" w:eastAsia="Arial" w:hAnsi="Arial"/>
          <w:sz w:val="16"/>
          <w:szCs w:val="16"/>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9"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5" w:lineRule="exact"/>
        <w:rPr>
          <w:sz w:val="20"/>
          <w:szCs w:val="20"/>
          <w:color w:val="auto"/>
        </w:rPr>
      </w:pPr>
    </w:p>
    <w:p>
      <w:pPr>
        <w:ind w:right="40" w:firstLine="409"/>
        <w:spacing w:after="0" w:line="286" w:lineRule="auto"/>
        <w:rPr>
          <w:sz w:val="20"/>
          <w:szCs w:val="20"/>
          <w:color w:val="auto"/>
        </w:rPr>
      </w:pPr>
      <w:r>
        <w:rPr>
          <w:rFonts w:ascii="Arial" w:cs="Arial" w:eastAsia="Arial" w:hAnsi="Arial"/>
          <w:sz w:val="15"/>
          <w:szCs w:val="15"/>
          <w:color w:val="auto"/>
        </w:rPr>
        <w:t xml:space="preserve">SECTION 17. </w:t>
      </w:r>
      <w:r>
        <w:rPr>
          <w:rFonts w:ascii="Arial" w:cs="Arial" w:eastAsia="Arial" w:hAnsi="Arial"/>
          <w:sz w:val="15"/>
          <w:szCs w:val="15"/>
          <w:u w:val="single" w:color="auto"/>
          <w:color w:val="auto"/>
        </w:rPr>
        <w:t>Consent to Jurisdiction; Waiver of Immunity</w:t>
      </w:r>
      <w:r>
        <w:rPr>
          <w:rFonts w:ascii="Arial" w:cs="Arial" w:eastAsia="Arial" w:hAnsi="Arial"/>
          <w:sz w:val="15"/>
          <w:szCs w:val="15"/>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59" w:lineRule="exact"/>
        <w:rPr>
          <w:sz w:val="20"/>
          <w:szCs w:val="20"/>
          <w:color w:val="auto"/>
        </w:rPr>
      </w:pPr>
    </w:p>
    <w:p>
      <w:pPr>
        <w:ind w:right="380" w:firstLine="409"/>
        <w:spacing w:after="0" w:line="268"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TIME</w:t>
      </w:r>
      <w:r>
        <w:rPr>
          <w:rFonts w:ascii="Arial" w:cs="Arial" w:eastAsia="Arial" w:hAnsi="Arial"/>
          <w:sz w:val="17"/>
          <w:szCs w:val="17"/>
          <w:color w:val="auto"/>
        </w:rPr>
        <w:t>. TIME SHALL BE OF THE ESSENCE OF THIS AGREEMENT. EXCEPT AS OTHERWISE SET FORTH HEREIN, SPECIFIED TIMES OF DAY REFER TO NEW YORK CITY TIME.</w:t>
      </w:r>
    </w:p>
    <w:p>
      <w:pPr>
        <w:spacing w:after="0" w:line="166" w:lineRule="exact"/>
        <w:rPr>
          <w:sz w:val="20"/>
          <w:szCs w:val="20"/>
          <w:color w:val="auto"/>
        </w:rPr>
      </w:pPr>
    </w:p>
    <w:p>
      <w:pPr>
        <w:ind w:firstLine="409"/>
        <w:spacing w:after="0" w:line="271"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155"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240"/>
          </w:cols>
          <w:pgMar w:left="820" w:top="265" w:right="839" w:bottom="1440" w:gutter="0" w:footer="0" w:header="0"/>
        </w:sectPr>
      </w:pPr>
    </w:p>
    <w:bookmarkStart w:id="263" w:name="page264"/>
    <w:bookmarkEnd w:id="263"/>
    <w:p>
      <w:pPr>
        <w:ind w:firstLine="40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Very truly yours,</w:t>
      </w:r>
    </w:p>
    <w:p>
      <w:pPr>
        <w:spacing w:after="0" w:line="20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LYRA THERAPEUTICS, INC.</w:t>
      </w:r>
    </w:p>
    <w:p>
      <w:pPr>
        <w:spacing w:after="0" w:line="20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11430</wp:posOffset>
            </wp:positionV>
            <wp:extent cx="24390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2439035" cy="8255"/>
                    </a:xfrm>
                    <a:prstGeom prst="rect">
                      <a:avLst/>
                    </a:prstGeom>
                    <a:noFill/>
                  </pic:spPr>
                </pic:pic>
              </a:graphicData>
            </a:graphic>
          </wp:anchor>
        </w:drawing>
      </w:r>
    </w:p>
    <w:p>
      <w:pPr>
        <w:spacing w:after="0" w:line="1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w:t>
      </w:r>
    </w:p>
    <w:p>
      <w:pPr>
        <w:spacing w:after="0" w:line="231" w:lineRule="exact"/>
        <w:rPr>
          <w:sz w:val="20"/>
          <w:szCs w:val="20"/>
          <w:color w:val="auto"/>
        </w:rPr>
      </w:pPr>
    </w:p>
    <w:p>
      <w:pPr>
        <w:jc w:val="right"/>
        <w:ind w:right="7820"/>
        <w:spacing w:after="0"/>
        <w:rPr>
          <w:sz w:val="20"/>
          <w:szCs w:val="20"/>
          <w:color w:val="auto"/>
        </w:rPr>
      </w:pPr>
      <w:r>
        <w:rPr>
          <w:rFonts w:ascii="Arial" w:cs="Arial" w:eastAsia="Arial" w:hAnsi="Arial"/>
          <w:sz w:val="16"/>
          <w:szCs w:val="16"/>
          <w:color w:val="auto"/>
        </w:rPr>
        <w:t>CONFIRMED AND ACCEPTED,</w:t>
      </w:r>
    </w:p>
    <w:p>
      <w:pPr>
        <w:spacing w:after="0" w:line="29" w:lineRule="exact"/>
        <w:rPr>
          <w:sz w:val="20"/>
          <w:szCs w:val="20"/>
          <w:color w:val="auto"/>
        </w:rPr>
      </w:pPr>
    </w:p>
    <w:p>
      <w:pPr>
        <w:jc w:val="right"/>
        <w:ind w:right="7780"/>
        <w:spacing w:after="0"/>
        <w:rPr>
          <w:sz w:val="20"/>
          <w:szCs w:val="20"/>
          <w:color w:val="auto"/>
        </w:rPr>
      </w:pPr>
      <w:r>
        <w:rPr>
          <w:rFonts w:ascii="Arial" w:cs="Arial" w:eastAsia="Arial" w:hAnsi="Arial"/>
          <w:sz w:val="16"/>
          <w:szCs w:val="16"/>
          <w:color w:val="auto"/>
        </w:rPr>
        <w:t>as of the date first above written: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BOFA SECURITIES, INC.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wp:posOffset>
            </wp:positionV>
            <wp:extent cx="24149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Authorized Signatory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wp:posOffset>
            </wp:positionV>
            <wp:extent cx="24149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Authorized Signatory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wp:posOffset>
            </wp:positionV>
            <wp:extent cx="24149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Authorized Signatory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as Representatives of the other Underwriters named in Schedule A hereto.</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10160"/>
          </w:cols>
          <w:pgMar w:left="820" w:top="265" w:right="919" w:bottom="1440" w:gutter="0" w:footer="0" w:header="0"/>
        </w:sectPr>
      </w:pPr>
    </w:p>
    <w:bookmarkStart w:id="264" w:name="page265"/>
    <w:bookmarkEnd w:id="264"/>
    <w:p>
      <w:pPr>
        <w:ind w:left="4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initial public offering price per share for the Securities shall be $[●].</w:t>
      </w:r>
    </w:p>
    <w:p>
      <w:pPr>
        <w:spacing w:after="0" w:line="206"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The purchase price per share for the Securities to be paid by the several Underwriters shall be $[●], being an amount equal to the initial public offering price set forth above less $[●] per share, subject to adjustment in accordance with Section 2(b) for dividends or distributions declared by the Company and payable on the Initial Securities but not payable on the Option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 of Underwriter</w:t>
            </w:r>
          </w:p>
        </w:tc>
        <w:tc>
          <w:tcPr>
            <w:tcW w:w="2340" w:type="dxa"/>
            <w:vAlign w:val="bottom"/>
            <w:vMerge w:val="restart"/>
          </w:tcPr>
          <w:p>
            <w:pPr>
              <w:spacing w:after="0"/>
              <w:rPr>
                <w:sz w:val="13"/>
                <w:szCs w:val="13"/>
                <w:color w:val="auto"/>
              </w:rPr>
            </w:pPr>
          </w:p>
        </w:tc>
        <w:tc>
          <w:tcPr>
            <w:tcW w:w="568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66"/>
        </w:trPr>
        <w:tc>
          <w:tcPr>
            <w:tcW w:w="1240" w:type="dxa"/>
            <w:vAlign w:val="bottom"/>
            <w:tcBorders>
              <w:bottom w:val="single" w:sz="8" w:color="auto"/>
            </w:tcBorders>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5680" w:type="dxa"/>
            <w:vAlign w:val="bottom"/>
          </w:tcPr>
          <w:p>
            <w:pPr>
              <w:spacing w:after="0"/>
              <w:rPr>
                <w:sz w:val="14"/>
                <w:szCs w:val="14"/>
                <w:color w:val="auto"/>
              </w:rPr>
            </w:pPr>
          </w:p>
        </w:tc>
        <w:tc>
          <w:tcPr>
            <w:tcW w:w="980" w:type="dxa"/>
            <w:vAlign w:val="bottom"/>
            <w:gridSpan w:val="2"/>
          </w:tcPr>
          <w:p>
            <w:pPr>
              <w:jc w:val="right"/>
              <w:ind w:right="40"/>
              <w:spacing w:after="0" w:line="146" w:lineRule="exact"/>
              <w:rPr>
                <w:sz w:val="20"/>
                <w:szCs w:val="20"/>
                <w:color w:val="auto"/>
              </w:rPr>
            </w:pPr>
            <w:r>
              <w:rPr>
                <w:rFonts w:ascii="Arial" w:cs="Arial" w:eastAsia="Arial" w:hAnsi="Arial"/>
                <w:sz w:val="13"/>
                <w:szCs w:val="13"/>
                <w:b w:val="1"/>
                <w:bCs w:val="1"/>
                <w:color w:val="auto"/>
                <w:w w:val="92"/>
              </w:rPr>
              <w:t>Initial Securities</w:t>
            </w:r>
          </w:p>
        </w:tc>
        <w:tc>
          <w:tcPr>
            <w:tcW w:w="0" w:type="dxa"/>
            <w:vAlign w:val="bottom"/>
          </w:tcPr>
          <w:p>
            <w:pPr>
              <w:spacing w:after="0"/>
              <w:rPr>
                <w:sz w:val="1"/>
                <w:szCs w:val="1"/>
                <w:color w:val="auto"/>
              </w:rPr>
            </w:pPr>
          </w:p>
        </w:tc>
      </w:tr>
      <w:tr>
        <w:trPr>
          <w:trHeight w:val="186"/>
        </w:trPr>
        <w:tc>
          <w:tcPr>
            <w:tcW w:w="358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BofA Securities, Inc.</w:t>
            </w:r>
          </w:p>
        </w:tc>
        <w:tc>
          <w:tcPr>
            <w:tcW w:w="56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80" w:type="dxa"/>
            <w:vAlign w:val="bottom"/>
            <w:gridSpan w:val="2"/>
          </w:tcPr>
          <w:p>
            <w:pPr>
              <w:spacing w:after="0"/>
              <w:rPr>
                <w:sz w:val="20"/>
                <w:szCs w:val="20"/>
                <w:color w:val="auto"/>
              </w:rPr>
            </w:pPr>
            <w:r>
              <w:rPr>
                <w:rFonts w:ascii="Arial" w:cs="Arial" w:eastAsia="Arial" w:hAnsi="Arial"/>
                <w:sz w:val="17"/>
                <w:szCs w:val="17"/>
                <w:color w:val="auto"/>
              </w:rPr>
              <w:t>Jefferies LLC</w:t>
            </w:r>
          </w:p>
        </w:tc>
        <w:tc>
          <w:tcPr>
            <w:tcW w:w="56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Blair &amp; Company, L.L.C.</w:t>
            </w:r>
          </w:p>
        </w:tc>
        <w:tc>
          <w:tcPr>
            <w:tcW w:w="56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580" w:type="dxa"/>
            <w:vAlign w:val="bottom"/>
            <w:gridSpan w:val="2"/>
          </w:tcPr>
          <w:p>
            <w:pPr>
              <w:spacing w:after="0"/>
              <w:rPr>
                <w:sz w:val="20"/>
                <w:szCs w:val="20"/>
                <w:color w:val="auto"/>
              </w:rPr>
            </w:pPr>
            <w:r>
              <w:rPr>
                <w:rFonts w:ascii="Arial" w:cs="Arial" w:eastAsia="Arial" w:hAnsi="Arial"/>
                <w:sz w:val="17"/>
                <w:szCs w:val="17"/>
                <w:color w:val="auto"/>
              </w:rPr>
              <w:t>BTIG, LLC</w:t>
            </w:r>
          </w:p>
        </w:tc>
        <w:tc>
          <w:tcPr>
            <w:tcW w:w="56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56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660" w:type="dxa"/>
            <w:vAlign w:val="bottom"/>
            <w:gridSpan w:val="3"/>
          </w:tcPr>
          <w:p>
            <w:pPr>
              <w:ind w:left="1260"/>
              <w:spacing w:after="0"/>
              <w:rPr>
                <w:sz w:val="20"/>
                <w:szCs w:val="20"/>
                <w:color w:val="auto"/>
              </w:rPr>
            </w:pPr>
            <w:r>
              <w:rPr>
                <w:rFonts w:ascii="Arial" w:cs="Arial" w:eastAsia="Arial" w:hAnsi="Arial"/>
                <w:sz w:val="17"/>
                <w:szCs w:val="17"/>
                <w:color w:val="auto"/>
              </w:rPr>
              <w:t>Sch A-1</w:t>
            </w:r>
          </w:p>
        </w:tc>
        <w:tc>
          <w:tcPr>
            <w:tcW w:w="0" w:type="dxa"/>
            <w:vAlign w:val="bottom"/>
          </w:tcPr>
          <w:p>
            <w:pPr>
              <w:spacing w:after="0"/>
              <w:rPr>
                <w:sz w:val="1"/>
                <w:szCs w:val="1"/>
                <w:color w:val="auto"/>
              </w:rPr>
            </w:pPr>
          </w:p>
        </w:tc>
      </w:tr>
    </w:tbl>
    <w:p>
      <w:pPr>
        <w:sectPr>
          <w:pgSz w:w="11900" w:h="16838" w:orient="portrait"/>
          <w:cols w:equalWidth="0" w:num="1">
            <w:col w:w="10240"/>
          </w:cols>
          <w:pgMar w:left="820" w:top="265" w:right="839" w:bottom="1440" w:gutter="0" w:footer="0" w:header="0"/>
        </w:sectPr>
      </w:pPr>
    </w:p>
    <w:bookmarkStart w:id="265" w:name="page266"/>
    <w:bookmarkEnd w:id="265"/>
    <w:p>
      <w:pPr>
        <w:jc w:val="center"/>
        <w:ind w:right="-43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B-1</w:t>
      </w:r>
    </w:p>
    <w:p>
      <w:pPr>
        <w:spacing w:after="0" w:line="206" w:lineRule="exact"/>
        <w:rPr>
          <w:sz w:val="20"/>
          <w:szCs w:val="20"/>
          <w:color w:val="auto"/>
        </w:rPr>
      </w:pPr>
    </w:p>
    <w:p>
      <w:pPr>
        <w:jc w:val="center"/>
        <w:ind w:right="-436"/>
        <w:spacing w:after="0"/>
        <w:rPr>
          <w:sz w:val="20"/>
          <w:szCs w:val="20"/>
          <w:color w:val="auto"/>
        </w:rPr>
      </w:pPr>
      <w:r>
        <w:rPr>
          <w:rFonts w:ascii="Arial" w:cs="Arial" w:eastAsia="Arial" w:hAnsi="Arial"/>
          <w:sz w:val="17"/>
          <w:szCs w:val="17"/>
          <w:u w:val="single" w:color="auto"/>
          <w:color w:val="auto"/>
        </w:rPr>
        <w:t>Pricing Terms</w:t>
      </w:r>
    </w:p>
    <w:p>
      <w:pPr>
        <w:spacing w:after="0" w:line="206" w:lineRule="exact"/>
        <w:rPr>
          <w:sz w:val="20"/>
          <w:szCs w:val="20"/>
          <w:color w:val="auto"/>
        </w:rPr>
      </w:pPr>
    </w:p>
    <w:p>
      <w:pPr>
        <w:ind w:left="157" w:hanging="157"/>
        <w:spacing w:after="0"/>
        <w:tabs>
          <w:tab w:leader="none" w:pos="15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Company is selling [●] shares of Common Stock.</w:t>
      </w:r>
    </w:p>
    <w:p>
      <w:pPr>
        <w:spacing w:after="0" w:line="105" w:lineRule="exact"/>
        <w:rPr>
          <w:rFonts w:ascii="Arial" w:cs="Arial" w:eastAsia="Arial" w:hAnsi="Arial"/>
          <w:sz w:val="17"/>
          <w:szCs w:val="17"/>
          <w:color w:val="auto"/>
        </w:rPr>
      </w:pPr>
    </w:p>
    <w:p>
      <w:pPr>
        <w:ind w:left="157" w:hanging="157"/>
        <w:spacing w:after="0"/>
        <w:tabs>
          <w:tab w:leader="none" w:pos="157"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Company has granted an option to the Underwriters, severally and not jointly, to purchase up to an additional [●] shares of Common Stock.</w:t>
      </w:r>
    </w:p>
    <w:p>
      <w:pPr>
        <w:spacing w:after="0" w:line="128" w:lineRule="exact"/>
        <w:rPr>
          <w:rFonts w:ascii="Arial" w:cs="Arial" w:eastAsia="Arial" w:hAnsi="Arial"/>
          <w:sz w:val="15"/>
          <w:szCs w:val="15"/>
          <w:color w:val="auto"/>
        </w:rPr>
      </w:pPr>
    </w:p>
    <w:p>
      <w:pPr>
        <w:ind w:left="157" w:hanging="157"/>
        <w:spacing w:after="0"/>
        <w:tabs>
          <w:tab w:leader="none" w:pos="15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initial public offering price per share for the Securities shall be $[●].</w:t>
      </w:r>
    </w:p>
    <w:p>
      <w:pPr>
        <w:spacing w:after="0" w:line="143" w:lineRule="exact"/>
        <w:rPr>
          <w:sz w:val="20"/>
          <w:szCs w:val="20"/>
          <w:color w:val="auto"/>
        </w:rPr>
      </w:pPr>
    </w:p>
    <w:p>
      <w:pPr>
        <w:jc w:val="center"/>
        <w:ind w:right="-436"/>
        <w:spacing w:after="0"/>
        <w:rPr>
          <w:sz w:val="20"/>
          <w:szCs w:val="20"/>
          <w:color w:val="auto"/>
        </w:rPr>
      </w:pPr>
      <w:r>
        <w:rPr>
          <w:rFonts w:ascii="Arial" w:cs="Arial" w:eastAsia="Arial" w:hAnsi="Arial"/>
          <w:sz w:val="17"/>
          <w:szCs w:val="17"/>
          <w:color w:val="auto"/>
        </w:rPr>
        <w:t>Sch B - 1</w:t>
      </w:r>
    </w:p>
    <w:p>
      <w:pPr>
        <w:sectPr>
          <w:pgSz w:w="11900" w:h="16838" w:orient="portrait"/>
          <w:cols w:equalWidth="0" w:num="1">
            <w:col w:w="9797"/>
          </w:cols>
          <w:pgMar w:left="823" w:top="265" w:right="127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B-2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Free Writing Prospectuses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Sch B - 2</w:t>
      </w:r>
    </w:p>
    <w:p>
      <w:pPr>
        <w:sectPr>
          <w:pgSz w:w="11900" w:h="16838" w:orient="portrait"/>
          <w:cols w:equalWidth="0" w:num="1">
            <w:col w:w="9019"/>
          </w:cols>
          <w:pgMar w:left="1440" w:top="265" w:right="1440" w:bottom="1440" w:gutter="0" w:footer="0" w:header="0"/>
        </w:sectPr>
      </w:pPr>
    </w:p>
    <w:bookmarkStart w:id="267" w:name="page268"/>
    <w:bookmarkEnd w:id="26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B-3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Written Testing-the-Waters Communication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 B - 3</w:t>
      </w:r>
    </w:p>
    <w:p>
      <w:pPr>
        <w:sectPr>
          <w:pgSz w:w="11900" w:h="16838" w:orient="portrait"/>
          <w:cols w:equalWidth="0" w:num="1">
            <w:col w:w="9019"/>
          </w:cols>
          <w:pgMar w:left="1440" w:top="265" w:right="1440" w:bottom="1440" w:gutter="0" w:footer="0" w:header="0"/>
        </w:sectPr>
      </w:pPr>
    </w:p>
    <w:bookmarkStart w:id="268" w:name="page269"/>
    <w:bookmarkEnd w:id="268"/>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A-1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LOCK-UP AGREEMENT</w:t>
      </w:r>
    </w:p>
    <w:p>
      <w:pPr>
        <w:spacing w:after="0" w:line="210"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-12065</wp:posOffset>
            </wp:positionV>
            <wp:extent cx="6642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BofA Securities,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as Representatives of the several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Underwriters to be named in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within-mentioned Underwriting Agreement</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c/o</w:t>
        <w:tab/>
        <w:t>BofA Securities, Inc.</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One Bryant Park</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New York, New York 10036</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Jefferies LLC</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520 Madison Avenue</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New York, New York 10022</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William Blair &amp; Company, L.L.C.</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150 North Riverside Plaza</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Chicago, Illinois 60606</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Proposed Public Offering by Lyra Therapeutics, Inc.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Dear Ladies and Gentlemen:</w:t>
      </w:r>
    </w:p>
    <w:p>
      <w:pPr>
        <w:spacing w:after="0" w:line="106" w:lineRule="exact"/>
        <w:rPr>
          <w:sz w:val="20"/>
          <w:szCs w:val="20"/>
          <w:color w:val="auto"/>
        </w:rPr>
      </w:pPr>
    </w:p>
    <w:p>
      <w:pPr>
        <w:ind w:right="20" w:firstLine="409"/>
        <w:spacing w:after="0" w:line="281" w:lineRule="auto"/>
        <w:rPr>
          <w:sz w:val="20"/>
          <w:szCs w:val="20"/>
          <w:color w:val="auto"/>
        </w:rPr>
      </w:pPr>
      <w:r>
        <w:rPr>
          <w:rFonts w:ascii="Arial" w:cs="Arial" w:eastAsia="Arial" w:hAnsi="Arial"/>
          <w:sz w:val="15"/>
          <w:szCs w:val="15"/>
          <w:color w:val="auto"/>
        </w:rPr>
        <w:t>The undersigned, a stockholder and/or stock option holder and/or officer and/or director of Lyra Therapeutics, Inc., a Delaware corporation (the “Company”), understands that BofA Securities, Inc. (“BofAS”), Jefferies LLC (“Jefferies”) and William Blair &amp; Company, L.L.C. (“William Blair”) propose to enter into an Underwriting Agreement (the “Underwriting Agreement”) with the Company providing for the public offering (the “Public Offering”) of shares of the Company’s common stock, par value $0.001 per share (the “Common Stock”). In recognition of the benefit that such an offering will confer upon the undersigned as a stockholder and/or stock option holder and/or officer and/or director of the Company, and for other good and valuable consideration, the receipt and sufficiency of which are hereby acknowledged, the undersigned agrees with each underwriter to be named in the Underwriting Agreement that, during the period beginning on the date of the first public filing with the Securities and Exchange Commission (the “SEC”) of the Form S-1 registration statement relating to the Public Offering (the “Form S-1”) and ending on the date that is 180 calendar days from the date of the Underwriting Agreement (the “Lock-Up Period”), the undersigned will not, without the prior written consent of BofAS and Jefferies,</w:t>
      </w:r>
    </w:p>
    <w:p>
      <w:pPr>
        <w:spacing w:after="0" w:line="2" w:lineRule="exact"/>
        <w:rPr>
          <w:sz w:val="20"/>
          <w:szCs w:val="20"/>
          <w:color w:val="auto"/>
        </w:rPr>
      </w:pPr>
    </w:p>
    <w:p>
      <w:pPr>
        <w:ind w:right="60" w:firstLine="3"/>
        <w:spacing w:after="0" w:line="267" w:lineRule="auto"/>
        <w:tabs>
          <w:tab w:leader="none" w:pos="2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shares of Common Stock (each, a “Transaction”), whether now owned or hereafter acquired by the undersigned or with respect to which the undersigned has or hereafter acquires the power of disposition (collectively, the “Lock-Up Securities”), or (ii) enter into any swap or any other agreement or any transaction that transfers, in whole or in part, directly or indirectly,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A-1 - 1</w:t>
      </w:r>
    </w:p>
    <w:p>
      <w:pPr>
        <w:sectPr>
          <w:pgSz w:w="11900" w:h="16838" w:orient="portrait"/>
          <w:cols w:equalWidth="0" w:num="1">
            <w:col w:w="10240"/>
          </w:cols>
          <w:pgMar w:left="820" w:top="265" w:right="839" w:bottom="1440" w:gutter="0" w:footer="0" w:header="0"/>
        </w:sectPr>
      </w:pPr>
    </w:p>
    <w:bookmarkStart w:id="269" w:name="page270"/>
    <w:bookmarkEnd w:id="269"/>
    <w:p>
      <w:pPr>
        <w:ind w:right="10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economic consequence of ownership of the Lock-Up Securities, whether any such swap or transaction is to be settled by delivery of shares of Common Stock or other securities, in cash or otherwise (each, a “Swap”) or (iii) publicly disclose the intention to do any of the foregoing described in clauses</w:t>
      </w:r>
    </w:p>
    <w:p>
      <w:pPr>
        <w:spacing w:after="0" w:line="1" w:lineRule="exact"/>
        <w:rPr>
          <w:sz w:val="20"/>
          <w:szCs w:val="20"/>
          <w:color w:val="auto"/>
        </w:rPr>
      </w:pPr>
    </w:p>
    <w:p>
      <w:pPr>
        <w:ind w:right="60" w:firstLine="3"/>
        <w:spacing w:after="0" w:line="299" w:lineRule="auto"/>
        <w:tabs>
          <w:tab w:leader="none" w:pos="2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and (ii) above. If the undersigned is an officer or director of the Company, the undersigned further agrees that the foregoing provisions shall be equally applicable to any issuer-directed shares of Common Stock the undersigned may purchase in the Public Offering. For the avoidance of doubt, the foregoing provisions shall not affect the undersigned’s rights to purchase or acquire any securities of the Company during or after the Lock-Up Period.</w:t>
      </w:r>
    </w:p>
    <w:p>
      <w:pPr>
        <w:spacing w:after="0" w:line="146" w:lineRule="exact"/>
        <w:rPr>
          <w:sz w:val="20"/>
          <w:szCs w:val="20"/>
          <w:color w:val="auto"/>
        </w:rPr>
      </w:pPr>
    </w:p>
    <w:p>
      <w:pPr>
        <w:ind w:firstLine="409"/>
        <w:spacing w:after="0" w:line="282" w:lineRule="auto"/>
        <w:rPr>
          <w:sz w:val="20"/>
          <w:szCs w:val="20"/>
          <w:color w:val="auto"/>
        </w:rPr>
      </w:pPr>
      <w:r>
        <w:rPr>
          <w:rFonts w:ascii="Arial" w:cs="Arial" w:eastAsia="Arial" w:hAnsi="Arial"/>
          <w:sz w:val="15"/>
          <w:szCs w:val="15"/>
          <w:color w:val="auto"/>
        </w:rPr>
        <w:t>If the undersigned is an officer or director of the Company, (1) BofAS and Jefferies agree that, at least three business days before the effective date of any release or waiver of the foregoing restrictions in connection with a transfer of shares of Common Stock, BofAS and Jefferies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BofAS and Jefferies hereunder to any such officer or director shall only be effective two business days after the publication date of such press release. The provisions of this paragraph will not apply if (i) the release or waiver is effected solely to permit a transfer not for consideration and</w:t>
      </w:r>
    </w:p>
    <w:p>
      <w:pPr>
        <w:spacing w:after="0" w:line="1" w:lineRule="exact"/>
        <w:rPr>
          <w:sz w:val="20"/>
          <w:szCs w:val="20"/>
          <w:color w:val="auto"/>
        </w:rPr>
      </w:pPr>
    </w:p>
    <w:p>
      <w:pPr>
        <w:ind w:right="60" w:firstLine="3"/>
        <w:spacing w:after="0" w:line="253" w:lineRule="auto"/>
        <w:tabs>
          <w:tab w:leader="none" w:pos="24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transferee has agreed in writing to be bound by the same terms described in this letter to the extent and for the duration that such terms remain in effect at the time of the transfer.</w:t>
      </w:r>
    </w:p>
    <w:p>
      <w:pPr>
        <w:spacing w:after="0" w:line="178" w:lineRule="exact"/>
        <w:rPr>
          <w:sz w:val="20"/>
          <w:szCs w:val="20"/>
          <w:color w:val="auto"/>
        </w:rPr>
      </w:pPr>
    </w:p>
    <w:p>
      <w:pPr>
        <w:ind w:right="120" w:firstLine="409"/>
        <w:spacing w:after="0" w:line="290" w:lineRule="auto"/>
        <w:rPr>
          <w:sz w:val="20"/>
          <w:szCs w:val="20"/>
          <w:color w:val="auto"/>
        </w:rPr>
      </w:pPr>
      <w:r>
        <w:rPr>
          <w:rFonts w:ascii="Arial" w:cs="Arial" w:eastAsia="Arial" w:hAnsi="Arial"/>
          <w:sz w:val="15"/>
          <w:szCs w:val="15"/>
          <w:color w:val="auto"/>
        </w:rPr>
        <w:t>Notwithstanding the foregoing, and subject to the conditions below, the undersigned may transfer or otherwise dispose of the Lock-Up Securities without the prior written consent of BofAS and Jefferies, provided that (1) BofAS, Jefferies and William Blair receive a signed lock-up agreement for the balance of the Lock-Up Period from each donee, trustee, distributee, or transferee, as the case may be, (2) (x) in the case of clauses (i) through (iv) below, such transfers are not dispositions for value or required to be reported with the SEC on Form 4 in accordance with Section 16 of the Securities Exchange Act of 1934, as amended, and (y) in the case of clauses (v) through (ix) below, any such required Form 4 shall state the reason for such transfer, and (3) the undersigned does not otherwise voluntarily effect any public filing or report regarding such transfers:</w:t>
      </w:r>
    </w:p>
    <w:p>
      <w:pPr>
        <w:spacing w:after="0" w:line="68" w:lineRule="exact"/>
        <w:rPr>
          <w:sz w:val="20"/>
          <w:szCs w:val="20"/>
          <w:color w:val="auto"/>
        </w:rPr>
      </w:pPr>
    </w:p>
    <w:p>
      <w:pPr>
        <w:ind w:left="900" w:hanging="496"/>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or gifts; or</w:t>
      </w:r>
    </w:p>
    <w:p>
      <w:pPr>
        <w:spacing w:after="0" w:line="118" w:lineRule="exact"/>
        <w:rPr>
          <w:rFonts w:ascii="Arial" w:cs="Arial" w:eastAsia="Arial" w:hAnsi="Arial"/>
          <w:sz w:val="17"/>
          <w:szCs w:val="17"/>
          <w:color w:val="auto"/>
        </w:rPr>
      </w:pPr>
    </w:p>
    <w:p>
      <w:pPr>
        <w:ind w:left="900" w:right="260" w:hanging="496"/>
        <w:spacing w:after="0" w:line="335" w:lineRule="auto"/>
        <w:tabs>
          <w:tab w:leader="none" w:pos="90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33" w:lineRule="exact"/>
        <w:rPr>
          <w:rFonts w:ascii="Arial" w:cs="Arial" w:eastAsia="Arial" w:hAnsi="Arial"/>
          <w:sz w:val="15"/>
          <w:szCs w:val="15"/>
          <w:color w:val="auto"/>
        </w:rPr>
      </w:pPr>
    </w:p>
    <w:p>
      <w:pPr>
        <w:ind w:left="900" w:hanging="496"/>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as a distribution to limited or general partners, stockholders or members of the undersigned; or</w:t>
      </w:r>
    </w:p>
    <w:p>
      <w:pPr>
        <w:spacing w:after="0" w:line="118" w:lineRule="exact"/>
        <w:rPr>
          <w:rFonts w:ascii="Arial" w:cs="Arial" w:eastAsia="Arial" w:hAnsi="Arial"/>
          <w:sz w:val="17"/>
          <w:szCs w:val="17"/>
          <w:color w:val="auto"/>
        </w:rPr>
      </w:pPr>
    </w:p>
    <w:p>
      <w:pPr>
        <w:ind w:left="900" w:right="340" w:hanging="496"/>
        <w:spacing w:after="0" w:line="268"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the undersigned’s affiliates or to any investment fund or other entity that, directly or indirectly, controls or manages, is controlled or managed by, or is under common control or management with, the undersigned; or</w:t>
      </w:r>
    </w:p>
    <w:p>
      <w:pPr>
        <w:spacing w:after="0" w:line="78" w:lineRule="exact"/>
        <w:rPr>
          <w:rFonts w:ascii="Arial" w:cs="Arial" w:eastAsia="Arial" w:hAnsi="Arial"/>
          <w:sz w:val="17"/>
          <w:szCs w:val="17"/>
          <w:color w:val="auto"/>
        </w:rPr>
      </w:pPr>
    </w:p>
    <w:p>
      <w:pPr>
        <w:ind w:left="900" w:hanging="496"/>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by will or intestacy; or</w:t>
      </w:r>
    </w:p>
    <w:p>
      <w:pPr>
        <w:spacing w:after="0" w:line="118" w:lineRule="exact"/>
        <w:rPr>
          <w:rFonts w:ascii="Arial" w:cs="Arial" w:eastAsia="Arial" w:hAnsi="Arial"/>
          <w:sz w:val="17"/>
          <w:szCs w:val="17"/>
          <w:color w:val="auto"/>
        </w:rPr>
      </w:pPr>
    </w:p>
    <w:p>
      <w:pPr>
        <w:ind w:left="900" w:right="60" w:hanging="496"/>
        <w:spacing w:after="0" w:line="251"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the Company in connection with the exercise of options, warrants or other rights to acquire shares of the Common Stock or any security convertible into or exercisable for shares of the Common Stock of the Company by way of net exercise and/or to cover withholding tax obligations in connection with such exercise pursuant to an employee benefit plan, option, warrant or other right disclosed in the prospectus for the Public Offering, provided that any such shares of the Common Stock issued upon exercise of such option, warrant or other right shall be subject to the restrictions set forth herein;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 A-1 - 2</w:t>
      </w:r>
    </w:p>
    <w:p>
      <w:pPr>
        <w:sectPr>
          <w:pgSz w:w="11900" w:h="16838" w:orient="portrait"/>
          <w:cols w:equalWidth="0" w:num="1">
            <w:col w:w="10240"/>
          </w:cols>
          <w:pgMar w:left="820" w:top="265" w:right="839" w:bottom="1440" w:gutter="0" w:footer="0" w:header="0"/>
        </w:sectPr>
      </w:pPr>
    </w:p>
    <w:bookmarkStart w:id="270" w:name="page271"/>
    <w:bookmarkEnd w:id="270"/>
    <w:p>
      <w:pPr>
        <w:ind w:left="900" w:right="40" w:hanging="496"/>
        <w:spacing w:after="0" w:line="268"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pursuant to a court order or settlement agreement by operation of law related to the distribution of assets in connection with the dissolution of a marriage or civil union; or</w:t>
      </w:r>
    </w:p>
    <w:p>
      <w:pPr>
        <w:spacing w:after="0" w:line="78" w:lineRule="exact"/>
        <w:rPr>
          <w:rFonts w:ascii="Arial" w:cs="Arial" w:eastAsia="Arial" w:hAnsi="Arial"/>
          <w:sz w:val="17"/>
          <w:szCs w:val="17"/>
          <w:color w:val="auto"/>
        </w:rPr>
      </w:pPr>
    </w:p>
    <w:p>
      <w:pPr>
        <w:ind w:left="900" w:right="140" w:hanging="496"/>
        <w:spacing w:after="0" w:line="268"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to the Company pursuant to agreements under which the Company has the option to repurchase such shares or a right of first refusal with respect to transfers of such shares upon termination of service of the undersigned; or</w:t>
      </w:r>
    </w:p>
    <w:p>
      <w:pPr>
        <w:spacing w:after="0" w:line="78" w:lineRule="exact"/>
        <w:rPr>
          <w:rFonts w:ascii="Arial" w:cs="Arial" w:eastAsia="Arial" w:hAnsi="Arial"/>
          <w:sz w:val="17"/>
          <w:szCs w:val="17"/>
          <w:color w:val="auto"/>
        </w:rPr>
      </w:pPr>
    </w:p>
    <w:p>
      <w:pPr>
        <w:ind w:left="900" w:right="20" w:hanging="496"/>
        <w:spacing w:after="0" w:line="307" w:lineRule="auto"/>
        <w:tabs>
          <w:tab w:leader="none" w:pos="9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pursuant to the conversion of outstanding shares of convertible preferred stock and redeemable convertible preferred stock of the Company into shares of the Common Stock of the Company in connection with, and disclosed in the prospectus for, the Public Offering, provided that the shares of the Common Stock received upon such conversion shall be subject to the restrictions set forth herein; or</w:t>
      </w:r>
    </w:p>
    <w:p>
      <w:pPr>
        <w:spacing w:after="0" w:line="53" w:lineRule="exact"/>
        <w:rPr>
          <w:rFonts w:ascii="Arial" w:cs="Arial" w:eastAsia="Arial" w:hAnsi="Arial"/>
          <w:sz w:val="15"/>
          <w:szCs w:val="15"/>
          <w:color w:val="auto"/>
        </w:rPr>
      </w:pPr>
    </w:p>
    <w:p>
      <w:pPr>
        <w:ind w:left="900" w:hanging="496"/>
        <w:spacing w:after="0" w:line="268"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to any nominee or custodian of a person or entity to whom a transfer or disposition would be permissible under clauses (i) through (ix), and in compliance with the requirements of clauses (1) through (3), above, as applicable; or</w:t>
      </w:r>
    </w:p>
    <w:p>
      <w:pPr>
        <w:spacing w:after="0" w:line="78" w:lineRule="exact"/>
        <w:rPr>
          <w:rFonts w:ascii="Arial" w:cs="Arial" w:eastAsia="Arial" w:hAnsi="Arial"/>
          <w:sz w:val="17"/>
          <w:szCs w:val="17"/>
          <w:color w:val="auto"/>
        </w:rPr>
      </w:pPr>
    </w:p>
    <w:p>
      <w:pPr>
        <w:ind w:left="900" w:right="20" w:hanging="496"/>
        <w:spacing w:after="0" w:line="266" w:lineRule="auto"/>
        <w:tabs>
          <w:tab w:leader="none" w:pos="9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to a bona fide third party pursuant to a merger, consolidation, tender offer or other similar transaction occurring after the consummation of the Public Offering made to all holders of shares of the Common Stock and involving a Change of Control of the Company and approved by the Company’s board of directors; provided that, in the event that such Change of Control is not completed, the undersigned’s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power of the Company (or the surviving entity).</w:t>
      </w:r>
    </w:p>
    <w:p>
      <w:pPr>
        <w:spacing w:after="0" w:line="173" w:lineRule="exact"/>
        <w:rPr>
          <w:sz w:val="20"/>
          <w:szCs w:val="20"/>
          <w:color w:val="auto"/>
        </w:rPr>
      </w:pPr>
    </w:p>
    <w:p>
      <w:pPr>
        <w:ind w:firstLine="409"/>
        <w:spacing w:after="0" w:line="251" w:lineRule="auto"/>
        <w:rPr>
          <w:sz w:val="20"/>
          <w:szCs w:val="20"/>
          <w:color w:val="auto"/>
        </w:rPr>
      </w:pPr>
      <w:r>
        <w:rPr>
          <w:rFonts w:ascii="Arial" w:cs="Arial" w:eastAsia="Arial" w:hAnsi="Arial"/>
          <w:sz w:val="17"/>
          <w:szCs w:val="17"/>
          <w:color w:val="auto"/>
        </w:rPr>
        <w:t>Furthermore, notwithstanding anything to the contrary herein, the undersigned may enter into any Transaction or Swap of Common Stock of the Company (i) purchased from an underwriter in the Public Offering or (ii) purchased by the undersigned on the open market following the Public Offering if and only if, in each case, (A) such Transaction or Swap is not required to be reported in any public report or filing with the SEC, or otherwise during the Lock-Up Period and (B) the undersigned does not otherwise voluntarily effect any public filing or report regarding such Transaction or Swap during the Lock-Up Period.</w:t>
      </w:r>
    </w:p>
    <w:p>
      <w:pPr>
        <w:spacing w:after="0" w:line="183" w:lineRule="exact"/>
        <w:rPr>
          <w:sz w:val="20"/>
          <w:szCs w:val="20"/>
          <w:color w:val="auto"/>
        </w:rPr>
      </w:pPr>
    </w:p>
    <w:p>
      <w:pPr>
        <w:ind w:right="360" w:firstLine="409"/>
        <w:spacing w:after="0" w:line="268" w:lineRule="auto"/>
        <w:rPr>
          <w:sz w:val="20"/>
          <w:szCs w:val="20"/>
          <w:color w:val="auto"/>
        </w:rPr>
      </w:pPr>
      <w:r>
        <w:rPr>
          <w:rFonts w:ascii="Arial" w:cs="Arial" w:eastAsia="Arial" w:hAnsi="Arial"/>
          <w:sz w:val="17"/>
          <w:szCs w:val="17"/>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6" w:lineRule="exact"/>
        <w:rPr>
          <w:sz w:val="20"/>
          <w:szCs w:val="20"/>
          <w:color w:val="auto"/>
        </w:rPr>
      </w:pPr>
    </w:p>
    <w:p>
      <w:pPr>
        <w:jc w:val="both"/>
        <w:ind w:right="80" w:firstLine="409"/>
        <w:spacing w:after="0" w:line="280" w:lineRule="auto"/>
        <w:rPr>
          <w:sz w:val="20"/>
          <w:szCs w:val="20"/>
          <w:color w:val="auto"/>
        </w:rPr>
      </w:pPr>
      <w:r>
        <w:rPr>
          <w:rFonts w:ascii="Arial" w:cs="Arial" w:eastAsia="Arial" w:hAnsi="Arial"/>
          <w:sz w:val="16"/>
          <w:szCs w:val="16"/>
          <w:color w:val="auto"/>
        </w:rPr>
        <w:t>Notwithstanding the foregoing, the undersigned may establish a trading plan pursuant to Rule 10b5-1 under the Securities Exchange Act of 1934, as amended, provided, that (i) the undersigned is not required to and does not otherwise effect any public filing or report regarding the establishment of such plan during the Lock-Up Period and (ii) no sales are made during the Lock-Up Period pursuant to such plan.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A-1 - 3</w:t>
      </w:r>
    </w:p>
    <w:p>
      <w:pPr>
        <w:sectPr>
          <w:pgSz w:w="11900" w:h="16838" w:orient="portrait"/>
          <w:cols w:equalWidth="0" w:num="1">
            <w:col w:w="10240"/>
          </w:cols>
          <w:pgMar w:left="820" w:top="265" w:right="839" w:bottom="1440" w:gutter="0" w:footer="0" w:header="0"/>
        </w:sectPr>
      </w:pPr>
    </w:p>
    <w:bookmarkStart w:id="271" w:name="page272"/>
    <w:bookmarkEnd w:id="271"/>
    <w:p>
      <w:pPr>
        <w:ind w:right="40" w:firstLine="409"/>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addition, the undersigned hereby waives any rights the undersigned may have to require registration of shares of the Common Stock in connection with the filing of the Form S-1. The undersigned further agrees that, for the Lock-Up Period, the undersigned will not, without the prior written consent of the BofAS and Jefferies, make any demand for, or exercise any right with respect to, or file or cause to be filed any registration statement with respect to, the registration of shares of the Common Stock or any securities convertible into or exercisable or exchangeable for shares of the Common Stock, or warrants or other rights to purchase shares of the Common Stock or any such securities.</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This agreement (and for the avoidance of doubt, the Lock-Up Period described herein) and related restrictions shall automatically terminate upon the earliest to occur, if any, of (i) either the Company, on the one hand, or BofAS and Jefferies, on the other hand, advising the other in writing prior to the execution of the Underwriting Agreement that it has determined not to proceed with the Public Offering, (ii) the termination of the Underwriting Agreement before the sale of any shares of the Common Stock to the underwriters, (iii) the Form S-1 filed with the SEC with respect to the Public Offering contemplated by the Underwriting Agreement is withdrawn, (iv) June 30, 2020, in the event the consummation of the Public Offering shall not have occurred on or before such date, or (v) a substantially identical form of this letter agreement is not executed by all founders, officers and directors of the Company and all stockholders owning more than 1% of the Common Stock of the Company (on an as converted basis) as of the date the Form S-1 is first publicly filed with the SEC.</w:t>
      </w:r>
    </w:p>
    <w:p>
      <w:pPr>
        <w:spacing w:after="0" w:line="170" w:lineRule="exact"/>
        <w:rPr>
          <w:sz w:val="20"/>
          <w:szCs w:val="20"/>
          <w:color w:val="auto"/>
        </w:rPr>
      </w:pPr>
    </w:p>
    <w:p>
      <w:pPr>
        <w:ind w:left="4760" w:right="4160" w:hanging="539"/>
        <w:spacing w:after="0" w:line="528" w:lineRule="auto"/>
        <w:tabs>
          <w:tab w:leader="none" w:pos="4310" w:val="left"/>
        </w:tabs>
        <w:numPr>
          <w:ilvl w:val="0"/>
          <w:numId w:val="198"/>
        </w:numPr>
        <w:rPr>
          <w:rFonts w:ascii="Arial" w:cs="Arial" w:eastAsia="Arial" w:hAnsi="Arial"/>
          <w:sz w:val="15"/>
          <w:szCs w:val="15"/>
          <w:color w:val="auto"/>
        </w:rPr>
      </w:pPr>
      <w:r>
        <w:rPr>
          <w:rFonts w:ascii="Arial" w:cs="Arial" w:eastAsia="Arial" w:hAnsi="Arial"/>
          <w:sz w:val="15"/>
          <w:szCs w:val="15"/>
          <w:i w:val="1"/>
          <w:iCs w:val="1"/>
          <w:color w:val="auto"/>
        </w:rPr>
        <w:t xml:space="preserve">Signature Page Follows </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Ex A-1 - 4</w:t>
      </w:r>
    </w:p>
    <w:p>
      <w:pPr>
        <w:sectPr>
          <w:pgSz w:w="11900" w:h="16838" w:orient="portrait"/>
          <w:cols w:equalWidth="0" w:num="1">
            <w:col w:w="10180"/>
          </w:cols>
          <w:pgMar w:left="820" w:top="265" w:right="899" w:bottom="1440" w:gutter="0" w:footer="0" w:header="0"/>
        </w:sectPr>
      </w:pPr>
    </w:p>
    <w:bookmarkStart w:id="272" w:name="page273"/>
    <w:bookmarkEnd w:id="272"/>
    <w:p>
      <w:pPr>
        <w:ind w:left="5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Very truly yours,</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signatory is an individual</w:t>
      </w:r>
      <w:r>
        <w:rPr>
          <w:rFonts w:ascii="Arial" w:cs="Arial" w:eastAsia="Arial" w:hAnsi="Arial"/>
          <w:sz w:val="16"/>
          <w:szCs w:val="16"/>
          <w:color w:val="auto"/>
        </w:rPr>
        <w:t>]</w:t>
      </w: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 signatory is an entity</w:t>
      </w:r>
      <w:r>
        <w:rPr>
          <w:rFonts w:ascii="Arial" w:cs="Arial" w:eastAsia="Arial" w:hAnsi="Arial"/>
          <w:sz w:val="17"/>
          <w:szCs w:val="17"/>
          <w:color w:val="auto"/>
        </w:rPr>
        <w:t>]</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375" w:lineRule="exact"/>
        <w:rPr>
          <w:sz w:val="20"/>
          <w:szCs w:val="20"/>
          <w:color w:val="auto"/>
        </w:rPr>
      </w:pPr>
    </w:p>
    <w:p>
      <w:pPr>
        <w:ind w:left="3200" w:hanging="88"/>
        <w:spacing w:after="0"/>
        <w:tabs>
          <w:tab w:leader="none" w:pos="3200"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 xml:space="preserve">Signature Page to Lock-Up Agreement </w:t>
      </w:r>
      <w:r>
        <w:rPr>
          <w:rFonts w:ascii="Arial" w:cs="Arial" w:eastAsia="Arial" w:hAnsi="Arial"/>
          <w:sz w:val="17"/>
          <w:szCs w:val="17"/>
          <w:color w:val="auto"/>
        </w:rPr>
        <w:t>]</w:t>
      </w:r>
    </w:p>
    <w:p>
      <w:pPr>
        <w:sectPr>
          <w:pgSz w:w="11900" w:h="16838" w:orient="portrait"/>
          <w:cols w:equalWidth="0" w:num="1">
            <w:col w:w="9019"/>
          </w:cols>
          <w:pgMar w:left="1440" w:top="265" w:right="1440" w:bottom="1440" w:gutter="0" w:footer="0" w:header="0"/>
        </w:sectPr>
      </w:pPr>
    </w:p>
    <w:bookmarkStart w:id="273" w:name="page274"/>
    <w:bookmarkEnd w:id="273"/>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A-2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LOCK-UP AGREEMENT</w:t>
      </w:r>
    </w:p>
    <w:p>
      <w:pPr>
        <w:spacing w:after="0" w:line="210"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-12065</wp:posOffset>
            </wp:positionV>
            <wp:extent cx="6642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BofA Securities,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as Representatives of the several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Underwriters to be named in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within-mentioned Underwriting Agreement</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c/o</w:t>
        <w:tab/>
        <w:t>BofA Securities, Inc.</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One Bryant Park</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New York, New York 10036</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Jefferies LLC</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520 Madison Avenue</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New York, New York 10022</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William Blair &amp; Company, L.L.C.</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150 North Riverside Plaza</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Chicago, Illinois 60606</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Proposed Public Offering by Lyra Therapeutics, Inc.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Dear Ladies and Gentlemen:</w:t>
      </w:r>
    </w:p>
    <w:p>
      <w:pPr>
        <w:spacing w:after="0" w:line="106" w:lineRule="exact"/>
        <w:rPr>
          <w:sz w:val="20"/>
          <w:szCs w:val="20"/>
          <w:color w:val="auto"/>
        </w:rPr>
      </w:pPr>
    </w:p>
    <w:p>
      <w:pPr>
        <w:ind w:firstLine="409"/>
        <w:spacing w:after="0" w:line="264" w:lineRule="auto"/>
        <w:rPr>
          <w:sz w:val="20"/>
          <w:szCs w:val="20"/>
          <w:color w:val="auto"/>
        </w:rPr>
      </w:pPr>
      <w:r>
        <w:rPr>
          <w:rFonts w:ascii="Arial" w:cs="Arial" w:eastAsia="Arial" w:hAnsi="Arial"/>
          <w:sz w:val="16"/>
          <w:szCs w:val="16"/>
          <w:color w:val="auto"/>
        </w:rPr>
        <w:t>The undersigned, a stockholder and/or stock option holder and/or officer and/or director of Lyra Therapeutics, Inc., a Delaware corporation (the “Company”), understands that BofA Securities, Inc. (“BofAS”), Jefferies LLC (“Jefferies”) and William Blair &amp; Company, L.L.C. (“William Blair”) propose to enter into an Underwriting Agreement (the “Underwriting Agreement”) with the Company providing for the public offering (the “Public Offering”) of shares of the Company’s common stock, par value $0.001 per share (the “Common Stock”). In recognition of the benefit that such an offering will confer upon the undersigned as a stockholder and/or stock option holder and/or officer and/or director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180 calendar days from the date of the Underwriting Agreement (the “Lock-Up Period”), the undersigned will not, without the prior written consent of BofAS and Jefferies,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(ii) enter into any swap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 If the undersigned is an officer or director of the Company, the undersigned further agrees that the foregoing provisions shall be equally applicable to any issuer-directed shares of Common Stock the undersigned may purchase in the Public Offering.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A-2 - 1</w:t>
      </w:r>
    </w:p>
    <w:p>
      <w:pPr>
        <w:sectPr>
          <w:pgSz w:w="11900" w:h="16838" w:orient="portrait"/>
          <w:cols w:equalWidth="0" w:num="1">
            <w:col w:w="10240"/>
          </w:cols>
          <w:pgMar w:left="820" w:top="265" w:right="839" w:bottom="1440" w:gutter="0" w:footer="0" w:header="0"/>
        </w:sectPr>
      </w:pPr>
    </w:p>
    <w:bookmarkStart w:id="274" w:name="page275"/>
    <w:bookmarkEnd w:id="274"/>
    <w:p>
      <w:pPr>
        <w:ind w:firstLine="409"/>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If the undersigned is an officer or director of the Company, (1) BofAS and Jefferies agree that, at least three business days before the effective date of any release or waiver of the foregoing restrictions in connection with a transfer of shares of Common Stock, BofAS and Jefferies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BofAS and Jefferies hereunder to any such officer or director shall only be effective two business days after the publication date of such press release. The provisions of this paragraph will not apply if (i) the release or waiver is effected solely to permit a transfer not for consideration and</w:t>
      </w:r>
    </w:p>
    <w:p>
      <w:pPr>
        <w:spacing w:after="0" w:line="1" w:lineRule="exact"/>
        <w:rPr>
          <w:sz w:val="20"/>
          <w:szCs w:val="20"/>
          <w:color w:val="auto"/>
        </w:rPr>
      </w:pPr>
    </w:p>
    <w:p>
      <w:pPr>
        <w:ind w:right="60" w:firstLine="3"/>
        <w:spacing w:after="0" w:line="253" w:lineRule="auto"/>
        <w:tabs>
          <w:tab w:leader="none" w:pos="24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transferee has agreed in writing to be bound by the same terms described in this letter to the extent and for the duration that such terms remain in effect at the time of the transfer.</w:t>
      </w:r>
    </w:p>
    <w:p>
      <w:pPr>
        <w:spacing w:after="0" w:line="178" w:lineRule="exact"/>
        <w:rPr>
          <w:sz w:val="20"/>
          <w:szCs w:val="20"/>
          <w:color w:val="auto"/>
        </w:rPr>
      </w:pPr>
    </w:p>
    <w:p>
      <w:pPr>
        <w:ind w:right="40" w:firstLine="409"/>
        <w:spacing w:after="0" w:line="250" w:lineRule="auto"/>
        <w:rPr>
          <w:sz w:val="20"/>
          <w:szCs w:val="20"/>
          <w:color w:val="auto"/>
        </w:rPr>
      </w:pPr>
      <w:r>
        <w:rPr>
          <w:rFonts w:ascii="Arial" w:cs="Arial" w:eastAsia="Arial" w:hAnsi="Arial"/>
          <w:sz w:val="17"/>
          <w:szCs w:val="17"/>
          <w:color w:val="auto"/>
        </w:rPr>
        <w:t>Notwithstanding the foregoing, and subject to the conditions below, the undersigned may transfer or otherwise dispose of the Lock-Up Securities without the prior written consent of BofAS and Jefferies, provided that (1) BofAS, Jefferies and William Blair receive a signed lock-up agreement for the balance of the Lock-Up Period from each donee, trustee, distributee, or transferee, as the case may be, (2) (x) in the case of clauses (i) through (iv) below, such transfers are not dispositions for value or required to be reported with the Securities and Exchange Commission (the “SEC”) on Form 4 in accordance with Section 16 of the Securities Exchange Act of 1934, as amended, and (y) in the case of clauses (v) through (ix) below, any such required Form 4 shall state the reason for such transfer, and (3) the undersigned does not otherwise voluntarily effect any public filing or report regarding such transfers:</w:t>
      </w:r>
    </w:p>
    <w:p>
      <w:pPr>
        <w:spacing w:after="0" w:line="94" w:lineRule="exact"/>
        <w:rPr>
          <w:sz w:val="20"/>
          <w:szCs w:val="20"/>
          <w:color w:val="auto"/>
        </w:rPr>
      </w:pPr>
    </w:p>
    <w:p>
      <w:pPr>
        <w:ind w:left="1000" w:hanging="596"/>
        <w:spacing w:after="0"/>
        <w:tabs>
          <w:tab w:leader="none" w:pos="10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or gifts; or</w:t>
      </w:r>
    </w:p>
    <w:p>
      <w:pPr>
        <w:spacing w:after="0" w:line="118" w:lineRule="exact"/>
        <w:rPr>
          <w:rFonts w:ascii="Arial" w:cs="Arial" w:eastAsia="Arial" w:hAnsi="Arial"/>
          <w:sz w:val="17"/>
          <w:szCs w:val="17"/>
          <w:color w:val="auto"/>
        </w:rPr>
      </w:pPr>
    </w:p>
    <w:p>
      <w:pPr>
        <w:ind w:left="1000" w:right="160" w:hanging="596"/>
        <w:spacing w:after="0" w:line="335" w:lineRule="auto"/>
        <w:tabs>
          <w:tab w:leader="none" w:pos="10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33" w:lineRule="exact"/>
        <w:rPr>
          <w:rFonts w:ascii="Arial" w:cs="Arial" w:eastAsia="Arial" w:hAnsi="Arial"/>
          <w:sz w:val="15"/>
          <w:szCs w:val="15"/>
          <w:color w:val="auto"/>
        </w:rPr>
      </w:pPr>
    </w:p>
    <w:p>
      <w:pPr>
        <w:ind w:left="1000" w:hanging="596"/>
        <w:spacing w:after="0"/>
        <w:tabs>
          <w:tab w:leader="none" w:pos="10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as a distribution to limited or general partners, stockholders or members of the undersigned; or</w:t>
      </w:r>
    </w:p>
    <w:p>
      <w:pPr>
        <w:spacing w:after="0" w:line="118" w:lineRule="exact"/>
        <w:rPr>
          <w:rFonts w:ascii="Arial" w:cs="Arial" w:eastAsia="Arial" w:hAnsi="Arial"/>
          <w:sz w:val="17"/>
          <w:szCs w:val="17"/>
          <w:color w:val="auto"/>
        </w:rPr>
      </w:pPr>
    </w:p>
    <w:p>
      <w:pPr>
        <w:ind w:left="1000" w:hanging="596"/>
        <w:spacing w:after="0"/>
        <w:tabs>
          <w:tab w:leader="none" w:pos="10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to the undersigned’s affiliates or to any investment fund or other entity controlled or managed by the undersigned; or</w:t>
      </w:r>
    </w:p>
    <w:p>
      <w:pPr>
        <w:spacing w:after="0" w:line="118" w:lineRule="exact"/>
        <w:rPr>
          <w:rFonts w:ascii="Arial" w:cs="Arial" w:eastAsia="Arial" w:hAnsi="Arial"/>
          <w:sz w:val="17"/>
          <w:szCs w:val="17"/>
          <w:color w:val="auto"/>
        </w:rPr>
      </w:pPr>
    </w:p>
    <w:p>
      <w:pPr>
        <w:ind w:left="1000" w:hanging="596"/>
        <w:spacing w:after="0"/>
        <w:tabs>
          <w:tab w:leader="none" w:pos="10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by will or intestacy; or</w:t>
      </w:r>
    </w:p>
    <w:p>
      <w:pPr>
        <w:spacing w:after="0" w:line="118" w:lineRule="exact"/>
        <w:rPr>
          <w:rFonts w:ascii="Arial" w:cs="Arial" w:eastAsia="Arial" w:hAnsi="Arial"/>
          <w:sz w:val="17"/>
          <w:szCs w:val="17"/>
          <w:color w:val="auto"/>
        </w:rPr>
      </w:pPr>
    </w:p>
    <w:p>
      <w:pPr>
        <w:ind w:left="1000" w:right="340" w:hanging="596"/>
        <w:spacing w:after="0" w:line="271" w:lineRule="auto"/>
        <w:tabs>
          <w:tab w:leader="none" w:pos="10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the Company in connection with the exercise of options, warrants or other rights to acquire shares of the Common Stock or any security convertible into or exercisable for shares of the Common Stock of the Company by way of net exercise and/or to cover withholding tax obligations in connection with such exercise pursuant to an employee benefit plan, option, warrant or other right disclosed in the prospectus for the Public Offering, provided that any such shares of the Common Stock issued upon exercise of such option, warrant or other right shall be subject to the restrictions set forth herein; or</w:t>
      </w:r>
    </w:p>
    <w:p>
      <w:pPr>
        <w:spacing w:after="0" w:line="78" w:lineRule="exact"/>
        <w:rPr>
          <w:rFonts w:ascii="Arial" w:cs="Arial" w:eastAsia="Arial" w:hAnsi="Arial"/>
          <w:sz w:val="16"/>
          <w:szCs w:val="16"/>
          <w:color w:val="auto"/>
        </w:rPr>
      </w:pPr>
    </w:p>
    <w:p>
      <w:pPr>
        <w:ind w:left="1000" w:right="720" w:hanging="596"/>
        <w:spacing w:after="0" w:line="268" w:lineRule="auto"/>
        <w:tabs>
          <w:tab w:leader="none" w:pos="10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pursuant to a court order or settlement agreement by operation of law related to the distribution of assets in connection with the dissolution of a marriage or civil union;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 A-2 - 2</w:t>
      </w:r>
    </w:p>
    <w:p>
      <w:pPr>
        <w:sectPr>
          <w:pgSz w:w="11900" w:h="16838" w:orient="portrait"/>
          <w:cols w:equalWidth="0" w:num="1">
            <w:col w:w="10240"/>
          </w:cols>
          <w:pgMar w:left="820" w:top="265" w:right="839" w:bottom="1440" w:gutter="0" w:footer="0" w:header="0"/>
        </w:sectPr>
      </w:pPr>
    </w:p>
    <w:bookmarkStart w:id="275" w:name="page276"/>
    <w:bookmarkEnd w:id="275"/>
    <w:p>
      <w:pPr>
        <w:ind w:left="1000" w:hanging="596"/>
        <w:spacing w:after="0" w:line="268" w:lineRule="auto"/>
        <w:tabs>
          <w:tab w:leader="none" w:pos="10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to the Company pursuant to agreements under which the Company has the option to repurchase such shares or a right of first refusal with respect to transfers of such shares upon termination of service of the undersigned; or</w:t>
      </w:r>
    </w:p>
    <w:p>
      <w:pPr>
        <w:spacing w:after="0" w:line="78" w:lineRule="exact"/>
        <w:rPr>
          <w:rFonts w:ascii="Arial" w:cs="Arial" w:eastAsia="Arial" w:hAnsi="Arial"/>
          <w:sz w:val="17"/>
          <w:szCs w:val="17"/>
          <w:color w:val="auto"/>
        </w:rPr>
      </w:pPr>
    </w:p>
    <w:p>
      <w:pPr>
        <w:ind w:left="1000" w:right="40" w:hanging="596"/>
        <w:spacing w:after="0" w:line="307" w:lineRule="auto"/>
        <w:tabs>
          <w:tab w:leader="none" w:pos="100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pursuant to the conversion of outstanding shares of convertible preferred stock and redeemable convertible preferred stock of the Company into shares of the Common Stock of the Company in connection with, and disclosed in the prospectus for, the Public Offering, provided that the shares of the Common Stock received upon such conversion shall be subject to the restrictions set forth herein; or</w:t>
      </w:r>
    </w:p>
    <w:p>
      <w:pPr>
        <w:spacing w:after="0" w:line="53" w:lineRule="exact"/>
        <w:rPr>
          <w:rFonts w:ascii="Arial" w:cs="Arial" w:eastAsia="Arial" w:hAnsi="Arial"/>
          <w:sz w:val="15"/>
          <w:szCs w:val="15"/>
          <w:color w:val="auto"/>
        </w:rPr>
      </w:pPr>
    </w:p>
    <w:p>
      <w:pPr>
        <w:ind w:left="1000" w:right="140" w:hanging="596"/>
        <w:spacing w:after="0" w:line="268" w:lineRule="auto"/>
        <w:tabs>
          <w:tab w:leader="none" w:pos="10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to any nominee or custodian of a person or entity to whom a transfer or disposition would be permissible under clauses (i) through (ix), and in compliance with the requirements of clauses (1) through (3), above, as applicable; or</w:t>
      </w:r>
    </w:p>
    <w:p>
      <w:pPr>
        <w:spacing w:after="0" w:line="78" w:lineRule="exact"/>
        <w:rPr>
          <w:rFonts w:ascii="Arial" w:cs="Arial" w:eastAsia="Arial" w:hAnsi="Arial"/>
          <w:sz w:val="17"/>
          <w:szCs w:val="17"/>
          <w:color w:val="auto"/>
        </w:rPr>
      </w:pPr>
    </w:p>
    <w:p>
      <w:pPr>
        <w:ind w:left="1000" w:right="120" w:hanging="596"/>
        <w:spacing w:after="0" w:line="286" w:lineRule="auto"/>
        <w:tabs>
          <w:tab w:leader="none" w:pos="100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to a bona fide third party pursuant to a merger, consolidation, tender offer or other similar transaction occurring after the consummation of the Public Offering made to all holders of shares of the Common Stock and involving a Change of Control of the Company and approved by the Company’s board of directors; provided that, in the event that such Change of Control is not completed, the undersigned’s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power of the Company (or the surviving entity).</w:t>
      </w:r>
    </w:p>
    <w:p>
      <w:pPr>
        <w:spacing w:after="0" w:line="159" w:lineRule="exact"/>
        <w:rPr>
          <w:sz w:val="20"/>
          <w:szCs w:val="20"/>
          <w:color w:val="auto"/>
        </w:rPr>
      </w:pPr>
    </w:p>
    <w:p>
      <w:pPr>
        <w:ind w:right="160" w:firstLine="409"/>
        <w:spacing w:after="0" w:line="307" w:lineRule="auto"/>
        <w:rPr>
          <w:sz w:val="20"/>
          <w:szCs w:val="20"/>
          <w:color w:val="auto"/>
        </w:rPr>
      </w:pPr>
      <w:r>
        <w:rPr>
          <w:rFonts w:ascii="Arial" w:cs="Arial" w:eastAsia="Arial" w:hAnsi="Arial"/>
          <w:sz w:val="15"/>
          <w:szCs w:val="15"/>
          <w:color w:val="auto"/>
        </w:rPr>
        <w:t>Furthermore, notwithstanding anything to the contrary herein, the undersigned may sell shares of Common Stock of the Company purchased by the undersigned on the open market following the Public Offering if and only if (i) such sales are not required to be reported in any public report or filing with the SEC, or otherwise and (ii) the undersigned does not otherwise voluntarily effect any public filing or report regarding such sales.</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6" w:lineRule="exact"/>
        <w:rPr>
          <w:sz w:val="20"/>
          <w:szCs w:val="20"/>
          <w:color w:val="auto"/>
        </w:rPr>
      </w:pPr>
    </w:p>
    <w:p>
      <w:pPr>
        <w:jc w:val="both"/>
        <w:ind w:right="40" w:firstLine="409"/>
        <w:spacing w:after="0" w:line="280" w:lineRule="auto"/>
        <w:rPr>
          <w:sz w:val="20"/>
          <w:szCs w:val="20"/>
          <w:color w:val="auto"/>
        </w:rPr>
      </w:pPr>
      <w:r>
        <w:rPr>
          <w:rFonts w:ascii="Arial" w:cs="Arial" w:eastAsia="Arial" w:hAnsi="Arial"/>
          <w:sz w:val="16"/>
          <w:szCs w:val="16"/>
          <w:color w:val="auto"/>
        </w:rPr>
        <w:t>Notwithstanding the foregoing, the undersigned may establish a trading plan pursuant to Rule 10b5-1 under the Securities Exchange Act of 1934, as amended, provided, that (i) the undersigned is not required to and does not otherwise effect any public filing or report regarding the establishment of such plan during the Lock-Up Period and (ii) no sales are made during the Lock-Up Period pursuant to such plan.</w:t>
      </w:r>
    </w:p>
    <w:p>
      <w:pPr>
        <w:spacing w:after="0" w:line="159" w:lineRule="exact"/>
        <w:rPr>
          <w:sz w:val="20"/>
          <w:szCs w:val="20"/>
          <w:color w:val="auto"/>
        </w:rPr>
      </w:pPr>
    </w:p>
    <w:p>
      <w:pPr>
        <w:ind w:right="40" w:firstLine="409"/>
        <w:spacing w:after="0" w:line="251" w:lineRule="auto"/>
        <w:rPr>
          <w:sz w:val="20"/>
          <w:szCs w:val="20"/>
          <w:color w:val="auto"/>
        </w:rPr>
      </w:pPr>
      <w:r>
        <w:rPr>
          <w:rFonts w:ascii="Arial" w:cs="Arial" w:eastAsia="Arial" w:hAnsi="Arial"/>
          <w:sz w:val="17"/>
          <w:szCs w:val="17"/>
          <w:color w:val="auto"/>
        </w:rPr>
        <w:t>In addition, the undersigned hereby waives any rights the undersigned may have to require registration of shares of the Common Stock in connection with the filing of a registration statement relating to the Public Offering. The undersigned further agrees that, for the Lock-Up Period, the undersigned will not, without the prior written consent of the BofAS and Jefferies, make any demand for, or exercise any right with respect to, or file or cause to be filed any registration statement with respect to, the registration of shares of the Common Stock or any securities convertible into or exercisable 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 A-2 - 3</w:t>
      </w:r>
    </w:p>
    <w:p>
      <w:pPr>
        <w:sectPr>
          <w:pgSz w:w="11900" w:h="16838" w:orient="portrait"/>
          <w:cols w:equalWidth="0" w:num="1">
            <w:col w:w="10200"/>
          </w:cols>
          <w:pgMar w:left="820" w:top="265" w:right="879" w:bottom="1440" w:gutter="0" w:footer="0" w:header="0"/>
        </w:sectPr>
      </w:pPr>
    </w:p>
    <w:bookmarkStart w:id="276" w:name="page277"/>
    <w:bookmarkEnd w:id="276"/>
    <w:p>
      <w:pPr>
        <w:jc w:val="both"/>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exchangeable for shares of the Common Stock, or warrants or other rights to purchase shares of the Common Stock or any such securities. In addition, the undersigned hereby waives any and all preemptive rights, participation rights (including concurrent private placement rights), resale rights, rights of first refusal and similar rights that the undersigned may have in connection with the Public Offering or with any issuance or sale by the Company of any equity or other securities before the Public Offering, except for any such rights as have been heretofore duly exercised.</w:t>
      </w:r>
    </w:p>
    <w:p>
      <w:pPr>
        <w:spacing w:after="0" w:line="164" w:lineRule="exact"/>
        <w:rPr>
          <w:sz w:val="20"/>
          <w:szCs w:val="20"/>
          <w:color w:val="auto"/>
        </w:rPr>
      </w:pPr>
    </w:p>
    <w:p>
      <w:pPr>
        <w:ind w:right="20" w:firstLine="409"/>
        <w:spacing w:after="0" w:line="268" w:lineRule="auto"/>
        <w:rPr>
          <w:sz w:val="20"/>
          <w:szCs w:val="20"/>
          <w:color w:val="auto"/>
        </w:rPr>
      </w:pPr>
      <w:r>
        <w:rPr>
          <w:rFonts w:ascii="Arial" w:cs="Arial" w:eastAsia="Arial" w:hAnsi="Arial"/>
          <w:sz w:val="16"/>
          <w:szCs w:val="16"/>
          <w:color w:val="auto"/>
        </w:rPr>
        <w:t>This agreement (and for the avoidance of doubt, the Lock-Up Period described herein) and related restrictions shall automatically terminate upon the earliest to occur, if any, of (i) either the Company, on the one hand, or BofAS and Jefferies, on the other hand, advising the other in writing prior to the execution of the Underwriting Agreement that it has determined not to proceed with the Public Offering, (ii) the termination of the Underwriting Agreement before the sale of any shares of the Common Stock to the underwriters, (iii) the registration statement filed with the SEC with respect to the Public Offering contemplated by the Underwriting Agreement is withdrawn or (iv) June 30, 2020, in the event the consummation of the Public Offering shall not have occurred on or before such date (provided, that the Company may by written notice to the undersigned prior to June 30, 2020 extend such date for a period of up to an additional three months).</w:t>
      </w:r>
    </w:p>
    <w:p>
      <w:pPr>
        <w:spacing w:after="0" w:line="169" w:lineRule="exact"/>
        <w:rPr>
          <w:sz w:val="20"/>
          <w:szCs w:val="20"/>
          <w:color w:val="auto"/>
        </w:rPr>
      </w:pPr>
    </w:p>
    <w:p>
      <w:pPr>
        <w:ind w:left="4760" w:right="4180" w:hanging="539"/>
        <w:spacing w:after="0" w:line="528" w:lineRule="auto"/>
        <w:tabs>
          <w:tab w:leader="none" w:pos="4310" w:val="left"/>
        </w:tabs>
        <w:numPr>
          <w:ilvl w:val="0"/>
          <w:numId w:val="203"/>
        </w:numPr>
        <w:rPr>
          <w:rFonts w:ascii="Arial" w:cs="Arial" w:eastAsia="Arial" w:hAnsi="Arial"/>
          <w:sz w:val="15"/>
          <w:szCs w:val="15"/>
          <w:color w:val="auto"/>
        </w:rPr>
      </w:pPr>
      <w:r>
        <w:rPr>
          <w:rFonts w:ascii="Arial" w:cs="Arial" w:eastAsia="Arial" w:hAnsi="Arial"/>
          <w:sz w:val="15"/>
          <w:szCs w:val="15"/>
          <w:i w:val="1"/>
          <w:iCs w:val="1"/>
          <w:color w:val="auto"/>
        </w:rPr>
        <w:t xml:space="preserve">Signature Page Follows </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Ex A-2 - 4</w:t>
      </w:r>
    </w:p>
    <w:p>
      <w:pPr>
        <w:sectPr>
          <w:pgSz w:w="11900" w:h="16838" w:orient="portrait"/>
          <w:cols w:equalWidth="0" w:num="1">
            <w:col w:w="10200"/>
          </w:cols>
          <w:pgMar w:left="820" w:top="265" w:right="879" w:bottom="1440" w:gutter="0" w:footer="0" w:header="0"/>
        </w:sectPr>
      </w:pPr>
    </w:p>
    <w:bookmarkStart w:id="277" w:name="page278"/>
    <w:bookmarkEnd w:id="277"/>
    <w:p>
      <w:pPr>
        <w:ind w:left="5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Very truly yours,</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signatory is an individual</w:t>
      </w:r>
      <w:r>
        <w:rPr>
          <w:rFonts w:ascii="Arial" w:cs="Arial" w:eastAsia="Arial" w:hAnsi="Arial"/>
          <w:sz w:val="16"/>
          <w:szCs w:val="16"/>
          <w:color w:val="auto"/>
        </w:rPr>
        <w:t>]</w:t>
      </w: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 signatory is an entity</w:t>
      </w:r>
      <w:r>
        <w:rPr>
          <w:rFonts w:ascii="Arial" w:cs="Arial" w:eastAsia="Arial" w:hAnsi="Arial"/>
          <w:sz w:val="17"/>
          <w:szCs w:val="17"/>
          <w:color w:val="auto"/>
        </w:rPr>
        <w:t>]</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11430</wp:posOffset>
            </wp:positionV>
            <wp:extent cx="20726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375" w:lineRule="exact"/>
        <w:rPr>
          <w:sz w:val="20"/>
          <w:szCs w:val="20"/>
          <w:color w:val="auto"/>
        </w:rPr>
      </w:pPr>
    </w:p>
    <w:p>
      <w:pPr>
        <w:ind w:left="3200" w:hanging="88"/>
        <w:spacing w:after="0"/>
        <w:tabs>
          <w:tab w:leader="none" w:pos="3200"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 xml:space="preserve">Signature Page to Lock-Up Agreement </w:t>
      </w:r>
      <w:r>
        <w:rPr>
          <w:rFonts w:ascii="Arial" w:cs="Arial" w:eastAsia="Arial" w:hAnsi="Arial"/>
          <w:sz w:val="17"/>
          <w:szCs w:val="17"/>
          <w:color w:val="auto"/>
        </w:rPr>
        <w:t>]</w:t>
      </w:r>
    </w:p>
    <w:p>
      <w:pPr>
        <w:sectPr>
          <w:pgSz w:w="11900" w:h="16838" w:orient="portrait"/>
          <w:cols w:equalWidth="0" w:num="1">
            <w:col w:w="9019"/>
          </w:cols>
          <w:pgMar w:left="1440" w:top="265"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PRESS RELEASE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ISSUED PURSUANT TO SECTION 3(j)</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Lyra Therapeutics, Inc.</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20</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Lyra Therapeutics, Inc. (the “Company”) announced today that BofAS and Jefferies, the lead book-running managers in the Company’s recent public</w:t>
      </w:r>
    </w:p>
    <w:p>
      <w:pPr>
        <w:spacing w:after="0" w:line="41"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sale of [●] shares of common stock, is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279" w:lineRule="exact"/>
        <w:rPr>
          <w:sz w:val="20"/>
          <w:szCs w:val="20"/>
          <w:color w:val="auto"/>
        </w:rPr>
      </w:pPr>
    </w:p>
    <w:p>
      <w:pPr>
        <w:jc w:val="both"/>
        <w:ind w:right="260"/>
        <w:spacing w:after="0" w:line="259"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w:t>
      </w:r>
      <w:r>
        <w:rPr>
          <w:rFonts w:ascii="Arial" w:cs="Arial" w:eastAsia="Arial" w:hAnsi="Arial"/>
          <w:sz w:val="13"/>
          <w:szCs w:val="13"/>
          <w:color w:val="auto"/>
        </w:rPr>
        <w:t>X</w:t>
      </w:r>
      <w:r>
        <w:rPr>
          <w:rFonts w:ascii="Arial" w:cs="Arial" w:eastAsia="Arial" w:hAnsi="Arial"/>
          <w:sz w:val="17"/>
          <w:szCs w:val="17"/>
          <w:color w:val="auto"/>
        </w:rPr>
        <w:t>B-1</w:t>
      </w:r>
    </w:p>
    <w:p>
      <w:pPr>
        <w:sectPr>
          <w:pgSz w:w="11900" w:h="16838" w:orient="portrait"/>
          <w:cols w:equalWidth="0" w:num="1">
            <w:col w:w="10240"/>
          </w:cols>
          <w:pgMar w:left="820" w:top="265" w:right="839" w:bottom="1440" w:gutter="0" w:footer="0" w:header="0"/>
        </w:sectPr>
      </w:pPr>
    </w:p>
    <w:bookmarkStart w:id="279" w:name="page280"/>
    <w:bookmarkEnd w:id="279"/>
    <w:p>
      <w:pPr>
        <w:spacing w:after="0" w:line="4" w:lineRule="exact"/>
        <w:rPr>
          <w:sz w:val="20"/>
          <w:szCs w:val="20"/>
          <w:color w:val="auto"/>
        </w:rPr>
      </w:pPr>
    </w:p>
    <w:p>
      <w:pPr>
        <w:jc w:val="center"/>
        <w:ind w:right="5160"/>
        <w:spacing w:after="0"/>
        <w:rPr>
          <w:sz w:val="20"/>
          <w:szCs w:val="20"/>
          <w:color w:val="auto"/>
        </w:rPr>
      </w:pPr>
      <w:r>
        <w:rPr>
          <w:rFonts w:ascii="Arial" w:cs="Arial" w:eastAsia="Arial" w:hAnsi="Arial"/>
          <w:sz w:val="17"/>
          <w:szCs w:val="17"/>
          <w:color w:val="auto"/>
        </w:rPr>
        <w:t>State of Delaware</w:t>
      </w:r>
    </w:p>
    <w:p>
      <w:pPr>
        <w:spacing w:after="0" w:line="18" w:lineRule="exact"/>
        <w:rPr>
          <w:sz w:val="20"/>
          <w:szCs w:val="20"/>
          <w:color w:val="auto"/>
        </w:rPr>
      </w:pPr>
    </w:p>
    <w:p>
      <w:pPr>
        <w:jc w:val="center"/>
        <w:ind w:right="5160"/>
        <w:spacing w:after="0"/>
        <w:rPr>
          <w:sz w:val="20"/>
          <w:szCs w:val="20"/>
          <w:color w:val="auto"/>
        </w:rPr>
      </w:pPr>
      <w:r>
        <w:rPr>
          <w:rFonts w:ascii="Arial" w:cs="Arial" w:eastAsia="Arial" w:hAnsi="Arial"/>
          <w:sz w:val="17"/>
          <w:szCs w:val="17"/>
          <w:color w:val="auto"/>
        </w:rPr>
        <w:t>Secretary of State</w:t>
      </w:r>
    </w:p>
    <w:p>
      <w:pPr>
        <w:spacing w:after="0" w:line="5" w:lineRule="exact"/>
        <w:rPr>
          <w:sz w:val="20"/>
          <w:szCs w:val="20"/>
          <w:color w:val="auto"/>
        </w:rPr>
      </w:pPr>
    </w:p>
    <w:p>
      <w:pPr>
        <w:jc w:val="center"/>
        <w:ind w:right="5160"/>
        <w:spacing w:after="0"/>
        <w:rPr>
          <w:sz w:val="20"/>
          <w:szCs w:val="20"/>
          <w:color w:val="auto"/>
        </w:rPr>
      </w:pPr>
      <w:r>
        <w:rPr>
          <w:rFonts w:ascii="Arial" w:cs="Arial" w:eastAsia="Arial" w:hAnsi="Arial"/>
          <w:sz w:val="17"/>
          <w:szCs w:val="17"/>
          <w:color w:val="auto"/>
        </w:rPr>
        <w:t>Division of Corporations</w:t>
      </w:r>
    </w:p>
    <w:p>
      <w:pPr>
        <w:spacing w:after="0" w:line="5" w:lineRule="exact"/>
        <w:rPr>
          <w:sz w:val="20"/>
          <w:szCs w:val="20"/>
          <w:color w:val="auto"/>
        </w:rPr>
      </w:pPr>
    </w:p>
    <w:p>
      <w:pPr>
        <w:jc w:val="center"/>
        <w:ind w:right="5160"/>
        <w:spacing w:after="0"/>
        <w:rPr>
          <w:sz w:val="20"/>
          <w:szCs w:val="20"/>
          <w:color w:val="auto"/>
        </w:rPr>
      </w:pPr>
      <w:r>
        <w:rPr>
          <w:rFonts w:ascii="Arial" w:cs="Arial" w:eastAsia="Arial" w:hAnsi="Arial"/>
          <w:sz w:val="17"/>
          <w:szCs w:val="17"/>
          <w:color w:val="auto"/>
        </w:rPr>
        <w:t>Delivered 12:28 PM 01/10/2020</w:t>
      </w:r>
    </w:p>
    <w:p>
      <w:pPr>
        <w:spacing w:after="0" w:line="5" w:lineRule="exact"/>
        <w:rPr>
          <w:sz w:val="20"/>
          <w:szCs w:val="20"/>
          <w:color w:val="auto"/>
        </w:rPr>
      </w:pPr>
    </w:p>
    <w:p>
      <w:pPr>
        <w:jc w:val="center"/>
        <w:ind w:right="5160"/>
        <w:spacing w:after="0"/>
        <w:rPr>
          <w:sz w:val="20"/>
          <w:szCs w:val="20"/>
          <w:color w:val="auto"/>
        </w:rPr>
      </w:pPr>
      <w:r>
        <w:rPr>
          <w:rFonts w:ascii="Arial" w:cs="Arial" w:eastAsia="Arial" w:hAnsi="Arial"/>
          <w:sz w:val="17"/>
          <w:szCs w:val="17"/>
          <w:color w:val="auto"/>
        </w:rPr>
        <w:t>FILED 12:28 PM 01/10/2020</w:t>
      </w:r>
    </w:p>
    <w:p>
      <w:pPr>
        <w:spacing w:after="0" w:line="5" w:lineRule="exact"/>
        <w:rPr>
          <w:sz w:val="20"/>
          <w:szCs w:val="20"/>
          <w:color w:val="auto"/>
        </w:rPr>
      </w:pPr>
    </w:p>
    <w:p>
      <w:pPr>
        <w:jc w:val="center"/>
        <w:ind w:right="5160"/>
        <w:spacing w:after="0"/>
        <w:rPr>
          <w:sz w:val="20"/>
          <w:szCs w:val="20"/>
          <w:color w:val="auto"/>
        </w:rPr>
      </w:pPr>
      <w:r>
        <w:rPr>
          <w:rFonts w:ascii="Arial" w:cs="Arial" w:eastAsia="Arial" w:hAnsi="Arial"/>
          <w:sz w:val="15"/>
          <w:szCs w:val="15"/>
          <w:color w:val="auto"/>
        </w:rPr>
        <w:t>SR 20200201657 - File Number 4064768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Exhibit 3.1</w:t>
      </w:r>
    </w:p>
    <w:p>
      <w:pPr>
        <w:spacing w:after="0" w:line="1220" w:lineRule="exact"/>
        <w:rPr>
          <w:sz w:val="20"/>
          <w:szCs w:val="20"/>
          <w:color w:val="auto"/>
        </w:rPr>
      </w:pPr>
    </w:p>
    <w:p>
      <w:pPr>
        <w:sectPr>
          <w:pgSz w:w="11900" w:h="16838" w:orient="portrait"/>
          <w:cols w:equalWidth="0" w:num="2">
            <w:col w:w="8740" w:space="720"/>
            <w:col w:w="780"/>
          </w:cols>
          <w:pgMar w:left="820" w:top="123" w:right="83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LYRA THERAPEUTICS, INC.</w:t>
      </w:r>
    </w:p>
    <w:p>
      <w:pPr>
        <w:sectPr>
          <w:pgSz w:w="11900" w:h="16838" w:orient="portrait"/>
          <w:cols w:equalWidth="0" w:num="1">
            <w:col w:w="10240"/>
          </w:cols>
          <w:pgMar w:left="820" w:top="123" w:right="839" w:bottom="1440" w:gutter="0" w:footer="0" w:header="0"/>
          <w:type w:val="continuous"/>
        </w:sectPr>
      </w:pPr>
    </w:p>
    <w:p>
      <w:pPr>
        <w:spacing w:after="0" w:line="210" w:lineRule="exact"/>
        <w:rPr>
          <w:sz w:val="20"/>
          <w:szCs w:val="20"/>
          <w:color w:val="auto"/>
        </w:rPr>
      </w:pPr>
    </w:p>
    <w:p>
      <w:pPr>
        <w:ind w:right="700" w:firstLine="409"/>
        <w:spacing w:after="0" w:line="268" w:lineRule="auto"/>
        <w:rPr>
          <w:sz w:val="20"/>
          <w:szCs w:val="20"/>
          <w:color w:val="auto"/>
        </w:rPr>
      </w:pPr>
      <w:r>
        <w:rPr>
          <w:rFonts w:ascii="Arial" w:cs="Arial" w:eastAsia="Arial" w:hAnsi="Arial"/>
          <w:sz w:val="17"/>
          <w:szCs w:val="17"/>
          <w:color w:val="auto"/>
        </w:rPr>
        <w:t>Lyra Therapeutics, Inc., a corporation organized and existing under the General Corporation Law of the State of Delaware (the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Corporation Law</w:t>
      </w:r>
      <w:r>
        <w:rPr>
          <w:rFonts w:ascii="Arial" w:cs="Arial" w:eastAsia="Arial" w:hAnsi="Arial"/>
          <w:sz w:val="17"/>
          <w:szCs w:val="17"/>
          <w:color w:val="auto"/>
        </w:rPr>
        <w:t>”), does hereby certify as follows:</w:t>
      </w:r>
    </w:p>
    <w:p>
      <w:pPr>
        <w:spacing w:after="0" w:line="66" w:lineRule="exact"/>
        <w:rPr>
          <w:sz w:val="20"/>
          <w:szCs w:val="20"/>
          <w:color w:val="auto"/>
        </w:rPr>
      </w:pPr>
    </w:p>
    <w:p>
      <w:pPr>
        <w:ind w:right="80" w:firstLine="412"/>
        <w:spacing w:after="0" w:line="268" w:lineRule="auto"/>
        <w:tabs>
          <w:tab w:leader="none" w:pos="57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name of the corporation is Lyra Therapeutics, Inc. The original Certificate of Incorporation of this corporation was filed with the Secretary of State of the State of Delaware on November 21, 2005 under the corporate name WMR Biomedical, Inc.</w:t>
      </w:r>
    </w:p>
    <w:p>
      <w:pPr>
        <w:spacing w:after="0" w:line="165" w:lineRule="exact"/>
        <w:rPr>
          <w:rFonts w:ascii="Arial" w:cs="Arial" w:eastAsia="Arial" w:hAnsi="Arial"/>
          <w:sz w:val="17"/>
          <w:szCs w:val="17"/>
          <w:color w:val="auto"/>
        </w:rPr>
      </w:pPr>
    </w:p>
    <w:p>
      <w:pPr>
        <w:jc w:val="both"/>
        <w:ind w:right="160" w:firstLine="412"/>
        <w:spacing w:after="0" w:line="307" w:lineRule="auto"/>
        <w:tabs>
          <w:tab w:leader="none" w:pos="577"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This Amended and Restated Certificate of Incorporation, which amends, restates and integrates the provisions of this corporation’s Certificate of Incorporation (this “</w:t>
      </w:r>
      <w:r>
        <w:rPr>
          <w:rFonts w:ascii="Arial" w:cs="Arial" w:eastAsia="Arial" w:hAnsi="Arial"/>
          <w:sz w:val="15"/>
          <w:szCs w:val="15"/>
          <w:u w:val="single" w:color="auto"/>
          <w:color w:val="auto"/>
        </w:rPr>
        <w:t>Amended and Restated Certificate of Incorporation</w:t>
      </w:r>
      <w:r>
        <w:rPr>
          <w:rFonts w:ascii="Arial" w:cs="Arial" w:eastAsia="Arial" w:hAnsi="Arial"/>
          <w:sz w:val="15"/>
          <w:szCs w:val="15"/>
          <w:color w:val="auto"/>
        </w:rPr>
        <w:t>”), was duly adopted in accordance with the provisions of Sections 141, 242 and 245 of the General Corporation Law and by the written consent of its stockholders in accordance Section 228 of the General Corporation Law.</w:t>
      </w:r>
    </w:p>
    <w:p>
      <w:pPr>
        <w:spacing w:after="0" w:line="141" w:lineRule="exact"/>
        <w:rPr>
          <w:rFonts w:ascii="Arial" w:cs="Arial" w:eastAsia="Arial" w:hAnsi="Arial"/>
          <w:sz w:val="15"/>
          <w:szCs w:val="15"/>
          <w:color w:val="auto"/>
        </w:rPr>
      </w:pPr>
    </w:p>
    <w:p>
      <w:pPr>
        <w:ind w:left="580" w:hanging="168"/>
        <w:spacing w:after="0"/>
        <w:tabs>
          <w:tab w:leader="none" w:pos="5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This corporation’s Certificate of Incorporation is hereby amended and restated in its entirety to provide as herein set forth in full.</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The name of the corporation is Lyra Therapeutics,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The address of the Corporation’s registered office in the State of Delaware is 1209 Orange Street, in the City of Wilmington, County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New Castle, State of Delaware, Zip Code 19801. The name of its registered agent at such address is: The Corporation Trust Company.</w:t>
      </w:r>
    </w:p>
    <w:p>
      <w:pPr>
        <w:spacing w:after="0" w:line="194" w:lineRule="exact"/>
        <w:rPr>
          <w:sz w:val="20"/>
          <w:szCs w:val="20"/>
          <w:color w:val="auto"/>
        </w:rPr>
      </w:pPr>
    </w:p>
    <w:p>
      <w:pPr>
        <w:ind w:right="360" w:firstLine="409"/>
        <w:spacing w:after="0" w:line="26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The purpose of the Corporation is to engage in any lawful act or activity for which corporations may be organized under the General Corporation Law.</w:t>
      </w:r>
    </w:p>
    <w:p>
      <w:pPr>
        <w:spacing w:after="0" w:line="166" w:lineRule="exact"/>
        <w:rPr>
          <w:sz w:val="20"/>
          <w:szCs w:val="20"/>
          <w:color w:val="auto"/>
        </w:rPr>
      </w:pPr>
    </w:p>
    <w:p>
      <w:pPr>
        <w:ind w:right="120" w:firstLine="409"/>
        <w:spacing w:after="0" w:line="287" w:lineRule="auto"/>
        <w:rPr>
          <w:sz w:val="20"/>
          <w:szCs w:val="20"/>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xml:space="preserve"> Effective immediately and automatically upon the filing with the Secretary of State of the State of Delaware of this Amended and Restated Certificate of Incorporation (the “</w:t>
      </w:r>
      <w:r>
        <w:rPr>
          <w:rFonts w:ascii="Arial" w:cs="Arial" w:eastAsia="Arial" w:hAnsi="Arial"/>
          <w:sz w:val="15"/>
          <w:szCs w:val="15"/>
          <w:u w:val="single" w:color="auto"/>
          <w:color w:val="auto"/>
        </w:rPr>
        <w:t>Effective Time</w:t>
      </w:r>
      <w:r>
        <w:rPr>
          <w:rFonts w:ascii="Arial" w:cs="Arial" w:eastAsia="Arial" w:hAnsi="Arial"/>
          <w:sz w:val="15"/>
          <w:szCs w:val="15"/>
          <w:color w:val="auto"/>
        </w:rPr>
        <w:t>”), (i) each share of Series A-l Preferred Stock (as defined below) that was previously reclassified from Pre-Recapitalization Series A Preferred Stock (as defined below) outstanding or issued and held in treasury immediately prior to the Effective Time shall be reclassified into one share of Series A-l/A Preferred Stock (as defined below), (ii) each share of Series A-l Preferred Stock that was previously reclassified from Pre-Recapitalization Series B Preferred Stock (as defined below) outstanding or issued and held in treasury immediately prior to the Effective Time shall be reclassified into one share of Series A-l/B Preferred Stock (as defined below), and (iii) each share of Series A-l Preferred Stock that was previously reclassified from Pre-Recapitalization Series C Preferred Stock (as defined below) outstanding or issued and held in treasury immediately prior to the Effective Time shall be reclassified into one share of Series A-l/C Preferred Stock (as defined below).</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- 1 -</w:t>
      </w:r>
    </w:p>
    <w:p>
      <w:pPr>
        <w:sectPr>
          <w:pgSz w:w="11900" w:h="16838" w:orient="portrait"/>
          <w:cols w:equalWidth="0" w:num="1">
            <w:col w:w="10240"/>
          </w:cols>
          <w:pgMar w:left="820" w:top="123" w:right="839" w:bottom="1440" w:gutter="0" w:footer="0" w:header="0"/>
          <w:type w:val="continuous"/>
        </w:sectPr>
      </w:pPr>
    </w:p>
    <w:bookmarkStart w:id="280" w:name="page281"/>
    <w:bookmarkEnd w:id="280"/>
    <w:p>
      <w:pPr>
        <w:ind w:firstLine="409"/>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total number of shares of all classes of stock which the Corporation shall have authority to issue is Six Hundred Ninety-Nine Million Three Hundred Thousand Two Hundred Eighty-Eight (699,300,288), of which (a) Four Hundred Million (400,000,000) shares shall be Common Stock, $0.001 par value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and (b) Two Hundred Ninety-Nine Million Three Hundred Thousand Two Hundred Eighty-Eight (299,300,288) shares shall be Preferred Stock, $0.001 par value per share (“</w:t>
      </w:r>
      <w:r>
        <w:rPr>
          <w:rFonts w:ascii="Arial" w:cs="Arial" w:eastAsia="Arial" w:hAnsi="Arial"/>
          <w:sz w:val="15"/>
          <w:szCs w:val="15"/>
          <w:u w:val="single" w:color="auto"/>
          <w:color w:val="auto"/>
        </w:rPr>
        <w:t>Preferred Stock</w:t>
      </w:r>
      <w:r>
        <w:rPr>
          <w:rFonts w:ascii="Arial" w:cs="Arial" w:eastAsia="Arial" w:hAnsi="Arial"/>
          <w:sz w:val="15"/>
          <w:szCs w:val="15"/>
          <w:color w:val="auto"/>
        </w:rPr>
        <w:t>”), Seven Million Five Hundred Fifty-Four Thousand Six Hundred Fifty-Four (7,554,654) of which shall be designated Series A-1/A Convertible Preferred Stock (“</w:t>
      </w:r>
      <w:r>
        <w:rPr>
          <w:rFonts w:ascii="Arial" w:cs="Arial" w:eastAsia="Arial" w:hAnsi="Arial"/>
          <w:sz w:val="15"/>
          <w:szCs w:val="15"/>
          <w:u w:val="single" w:color="auto"/>
          <w:color w:val="auto"/>
        </w:rPr>
        <w:t>Series A-l/A Preferred Stock</w:t>
      </w:r>
      <w:r>
        <w:rPr>
          <w:rFonts w:ascii="Arial" w:cs="Arial" w:eastAsia="Arial" w:hAnsi="Arial"/>
          <w:sz w:val="15"/>
          <w:szCs w:val="15"/>
          <w:color w:val="auto"/>
        </w:rPr>
        <w:t>”), Ten Million Five Thousand Six Hundred Seventy-Seven (10,005,677) of which shall be designated Series A-l/B Convertible Preferred Stock (“</w:t>
      </w:r>
      <w:r>
        <w:rPr>
          <w:rFonts w:ascii="Arial" w:cs="Arial" w:eastAsia="Arial" w:hAnsi="Arial"/>
          <w:sz w:val="15"/>
          <w:szCs w:val="15"/>
          <w:u w:val="single" w:color="auto"/>
          <w:color w:val="auto"/>
        </w:rPr>
        <w:t>Series A-l/B Preferred Stock</w:t>
      </w:r>
      <w:r>
        <w:rPr>
          <w:rFonts w:ascii="Arial" w:cs="Arial" w:eastAsia="Arial" w:hAnsi="Arial"/>
          <w:sz w:val="15"/>
          <w:szCs w:val="15"/>
          <w:color w:val="auto"/>
        </w:rPr>
        <w:t>”), Sixteen Million Four Hundred Fifty-Six Thousand Seven Hundred Two (16,456,702) of which shall be designated Series A-l/C Convertible Preferred Stock (“</w:t>
      </w:r>
      <w:r>
        <w:rPr>
          <w:rFonts w:ascii="Arial" w:cs="Arial" w:eastAsia="Arial" w:hAnsi="Arial"/>
          <w:sz w:val="15"/>
          <w:szCs w:val="15"/>
          <w:u w:val="single" w:color="auto"/>
          <w:color w:val="auto"/>
        </w:rPr>
        <w:t>Series A-l/C Preferred Stock</w:t>
      </w:r>
      <w:r>
        <w:rPr>
          <w:rFonts w:ascii="Arial" w:cs="Arial" w:eastAsia="Arial" w:hAnsi="Arial"/>
          <w:sz w:val="15"/>
          <w:szCs w:val="15"/>
          <w:color w:val="auto"/>
        </w:rPr>
        <w:t>” and, together with the Series A-l/A Preferred Stock and the Series A-l/B Preferred Stock, the “</w:t>
      </w:r>
      <w:r>
        <w:rPr>
          <w:rFonts w:ascii="Arial" w:cs="Arial" w:eastAsia="Arial" w:hAnsi="Arial"/>
          <w:sz w:val="15"/>
          <w:szCs w:val="15"/>
          <w:u w:val="single" w:color="auto"/>
          <w:color w:val="auto"/>
        </w:rPr>
        <w:t>Series 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 Stock</w:t>
      </w:r>
      <w:r>
        <w:rPr>
          <w:rFonts w:ascii="Arial" w:cs="Arial" w:eastAsia="Arial" w:hAnsi="Arial"/>
          <w:sz w:val="15"/>
          <w:szCs w:val="15"/>
          <w:color w:val="auto"/>
        </w:rPr>
        <w:t>”), Twenty-Six Million Six Hundred Eighty Thousand Two Hundred Two (26,680,202) of which shall be designated Series A-2 Convertible Preferred Stock (“</w:t>
      </w:r>
      <w:r>
        <w:rPr>
          <w:rFonts w:ascii="Arial" w:cs="Arial" w:eastAsia="Arial" w:hAnsi="Arial"/>
          <w:sz w:val="15"/>
          <w:szCs w:val="15"/>
          <w:u w:val="single" w:color="auto"/>
          <w:color w:val="auto"/>
        </w:rPr>
        <w:t>Series A-2 Preferred Stock</w:t>
      </w:r>
      <w:r>
        <w:rPr>
          <w:rFonts w:ascii="Arial" w:cs="Arial" w:eastAsia="Arial" w:hAnsi="Arial"/>
          <w:sz w:val="15"/>
          <w:szCs w:val="15"/>
          <w:color w:val="auto"/>
        </w:rPr>
        <w:t>”), Thirty Million Seventy Thousand Four Hundred Eighty-Seven (30,070,487) of which shall be designated Series A-3 Convertible Preferred Stock (“</w:t>
      </w:r>
      <w:r>
        <w:rPr>
          <w:rFonts w:ascii="Arial" w:cs="Arial" w:eastAsia="Arial" w:hAnsi="Arial"/>
          <w:sz w:val="15"/>
          <w:szCs w:val="15"/>
          <w:u w:val="single" w:color="auto"/>
          <w:color w:val="auto"/>
        </w:rPr>
        <w:t>Series A-3 Preferred Stock</w:t>
      </w:r>
      <w:r>
        <w:rPr>
          <w:rFonts w:ascii="Arial" w:cs="Arial" w:eastAsia="Arial" w:hAnsi="Arial"/>
          <w:sz w:val="15"/>
          <w:szCs w:val="15"/>
          <w:color w:val="auto"/>
        </w:rPr>
        <w:t>”), Nineteen Million Nine Hundred Ninety-Nine Thousand Nine Hundred Ninety-Nine (19,999,999) of which shall be designated Series A-4 Convertible Preferred Stock (“</w:t>
      </w:r>
      <w:r>
        <w:rPr>
          <w:rFonts w:ascii="Arial" w:cs="Arial" w:eastAsia="Arial" w:hAnsi="Arial"/>
          <w:sz w:val="15"/>
          <w:szCs w:val="15"/>
          <w:u w:val="single" w:color="auto"/>
          <w:color w:val="auto"/>
        </w:rPr>
        <w:t>Series A-4 Preferred Stock</w:t>
      </w:r>
      <w:r>
        <w:rPr>
          <w:rFonts w:ascii="Arial" w:cs="Arial" w:eastAsia="Arial" w:hAnsi="Arial"/>
          <w:sz w:val="15"/>
          <w:szCs w:val="15"/>
          <w:color w:val="auto"/>
        </w:rPr>
        <w:t>”), Ninety-Eight Million Three Hundred Fifty-One Thousand Nine Hundred Fifty-Three (98,351,953) of which shall be designated Series B Convertible Preferred Stock (“</w:t>
      </w:r>
      <w:r>
        <w:rPr>
          <w:rFonts w:ascii="Arial" w:cs="Arial" w:eastAsia="Arial" w:hAnsi="Arial"/>
          <w:sz w:val="15"/>
          <w:szCs w:val="15"/>
          <w:u w:val="single" w:color="auto"/>
          <w:color w:val="auto"/>
        </w:rPr>
        <w:t>Series B Preferred Stock</w:t>
      </w:r>
      <w:r>
        <w:rPr>
          <w:rFonts w:ascii="Arial" w:cs="Arial" w:eastAsia="Arial" w:hAnsi="Arial"/>
          <w:sz w:val="15"/>
          <w:szCs w:val="15"/>
          <w:color w:val="auto"/>
        </w:rPr>
        <w:t>”), and Ninety Million One Hundred Eighty Thousand Six Hundred Fourteen (90,180,614) of which shall be designated Series C Convertible Preferred Stock (“</w:t>
      </w:r>
      <w:r>
        <w:rPr>
          <w:rFonts w:ascii="Arial" w:cs="Arial" w:eastAsia="Arial" w:hAnsi="Arial"/>
          <w:sz w:val="15"/>
          <w:szCs w:val="15"/>
          <w:u w:val="single" w:color="auto"/>
          <w:color w:val="auto"/>
        </w:rPr>
        <w:t>Series C Preferred Stock</w:t>
      </w:r>
      <w:r>
        <w:rPr>
          <w:rFonts w:ascii="Arial" w:cs="Arial" w:eastAsia="Arial" w:hAnsi="Arial"/>
          <w:sz w:val="15"/>
          <w:szCs w:val="15"/>
          <w:color w:val="auto"/>
        </w:rPr>
        <w:t>”).</w:t>
      </w:r>
    </w:p>
    <w:p>
      <w:pPr>
        <w:spacing w:after="0" w:line="163" w:lineRule="exact"/>
        <w:rPr>
          <w:sz w:val="20"/>
          <w:szCs w:val="20"/>
          <w:color w:val="auto"/>
        </w:rPr>
      </w:pPr>
    </w:p>
    <w:p>
      <w:pPr>
        <w:ind w:right="80" w:firstLine="409"/>
        <w:spacing w:after="0" w:line="268" w:lineRule="auto"/>
        <w:rPr>
          <w:sz w:val="20"/>
          <w:szCs w:val="20"/>
          <w:color w:val="auto"/>
        </w:rPr>
      </w:pPr>
      <w:r>
        <w:rPr>
          <w:rFonts w:ascii="Arial" w:cs="Arial" w:eastAsia="Arial" w:hAnsi="Arial"/>
          <w:sz w:val="17"/>
          <w:szCs w:val="17"/>
          <w:color w:val="auto"/>
        </w:rPr>
        <w:t>The following is a statement of the designations and the powers, privileges and rights, and the qualifications, limitations or restrictions thereof, in respect of each class of capital stock of the Corporation.</w:t>
      </w:r>
    </w:p>
    <w:p>
      <w:pPr>
        <w:spacing w:after="0" w:line="304" w:lineRule="exact"/>
        <w:rPr>
          <w:sz w:val="20"/>
          <w:szCs w:val="20"/>
          <w:color w:val="auto"/>
        </w:rPr>
      </w:pPr>
    </w:p>
    <w:p>
      <w:pPr>
        <w:ind w:left="400" w:hanging="397"/>
        <w:spacing w:after="0"/>
        <w:tabs>
          <w:tab w:leader="none" w:pos="40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COMMON STOCK</w:t>
      </w:r>
    </w:p>
    <w:p>
      <w:pPr>
        <w:spacing w:after="0" w:line="105" w:lineRule="exact"/>
        <w:rPr>
          <w:rFonts w:ascii="Arial" w:cs="Arial" w:eastAsia="Arial" w:hAnsi="Arial"/>
          <w:sz w:val="17"/>
          <w:szCs w:val="17"/>
          <w:color w:val="auto"/>
        </w:rPr>
      </w:pPr>
    </w:p>
    <w:p>
      <w:pPr>
        <w:ind w:right="60" w:firstLine="412"/>
        <w:spacing w:after="0" w:line="257" w:lineRule="auto"/>
        <w:tabs>
          <w:tab w:leader="none" w:pos="577"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voting, dividend and liquidation rights of the holders of Common Stock are subject to and qualified by the rights of the holders of Preferred Stock of any series as may be designated by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upon any issuance of Preferred Stock of any series.</w:t>
      </w:r>
    </w:p>
    <w:p>
      <w:pPr>
        <w:spacing w:after="0" w:line="175" w:lineRule="exact"/>
        <w:rPr>
          <w:rFonts w:ascii="Arial" w:cs="Arial" w:eastAsia="Arial" w:hAnsi="Arial"/>
          <w:sz w:val="17"/>
          <w:szCs w:val="17"/>
          <w:color w:val="auto"/>
        </w:rPr>
      </w:pPr>
    </w:p>
    <w:p>
      <w:pPr>
        <w:ind w:right="60" w:firstLine="412"/>
        <w:spacing w:after="0" w:line="268" w:lineRule="auto"/>
        <w:tabs>
          <w:tab w:leader="none" w:pos="577"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The holders of Common Stock are entitled to one vote for each share held at all meetings of stockholders (and written actions in lieu of meetings). There shall be no cumulative voting.</w:t>
      </w:r>
    </w:p>
    <w:p>
      <w:pPr>
        <w:spacing w:after="0" w:line="166" w:lineRule="exact"/>
        <w:rPr>
          <w:sz w:val="20"/>
          <w:szCs w:val="20"/>
          <w:color w:val="auto"/>
        </w:rPr>
      </w:pPr>
    </w:p>
    <w:p>
      <w:pPr>
        <w:ind w:right="80" w:firstLine="409"/>
        <w:spacing w:after="0" w:line="257" w:lineRule="auto"/>
        <w:rPr>
          <w:sz w:val="20"/>
          <w:szCs w:val="20"/>
          <w:color w:val="auto"/>
        </w:rPr>
      </w:pPr>
      <w:r>
        <w:rPr>
          <w:rFonts w:ascii="Arial" w:cs="Arial" w:eastAsia="Arial" w:hAnsi="Arial"/>
          <w:sz w:val="17"/>
          <w:szCs w:val="17"/>
          <w:color w:val="auto"/>
        </w:rPr>
        <w:t>The number of authorized shares of Common Stock may be increased or decreased (but not below the number of shares thereof then outstanding) by the affirmative vote of the holders of a majority of the capital stock of the Corporation entitled to vote, irrespective of the provisions of Section 242(b) of the General Corporation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0220"/>
          </w:cols>
          <w:pgMar w:left="820" w:top="265" w:right="859" w:bottom="1440" w:gutter="0" w:footer="0" w:header="0"/>
        </w:sectPr>
      </w:pPr>
    </w:p>
    <w:bookmarkStart w:id="281" w:name="page282"/>
    <w:bookmarkEnd w:id="281"/>
    <w:p>
      <w:pPr>
        <w:ind w:left="-3" w:right="440" w:firstLine="412"/>
        <w:spacing w:after="0" w:line="268" w:lineRule="auto"/>
        <w:tabs>
          <w:tab w:leader="none" w:pos="574"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Dividends</w:t>
      </w:r>
      <w:r>
        <w:rPr>
          <w:rFonts w:ascii="Arial" w:cs="Arial" w:eastAsia="Arial" w:hAnsi="Arial"/>
          <w:sz w:val="17"/>
          <w:szCs w:val="17"/>
          <w:color w:val="auto"/>
        </w:rPr>
        <w:t>. Dividends may be declared and paid on Common Stock from funds lawfully available therefor as and when determined by the Board of Directors and subject to any preferential dividend rights of any then outstanding Preferred Stock.</w:t>
      </w:r>
    </w:p>
    <w:p>
      <w:pPr>
        <w:spacing w:after="0" w:line="165" w:lineRule="exact"/>
        <w:rPr>
          <w:rFonts w:ascii="Arial" w:cs="Arial" w:eastAsia="Arial" w:hAnsi="Arial"/>
          <w:sz w:val="17"/>
          <w:szCs w:val="17"/>
          <w:color w:val="auto"/>
        </w:rPr>
      </w:pPr>
    </w:p>
    <w:p>
      <w:pPr>
        <w:ind w:left="-3" w:firstLine="412"/>
        <w:spacing w:after="0" w:line="257" w:lineRule="auto"/>
        <w:tabs>
          <w:tab w:leader="none" w:pos="574"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Upon the dissolution or liquidation of the Corporation, whether voluntary or involuntary, holders of Common Stock will be entitled to receive all assets of the Corporation available for distribution to its stockholders, subject to any preferential rights of any then outstanding Preferred Stock.</w:t>
      </w:r>
    </w:p>
    <w:p>
      <w:pPr>
        <w:spacing w:after="0" w:line="200" w:lineRule="exact"/>
        <w:rPr>
          <w:rFonts w:ascii="Arial" w:cs="Arial" w:eastAsia="Arial" w:hAnsi="Arial"/>
          <w:sz w:val="17"/>
          <w:szCs w:val="17"/>
          <w:color w:val="auto"/>
        </w:rPr>
      </w:pPr>
    </w:p>
    <w:p>
      <w:pPr>
        <w:ind w:left="397" w:hanging="397"/>
        <w:spacing w:after="0"/>
        <w:tabs>
          <w:tab w:leader="none" w:pos="397"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417"/>
        <w:spacing w:after="0"/>
        <w:rPr>
          <w:rFonts w:ascii="Arial" w:cs="Arial" w:eastAsia="Arial" w:hAnsi="Arial"/>
          <w:sz w:val="17"/>
          <w:szCs w:val="17"/>
          <w:color w:val="auto"/>
        </w:rPr>
      </w:pPr>
      <w:r>
        <w:rPr>
          <w:rFonts w:ascii="Arial" w:cs="Arial" w:eastAsia="Arial" w:hAnsi="Arial"/>
          <w:sz w:val="17"/>
          <w:szCs w:val="17"/>
          <w:color w:val="auto"/>
        </w:rPr>
        <w:t>The Preferred Stock has the following rights, preferences, powers, privileges and restrictions, qualifications and limitations.</w:t>
      </w:r>
    </w:p>
    <w:p>
      <w:pPr>
        <w:spacing w:after="0" w:line="206" w:lineRule="exact"/>
        <w:rPr>
          <w:rFonts w:ascii="Arial" w:cs="Arial" w:eastAsia="Arial" w:hAnsi="Arial"/>
          <w:sz w:val="17"/>
          <w:szCs w:val="17"/>
          <w:color w:val="auto"/>
        </w:rPr>
      </w:pPr>
    </w:p>
    <w:p>
      <w:pPr>
        <w:ind w:left="577" w:hanging="168"/>
        <w:spacing w:after="0"/>
        <w:tabs>
          <w:tab w:leader="none" w:pos="577"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3" w:right="100" w:firstLine="924"/>
        <w:spacing w:after="0" w:line="271" w:lineRule="auto"/>
        <w:tabs>
          <w:tab w:leader="none" w:pos="1147" w:val="left"/>
        </w:tabs>
        <w:numPr>
          <w:ilvl w:val="2"/>
          <w:numId w:val="208"/>
        </w:numPr>
        <w:rPr>
          <w:rFonts w:ascii="Arial" w:cs="Arial" w:eastAsia="Arial" w:hAnsi="Arial"/>
          <w:sz w:val="16"/>
          <w:szCs w:val="16"/>
          <w:color w:val="auto"/>
        </w:rPr>
      </w:pPr>
      <w:r>
        <w:rPr>
          <w:rFonts w:ascii="Arial" w:cs="Arial" w:eastAsia="Arial" w:hAnsi="Arial"/>
          <w:sz w:val="16"/>
          <w:szCs w:val="16"/>
          <w:color w:val="auto"/>
        </w:rPr>
        <w:t>The holders of shares of Preferred Stock shall be entitled to receive dividends in any fiscal year, when, as and if declared by the Board of Directors, out of any assets at the time legally available therefor, provided that such dividend payable on the Series C Preferred Stock and Series B Preferred Stock shall not be lesser than the amount of any dividend to be paid on any other class or series of capital stock of the Corporation. Any dividends may, at the option of the holder of Preferred Stock, be paid to such holder in such number of shares of Common Stock determined in accordance with the then effective Conversion Price (as defined below), as applicable.</w:t>
      </w:r>
    </w:p>
    <w:p>
      <w:pPr>
        <w:spacing w:after="0" w:line="166" w:lineRule="exact"/>
        <w:rPr>
          <w:rFonts w:ascii="Arial" w:cs="Arial" w:eastAsia="Arial" w:hAnsi="Arial"/>
          <w:sz w:val="16"/>
          <w:szCs w:val="16"/>
          <w:color w:val="auto"/>
        </w:rPr>
      </w:pPr>
    </w:p>
    <w:p>
      <w:pPr>
        <w:ind w:left="-3" w:right="20" w:firstLine="924"/>
        <w:spacing w:after="0" w:line="269" w:lineRule="auto"/>
        <w:tabs>
          <w:tab w:leader="none" w:pos="1156" w:val="left"/>
        </w:tabs>
        <w:numPr>
          <w:ilvl w:val="2"/>
          <w:numId w:val="208"/>
        </w:numPr>
        <w:rPr>
          <w:rFonts w:ascii="Arial" w:cs="Arial" w:eastAsia="Arial" w:hAnsi="Arial"/>
          <w:sz w:val="16"/>
          <w:szCs w:val="16"/>
          <w:color w:val="auto"/>
        </w:rPr>
      </w:pPr>
      <w:r>
        <w:rPr>
          <w:rFonts w:ascii="Arial" w:cs="Arial" w:eastAsia="Arial" w:hAnsi="Arial"/>
          <w:sz w:val="16"/>
          <w:szCs w:val="16"/>
          <w:color w:val="auto"/>
        </w:rPr>
        <w:t>The Corporation shall not declare or pay any dividends on shares of any other class or series of capital stock of the Corporation (other than dividends on shares of Common Stock payable in shares of Common Stock) unless each of the holders of the Series C Preferred Stock and Series B Preferred Stock then outstanding shall have first received, or there shall have been declared and set aside for payment, a cash dividend on each outstanding share of Series C Preferred Stock and Series B Preferred Stock in an amount at least equal to the product of (i) the per share amount, if any, of the dividends to be declared, paid or set aside for the Common Stock, multiplied by (ii) the number of shares of Common Stock into which such share of Series C Preferred Stock or Series B Preferred Stock, as applicable, is then convertible.</w:t>
      </w:r>
    </w:p>
    <w:p>
      <w:pPr>
        <w:spacing w:after="0" w:line="168" w:lineRule="exact"/>
        <w:rPr>
          <w:rFonts w:ascii="Arial" w:cs="Arial" w:eastAsia="Arial" w:hAnsi="Arial"/>
          <w:sz w:val="16"/>
          <w:szCs w:val="16"/>
          <w:color w:val="auto"/>
        </w:rPr>
      </w:pPr>
    </w:p>
    <w:p>
      <w:pPr>
        <w:ind w:left="-3" w:right="40" w:firstLine="924"/>
        <w:spacing w:after="0" w:line="293" w:lineRule="auto"/>
        <w:tabs>
          <w:tab w:leader="none" w:pos="1147" w:val="left"/>
        </w:tabs>
        <w:numPr>
          <w:ilvl w:val="2"/>
          <w:numId w:val="208"/>
        </w:numPr>
        <w:rPr>
          <w:rFonts w:ascii="Arial" w:cs="Arial" w:eastAsia="Arial" w:hAnsi="Arial"/>
          <w:sz w:val="15"/>
          <w:szCs w:val="15"/>
          <w:color w:val="auto"/>
        </w:rPr>
      </w:pPr>
      <w:r>
        <w:rPr>
          <w:rFonts w:ascii="Arial" w:cs="Arial" w:eastAsia="Arial" w:hAnsi="Arial"/>
          <w:sz w:val="15"/>
          <w:szCs w:val="15"/>
          <w:color w:val="auto"/>
        </w:rPr>
        <w:t>Thereafter, the Corporation shall not declare or pay any cash dividends on shares of Common Stock unless each of the holders of the Series A-4 Preferred Stock and Junior Preferred Stock (as defined below) then outstanding shall have first received, or there shall have been declared and set aside for payment, a cash dividend on each outstanding share of Series A-4 Preferred Stock and Junior Preferred Stock in an amount equal to the product of (i) the per share amount, if any, of the dividends to be declared, paid or set aside for the Common Stock, multiplied by (ii) the number of shares of Common Stock into which such share of Series A-4 Preferred Stock and Junior Preferred Stock is then convertible.</w:t>
      </w:r>
    </w:p>
    <w:p>
      <w:pPr>
        <w:spacing w:after="0" w:line="152" w:lineRule="exact"/>
        <w:rPr>
          <w:rFonts w:ascii="Arial" w:cs="Arial" w:eastAsia="Arial" w:hAnsi="Arial"/>
          <w:sz w:val="15"/>
          <w:szCs w:val="15"/>
          <w:color w:val="auto"/>
        </w:rPr>
      </w:pPr>
    </w:p>
    <w:p>
      <w:pPr>
        <w:ind w:left="577" w:hanging="168"/>
        <w:spacing w:after="0"/>
        <w:tabs>
          <w:tab w:leader="none" w:pos="577"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Liquidation, Dissolution or Winding Up; Certain Mergers, Consolidations and Asset Sales</w:t>
      </w:r>
      <w:r>
        <w:rPr>
          <w:rFonts w:ascii="Arial" w:cs="Arial" w:eastAsia="Arial" w:hAnsi="Arial"/>
          <w:sz w:val="17"/>
          <w:szCs w:val="17"/>
          <w:color w:val="auto"/>
        </w:rPr>
        <w:t>.</w:t>
      </w:r>
    </w:p>
    <w:p>
      <w:pPr>
        <w:spacing w:after="0" w:line="143" w:lineRule="exact"/>
        <w:rPr>
          <w:rFonts w:ascii="Arial" w:cs="Arial" w:eastAsia="Arial" w:hAnsi="Arial"/>
          <w:sz w:val="17"/>
          <w:szCs w:val="17"/>
          <w:color w:val="auto"/>
        </w:rPr>
      </w:pPr>
    </w:p>
    <w:p>
      <w:pPr>
        <w:ind w:left="5077" w:hanging="95"/>
        <w:spacing w:after="0"/>
        <w:tabs>
          <w:tab w:leader="none" w:pos="5077" w:val="left"/>
        </w:tabs>
        <w:numPr>
          <w:ilvl w:val="3"/>
          <w:numId w:val="208"/>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0237"/>
          </w:cols>
          <w:pgMar w:left="823" w:top="265" w:right="839" w:bottom="1440" w:gutter="0" w:footer="0" w:header="0"/>
        </w:sectPr>
      </w:pPr>
    </w:p>
    <w:bookmarkStart w:id="282" w:name="page283"/>
    <w:bookmarkEnd w:id="282"/>
    <w:p>
      <w:pPr>
        <w:ind w:left="1157" w:hanging="236"/>
        <w:spacing w:after="0"/>
        <w:tabs>
          <w:tab w:leader="none" w:pos="1157"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Liquidation Amount</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3" w:firstLine="1334"/>
        <w:spacing w:after="0" w:line="266" w:lineRule="auto"/>
        <w:tabs>
          <w:tab w:leader="none" w:pos="1529" w:val="left"/>
        </w:tabs>
        <w:numPr>
          <w:ilvl w:val="2"/>
          <w:numId w:val="209"/>
        </w:numPr>
        <w:rPr>
          <w:rFonts w:ascii="Arial" w:cs="Arial" w:eastAsia="Arial" w:hAnsi="Arial"/>
          <w:sz w:val="16"/>
          <w:szCs w:val="16"/>
          <w:color w:val="auto"/>
        </w:rPr>
      </w:pPr>
      <w:r>
        <w:rPr>
          <w:rFonts w:ascii="Arial" w:cs="Arial" w:eastAsia="Arial" w:hAnsi="Arial"/>
          <w:sz w:val="16"/>
          <w:szCs w:val="16"/>
          <w:color w:val="auto"/>
        </w:rPr>
        <w:t>Reference is hereby made to the Corporation’s amended and restated certificate of incorporation as it was amended and restated on August 25, 2011, whereby effective immediately and automatically upon the filing by the Corporation with the Secretary of State of the State of Delaware of such amended and restated certificate of incorporation (the “</w:t>
      </w:r>
      <w:r>
        <w:rPr>
          <w:rFonts w:ascii="Arial" w:cs="Arial" w:eastAsia="Arial" w:hAnsi="Arial"/>
          <w:sz w:val="16"/>
          <w:szCs w:val="16"/>
          <w:u w:val="single" w:color="auto"/>
          <w:color w:val="auto"/>
        </w:rPr>
        <w:t>Recapitalization Effective Time</w:t>
      </w:r>
      <w:r>
        <w:rPr>
          <w:rFonts w:ascii="Arial" w:cs="Arial" w:eastAsia="Arial" w:hAnsi="Arial"/>
          <w:sz w:val="16"/>
          <w:szCs w:val="16"/>
          <w:color w:val="auto"/>
        </w:rPr>
        <w:t>”), (A) each share of the Corporation’s Series A Convertible Preferred Stock, $0.001 par value per share (“</w:t>
      </w:r>
      <w:r>
        <w:rPr>
          <w:rFonts w:ascii="Arial" w:cs="Arial" w:eastAsia="Arial" w:hAnsi="Arial"/>
          <w:sz w:val="16"/>
          <w:szCs w:val="16"/>
          <w:u w:val="single" w:color="auto"/>
          <w:color w:val="auto"/>
        </w:rPr>
        <w:t>Pre-Recapitalization Series A Preferred Stock</w:t>
      </w:r>
      <w:r>
        <w:rPr>
          <w:rFonts w:ascii="Arial" w:cs="Arial" w:eastAsia="Arial" w:hAnsi="Arial"/>
          <w:sz w:val="16"/>
          <w:szCs w:val="16"/>
          <w:color w:val="auto"/>
        </w:rPr>
        <w:t>”), outstanding or issued and held in treasury immediately prior to the Recapitalization Effective Time was reclassified into one share of the Corporation’s Series A-l Preferred Stock, (B) each share of the Corporation’s Series B Convertible Preferred Stock, $0.001 par value per share (“</w:t>
      </w:r>
      <w:r>
        <w:rPr>
          <w:rFonts w:ascii="Arial" w:cs="Arial" w:eastAsia="Arial" w:hAnsi="Arial"/>
          <w:sz w:val="16"/>
          <w:szCs w:val="16"/>
          <w:u w:val="single" w:color="auto"/>
          <w:color w:val="auto"/>
        </w:rPr>
        <w:t>Pre-Recapitalization Series B Preferred Stock</w:t>
      </w:r>
      <w:r>
        <w:rPr>
          <w:rFonts w:ascii="Arial" w:cs="Arial" w:eastAsia="Arial" w:hAnsi="Arial"/>
          <w:sz w:val="16"/>
          <w:szCs w:val="16"/>
          <w:color w:val="auto"/>
        </w:rPr>
        <w:t>”), outstanding or issued and held in treasury immediately prior to the Recapitalization Effective Time was reclassified into such number of shares of Series A-l Preferred Stock equal to the quotient of $1.43 divided by $1.32, and (C) each share of the Corporation’s Series C Convertible Preferred Stock, $0.001 par value per share (“</w:t>
      </w:r>
      <w:r>
        <w:rPr>
          <w:rFonts w:ascii="Arial" w:cs="Arial" w:eastAsia="Arial" w:hAnsi="Arial"/>
          <w:sz w:val="16"/>
          <w:szCs w:val="16"/>
          <w:u w:val="single" w:color="auto"/>
          <w:color w:val="auto"/>
        </w:rPr>
        <w:t>Pre-Recapitalization Series C Preferred Stock</w:t>
      </w:r>
      <w:r>
        <w:rPr>
          <w:rFonts w:ascii="Arial" w:cs="Arial" w:eastAsia="Arial" w:hAnsi="Arial"/>
          <w:sz w:val="16"/>
          <w:szCs w:val="16"/>
          <w:color w:val="auto"/>
        </w:rPr>
        <w:t>”), outstanding or issued and held in treasury immediately prior to the Recapitalization Effective Time was reclassified into one share of Series A-l Preferred Stock.</w:t>
      </w:r>
    </w:p>
    <w:p>
      <w:pPr>
        <w:spacing w:after="0" w:line="170" w:lineRule="exact"/>
        <w:rPr>
          <w:rFonts w:ascii="Arial" w:cs="Arial" w:eastAsia="Arial" w:hAnsi="Arial"/>
          <w:sz w:val="16"/>
          <w:szCs w:val="16"/>
          <w:color w:val="auto"/>
        </w:rPr>
      </w:pPr>
    </w:p>
    <w:p>
      <w:pPr>
        <w:ind w:left="-3" w:firstLine="1334"/>
        <w:spacing w:after="0" w:line="282" w:lineRule="auto"/>
        <w:tabs>
          <w:tab w:leader="none" w:pos="1575" w:val="left"/>
        </w:tabs>
        <w:numPr>
          <w:ilvl w:val="2"/>
          <w:numId w:val="209"/>
        </w:numPr>
        <w:rPr>
          <w:rFonts w:ascii="Arial" w:cs="Arial" w:eastAsia="Arial" w:hAnsi="Arial"/>
          <w:sz w:val="15"/>
          <w:szCs w:val="15"/>
          <w:color w:val="auto"/>
        </w:rPr>
      </w:pPr>
      <w:r>
        <w:rPr>
          <w:rFonts w:ascii="Arial" w:cs="Arial" w:eastAsia="Arial" w:hAnsi="Arial"/>
          <w:sz w:val="15"/>
          <w:szCs w:val="15"/>
          <w:color w:val="auto"/>
        </w:rPr>
        <w:t>In the event of any voluntary or involuntary liquidation, dissolution or winding up of the Corporation, the holders of shares of the Series C Preferred Stock then outstanding shall be entitled to be paid out of the assets of the Corporation available for distribution to its stockholders, before any payment shall be made to the holders of Series A-l Preferred Stock, Series A-2 Preferred Stock, Series A-3 Preferred Stock (together with the Series A-l Preferred Stock and the Series A-2 Preferred Stock, the “</w:t>
      </w:r>
      <w:r>
        <w:rPr>
          <w:rFonts w:ascii="Arial" w:cs="Arial" w:eastAsia="Arial" w:hAnsi="Arial"/>
          <w:sz w:val="15"/>
          <w:szCs w:val="15"/>
          <w:u w:val="single" w:color="auto"/>
          <w:color w:val="auto"/>
        </w:rPr>
        <w:t>Junior Preferred Stock</w:t>
      </w:r>
      <w:r>
        <w:rPr>
          <w:rFonts w:ascii="Arial" w:cs="Arial" w:eastAsia="Arial" w:hAnsi="Arial"/>
          <w:sz w:val="15"/>
          <w:szCs w:val="15"/>
          <w:color w:val="auto"/>
        </w:rPr>
        <w:t>”), Series A-4 Preferred Stock, Series B Preferred Stock, the Common Stock or any other class or series of stock ranking on liquidation junior to the Series C Preferred Stock by reason of their ownership thereof, an amount equal to the greater of (A) the Series C Per Share Liquidation Amount (as defined below) plus any dividends declared but unpaid thereon, and</w:t>
      </w:r>
    </w:p>
    <w:p>
      <w:pPr>
        <w:spacing w:after="0" w:line="1" w:lineRule="exact"/>
        <w:rPr>
          <w:rFonts w:ascii="Arial" w:cs="Arial" w:eastAsia="Arial" w:hAnsi="Arial"/>
          <w:sz w:val="15"/>
          <w:szCs w:val="15"/>
          <w:color w:val="auto"/>
        </w:rPr>
      </w:pPr>
    </w:p>
    <w:p>
      <w:pPr>
        <w:ind w:left="-3" w:right="20" w:firstLine="3"/>
        <w:spacing w:after="0" w:line="247" w:lineRule="auto"/>
        <w:tabs>
          <w:tab w:leader="none" w:pos="262"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such amount per share as would have been payable had each such share of Series C Preferred Stock (but no other shares of Preferred Stock) converted into Common Stock pursuant to Section 4 immediately prior to such liquidation, dissolution or winding up. If upon any such liquidation, dissolution or winding up of the Corporation the remaining assets of the Corporation available for distribution to its stockholders shall be insufficient to pay each of the holders of the Series C Preferred Stock the full amount to which such holder shall be entitled, the holders of the Series C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186" w:lineRule="exact"/>
        <w:rPr>
          <w:rFonts w:ascii="Arial" w:cs="Arial" w:eastAsia="Arial" w:hAnsi="Arial"/>
          <w:sz w:val="17"/>
          <w:szCs w:val="17"/>
          <w:color w:val="auto"/>
        </w:rPr>
      </w:pPr>
    </w:p>
    <w:p>
      <w:pPr>
        <w:ind w:left="-3" w:right="20" w:firstLine="1334"/>
        <w:spacing w:after="0" w:line="251" w:lineRule="auto"/>
        <w:tabs>
          <w:tab w:leader="none" w:pos="1622" w:val="left"/>
        </w:tabs>
        <w:numPr>
          <w:ilvl w:val="2"/>
          <w:numId w:val="210"/>
        </w:numPr>
        <w:rPr>
          <w:rFonts w:ascii="Arial" w:cs="Arial" w:eastAsia="Arial" w:hAnsi="Arial"/>
          <w:sz w:val="17"/>
          <w:szCs w:val="17"/>
          <w:color w:val="auto"/>
        </w:rPr>
      </w:pPr>
      <w:r>
        <w:rPr>
          <w:rFonts w:ascii="Arial" w:cs="Arial" w:eastAsia="Arial" w:hAnsi="Arial"/>
          <w:sz w:val="17"/>
          <w:szCs w:val="17"/>
          <w:color w:val="auto"/>
        </w:rPr>
        <w:t>In the event of any voluntary or involuntary liquidation, dissolution or winding up of the Corporation, following any payments made to the holders of Series C Preferred Stock pursuant to the preceding paragraph, the holders of shares of the Series B Preferred Stock then outstanding shall be entitled to be paid out of the assets of the Corporation available for distribution to its stockholders, before any payment shall be made to the holders of Junior Preferred Stock, Series A-4 Preferred Stock, the Common Stock or any other class or series of stock ranking on liquidation junior to the Series B Preferred Stock by reason of their</w:t>
      </w:r>
    </w:p>
    <w:p>
      <w:pPr>
        <w:spacing w:after="0" w:line="120" w:lineRule="exact"/>
        <w:rPr>
          <w:rFonts w:ascii="Arial" w:cs="Arial" w:eastAsia="Arial" w:hAnsi="Arial"/>
          <w:sz w:val="17"/>
          <w:szCs w:val="17"/>
          <w:color w:val="auto"/>
        </w:rPr>
      </w:pPr>
    </w:p>
    <w:p>
      <w:pPr>
        <w:ind w:left="5077" w:hanging="95"/>
        <w:spacing w:after="0"/>
        <w:tabs>
          <w:tab w:leader="none" w:pos="5077" w:val="left"/>
        </w:tabs>
        <w:numPr>
          <w:ilvl w:val="3"/>
          <w:numId w:val="210"/>
        </w:numPr>
        <w:rPr>
          <w:rFonts w:ascii="Arial" w:cs="Arial" w:eastAsia="Arial" w:hAnsi="Arial"/>
          <w:sz w:val="17"/>
          <w:szCs w:val="17"/>
          <w:color w:val="auto"/>
        </w:rPr>
      </w:pPr>
      <w:r>
        <w:rPr>
          <w:rFonts w:ascii="Arial" w:cs="Arial" w:eastAsia="Arial" w:hAnsi="Arial"/>
          <w:sz w:val="17"/>
          <w:szCs w:val="17"/>
          <w:color w:val="auto"/>
        </w:rPr>
        <w:t>4 -</w:t>
      </w:r>
    </w:p>
    <w:p>
      <w:pPr>
        <w:sectPr>
          <w:pgSz w:w="11900" w:h="16838" w:orient="portrait"/>
          <w:cols w:equalWidth="0" w:num="1">
            <w:col w:w="10237"/>
          </w:cols>
          <w:pgMar w:left="823" w:top="265" w:right="839" w:bottom="1440" w:gutter="0" w:footer="0" w:header="0"/>
        </w:sectPr>
      </w:pPr>
    </w:p>
    <w:bookmarkStart w:id="283" w:name="page284"/>
    <w:bookmarkEnd w:id="283"/>
    <w:p>
      <w:pPr>
        <w:ind w:right="2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ownership thereof, an amount equal to the greater of (A) the Series B Per Share Liquidation Amount (as defined below) plus any dividends declared but unpaid thereon, and (B) such amount per share as would have been payable had each such share of Series B Preferred Stock (but no other shares of Preferred Stock) converted into Common Stock pursuant to Section 4 immediately prior to such liquidation, dissolution or winding up. If upon any such liquidation, dissolution or winding up of the Corporation the remaining assets of the Corporation available for distribution to its stockholders shall, following payment to the holders of the Series C Preferred Stock under Section 2(a)(ii) above, be insufficient to pay each of the holders of the Series B Preferred Stock the full amount to which such holder shall be entitled, the holders of the Series B Preferred Stock and any class or series of stock ranking on liquidation on a parity with the Series B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173" w:lineRule="exact"/>
        <w:rPr>
          <w:sz w:val="20"/>
          <w:szCs w:val="20"/>
          <w:color w:val="auto"/>
        </w:rPr>
      </w:pPr>
    </w:p>
    <w:p>
      <w:pPr>
        <w:ind w:firstLine="1334"/>
        <w:spacing w:after="0" w:line="264" w:lineRule="auto"/>
        <w:tabs>
          <w:tab w:leader="none" w:pos="161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 the event of any voluntary or involuntary liquidation, dissolution or winding up of the Corporation, following any payments made to the holders of Series C Preferred Stock and Series B Preferred Stock pursuant to the immediately preceding paragraphs, the holders of shares of the Series A-4 Preferred Stock then outstanding shall be entitled to be paid out of the assets of the Corporation available for distribution to its stockholders, before any payment shall be made to the holders of Junior Preferred Stock, the Common Stock or any other class or series of stock ranking on liquidation junior to the Series A-4 Preferred Stock by reason of their ownership thereof, an amount equal to the greater of (A) the Series A-4 Per Share Liquidation Amount (as defined below) plus any dividends declared but unpaid thereon, and (B) such amount per share as would have been payable had each such share of Series A-4 Preferred Stock converted into Common Stock pursuant to Section 4 immediately prior to such liquidation, dissolution or winding up, subject to the Liquidation Cap (as defined below). If upon any such liquidation, dissolution or winding up of the Corporation the remaining assets of the Corporation available for distribution to its stockholders shall, following payment to the holders of the Series C Preferred Stock and Series B Preferred Stock under Sections 2(a)(ii) and (iii) above, be insufficient to pay each of the holders of the Series A-4 Preferred Stock the full amount to which such holder shall be entitled, the holders of the Series A-4 Preferred Stock and any class or series of stock ranking on liquidation on a parity with the Series A-4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179" w:lineRule="exact"/>
        <w:rPr>
          <w:rFonts w:ascii="Arial" w:cs="Arial" w:eastAsia="Arial" w:hAnsi="Arial"/>
          <w:sz w:val="16"/>
          <w:szCs w:val="16"/>
          <w:color w:val="auto"/>
        </w:rPr>
      </w:pPr>
    </w:p>
    <w:p>
      <w:pPr>
        <w:ind w:right="80" w:firstLine="1334"/>
        <w:spacing w:after="0" w:line="250" w:lineRule="auto"/>
        <w:tabs>
          <w:tab w:leader="none" w:pos="156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 the event of any voluntary or involuntary liquidation, dissolution or winding up of the Corporation, following any payments made to the holders of Series C Preferred Stock, Series B Preferred Stock and Series A-4 Preferred Stock pursuant to the preceding paragraphs, the holders of shares of the Junior Preferred Stock then outstanding shall be entitled to be paid out of the assets of the Corporation available for distribution to its stockholders, before any payment shall be made to the holders of the Common Stock or any other class or series of stock ranking on liquidation junior to the Junior Preferred Stock by reason of their ownership thereof, an amount equal to (A) in the case of the Series A-1 Preferred Stock, the greater of (I) the applicable Series A-1 Per Share Liquidation Amount (as defined below) plus any dividends declared but unpaid thereon, or (II) such amount per share as would have</w:t>
      </w:r>
    </w:p>
    <w:p>
      <w:pPr>
        <w:spacing w:after="0" w:line="118" w:lineRule="exact"/>
        <w:rPr>
          <w:rFonts w:ascii="Arial" w:cs="Arial" w:eastAsia="Arial" w:hAnsi="Arial"/>
          <w:sz w:val="17"/>
          <w:szCs w:val="17"/>
          <w:color w:val="auto"/>
        </w:rPr>
      </w:pPr>
    </w:p>
    <w:p>
      <w:pPr>
        <w:ind w:left="5080" w:hanging="95"/>
        <w:spacing w:after="0"/>
        <w:tabs>
          <w:tab w:leader="none" w:pos="508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0240"/>
          </w:cols>
          <w:pgMar w:left="820" w:top="265" w:right="839" w:bottom="1440" w:gutter="0" w:footer="0" w:header="0"/>
        </w:sectPr>
      </w:pPr>
    </w:p>
    <w:bookmarkStart w:id="284" w:name="page285"/>
    <w:bookmarkEnd w:id="284"/>
    <w:p>
      <w:pPr>
        <w:ind w:right="80"/>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been payable had each such share of Series A-1 Preferred Stock converted into Common Stock pursuant to Section 4 immediately prior to such liquidation, dissolution or winding up, (B) in the case of the Series A-2 Preferred Stock, the greater of (I) the Series A-2 Per Share Liquidation Amount (as defined below) plus any dividends declared but unpaid thereon, or (II) such amount per share as would have been payable had each such share of Series A-2 Preferred Stock converted into Common Stock pursuant to Section 4 immediately prior to such liquidation, dissolution or winding up, and</w:t>
      </w:r>
    </w:p>
    <w:p>
      <w:pPr>
        <w:spacing w:after="0" w:line="2" w:lineRule="exact"/>
        <w:rPr>
          <w:sz w:val="20"/>
          <w:szCs w:val="20"/>
          <w:color w:val="auto"/>
        </w:rPr>
      </w:pPr>
    </w:p>
    <w:p>
      <w:pPr>
        <w:ind w:firstLine="3"/>
        <w:spacing w:after="0" w:line="282" w:lineRule="auto"/>
        <w:tabs>
          <w:tab w:leader="none" w:pos="265" w:val="left"/>
        </w:tabs>
        <w:numPr>
          <w:ilvl w:val="0"/>
          <w:numId w:val="212"/>
        </w:numPr>
        <w:rPr>
          <w:rFonts w:ascii="Arial" w:cs="Arial" w:eastAsia="Arial" w:hAnsi="Arial"/>
          <w:sz w:val="15"/>
          <w:szCs w:val="15"/>
          <w:color w:val="auto"/>
        </w:rPr>
      </w:pPr>
      <w:r>
        <w:rPr>
          <w:rFonts w:ascii="Arial" w:cs="Arial" w:eastAsia="Arial" w:hAnsi="Arial"/>
          <w:sz w:val="15"/>
          <w:szCs w:val="15"/>
          <w:color w:val="auto"/>
        </w:rPr>
        <w:t>in the case of the Series A-3 Preferred Stock, the greater of (I) the Series A-3 Per Share Liquidation Amount (as defined below) plus any dividends declared but unpaid thereon, or (II) such amount per share as would have been payable had each such share of Series A-3 Preferred Stock converted into Common Stock pursuant to Section 4 immediately prior to such liquidation, dissolution or winding up. In calculating whether a particular series of Junior Preferred Stock would receive upon conversion more than its stated liquidation amount, the conversion of each other series of Junior Preferred Stock is to be assumed if and only if such other series of Junior Preferred Stock would receive upon such conversion more than its stated liquidation amount. The combined aggregate Series A-4 Per Share Liquidation Amount and Junior Preferred Liquidation Amount payable pursuant to Section 2(a) (iv) and Section 2(a)(v) shall not exceed forty eight million dollars ($48,000,000) (the “Liquidation Cap”). The aggregate Series A-1 Per Share Liquidation Amount payable pursuant to clause (A) of this Section 2(a)(v) shall in no event exceed $29,806,552. If upon any such liquidation, dissolution or winding up of the Corporation the remaining assets of the Corporation available for distribution to its stockholders shall be insufficient to pay each of the holders of the Junior Preferred Stock the full amount to which such holder shall be entitled, the holders of the Junior Preferred Stock and any class or series of stock ranking on liquidation on a parity with the Junior Preferred Stock shall share ratably in any distribution of the remaining assets and funds of the Corporation in proportion to the respective amounts which would otherwise be payable in respect of the shares held by them upon such distribution if all amounts payable on or with respect to such shares were paid in full.</w:t>
      </w:r>
    </w:p>
    <w:p>
      <w:pPr>
        <w:spacing w:after="0" w:line="164" w:lineRule="exact"/>
        <w:rPr>
          <w:rFonts w:ascii="Arial" w:cs="Arial" w:eastAsia="Arial" w:hAnsi="Arial"/>
          <w:sz w:val="15"/>
          <w:szCs w:val="15"/>
          <w:color w:val="auto"/>
        </w:rPr>
      </w:pPr>
    </w:p>
    <w:p>
      <w:pPr>
        <w:ind w:left="1620" w:hanging="286"/>
        <w:spacing w:after="0"/>
        <w:tabs>
          <w:tab w:leader="none" w:pos="16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For purposes of this Article FOURTH, the following definitions shall apply:</w:t>
      </w:r>
    </w:p>
    <w:p>
      <w:pPr>
        <w:spacing w:after="0" w:line="105" w:lineRule="exact"/>
        <w:rPr>
          <w:rFonts w:ascii="Arial" w:cs="Arial" w:eastAsia="Arial" w:hAnsi="Arial"/>
          <w:sz w:val="17"/>
          <w:szCs w:val="17"/>
          <w:color w:val="auto"/>
        </w:rPr>
      </w:pPr>
    </w:p>
    <w:p>
      <w:pPr>
        <w:ind w:right="200" w:firstLine="1846"/>
        <w:spacing w:after="0" w:line="268" w:lineRule="auto"/>
        <w:tabs>
          <w:tab w:leader="none" w:pos="2118" w:val="left"/>
        </w:tabs>
        <w:numPr>
          <w:ilvl w:val="2"/>
          <w:numId w:val="2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Preferred Liquidation Amount</w:t>
      </w:r>
      <w:r>
        <w:rPr>
          <w:rFonts w:ascii="Arial" w:cs="Arial" w:eastAsia="Arial" w:hAnsi="Arial"/>
          <w:sz w:val="17"/>
          <w:szCs w:val="17"/>
          <w:color w:val="auto"/>
        </w:rPr>
        <w:t>” means, collectively, the Series A-1 Per Share Liquidation Amount, Series A-2 Per Share Liquidation Amount, and Series A-3 Per Share Liquidation Amount;</w:t>
      </w:r>
    </w:p>
    <w:p>
      <w:pPr>
        <w:spacing w:after="0" w:line="165" w:lineRule="exact"/>
        <w:rPr>
          <w:rFonts w:ascii="Arial" w:cs="Arial" w:eastAsia="Arial" w:hAnsi="Arial"/>
          <w:sz w:val="17"/>
          <w:szCs w:val="17"/>
          <w:color w:val="auto"/>
        </w:rPr>
      </w:pPr>
    </w:p>
    <w:p>
      <w:pPr>
        <w:ind w:left="2120" w:hanging="274"/>
        <w:spacing w:after="0"/>
        <w:tabs>
          <w:tab w:leader="none" w:pos="2120" w:val="left"/>
        </w:tabs>
        <w:numPr>
          <w:ilvl w:val="2"/>
          <w:numId w:val="2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A-1 Per Share Liquidation Amount</w:t>
      </w:r>
      <w:r>
        <w:rPr>
          <w:rFonts w:ascii="Arial" w:cs="Arial" w:eastAsia="Arial" w:hAnsi="Arial"/>
          <w:sz w:val="17"/>
          <w:szCs w:val="17"/>
          <w:color w:val="auto"/>
        </w:rPr>
        <w:t>” means, at a time of determination:</w:t>
      </w:r>
    </w:p>
    <w:p>
      <w:pPr>
        <w:spacing w:after="0" w:line="105" w:lineRule="exact"/>
        <w:rPr>
          <w:rFonts w:ascii="Arial" w:cs="Arial" w:eastAsia="Arial" w:hAnsi="Arial"/>
          <w:sz w:val="17"/>
          <w:szCs w:val="17"/>
          <w:color w:val="auto"/>
        </w:rPr>
      </w:pPr>
    </w:p>
    <w:p>
      <w:pPr>
        <w:ind w:firstLine="2256"/>
        <w:spacing w:after="0" w:line="257" w:lineRule="auto"/>
        <w:tabs>
          <w:tab w:leader="none" w:pos="2490" w:val="left"/>
        </w:tabs>
        <w:numPr>
          <w:ilvl w:val="3"/>
          <w:numId w:val="212"/>
        </w:numPr>
        <w:rPr>
          <w:rFonts w:ascii="Arial" w:cs="Arial" w:eastAsia="Arial" w:hAnsi="Arial"/>
          <w:sz w:val="17"/>
          <w:szCs w:val="17"/>
          <w:color w:val="auto"/>
        </w:rPr>
      </w:pPr>
      <w:r>
        <w:rPr>
          <w:rFonts w:ascii="Arial" w:cs="Arial" w:eastAsia="Arial" w:hAnsi="Arial"/>
          <w:sz w:val="17"/>
          <w:szCs w:val="17"/>
          <w:color w:val="auto"/>
        </w:rPr>
        <w:t>for each share of Series A-1/A Preferred Stock, $0.4058 per share (subject to appropriate adjustment in the event of any stock dividend, stock split, combination or other similar recapitalization occurring after the date hereof and affecting the number of issued and outstanding shares of Series A-1/A Preferred Stock);</w:t>
      </w:r>
    </w:p>
    <w:p>
      <w:pPr>
        <w:spacing w:after="0" w:line="175" w:lineRule="exact"/>
        <w:rPr>
          <w:rFonts w:ascii="Arial" w:cs="Arial" w:eastAsia="Arial" w:hAnsi="Arial"/>
          <w:sz w:val="17"/>
          <w:szCs w:val="17"/>
          <w:color w:val="auto"/>
        </w:rPr>
      </w:pPr>
    </w:p>
    <w:p>
      <w:pPr>
        <w:ind w:firstLine="2256"/>
        <w:spacing w:after="0" w:line="257" w:lineRule="auto"/>
        <w:tabs>
          <w:tab w:leader="none" w:pos="2490" w:val="left"/>
        </w:tabs>
        <w:numPr>
          <w:ilvl w:val="3"/>
          <w:numId w:val="212"/>
        </w:numPr>
        <w:rPr>
          <w:rFonts w:ascii="Arial" w:cs="Arial" w:eastAsia="Arial" w:hAnsi="Arial"/>
          <w:sz w:val="17"/>
          <w:szCs w:val="17"/>
          <w:color w:val="auto"/>
        </w:rPr>
      </w:pPr>
      <w:r>
        <w:rPr>
          <w:rFonts w:ascii="Arial" w:cs="Arial" w:eastAsia="Arial" w:hAnsi="Arial"/>
          <w:sz w:val="17"/>
          <w:szCs w:val="17"/>
          <w:color w:val="auto"/>
        </w:rPr>
        <w:t>for each share of Series A-1/B Preferred Stock, $0.4503 per share (subject to appropriate adjustment in the event of any stock dividend, stock split, combination or other similar recapitalization occurring after the date hereof and affecting the number of issued and outstanding shares of Series A-1/B Preferred Stock); and</w:t>
      </w:r>
    </w:p>
    <w:p>
      <w:pPr>
        <w:spacing w:after="0" w:line="112" w:lineRule="exact"/>
        <w:rPr>
          <w:rFonts w:ascii="Arial" w:cs="Arial" w:eastAsia="Arial" w:hAnsi="Arial"/>
          <w:sz w:val="17"/>
          <w:szCs w:val="17"/>
          <w:color w:val="auto"/>
        </w:rPr>
      </w:pPr>
    </w:p>
    <w:p>
      <w:pPr>
        <w:ind w:left="5080" w:hanging="95"/>
        <w:spacing w:after="0"/>
        <w:tabs>
          <w:tab w:leader="none" w:pos="5080" w:val="left"/>
        </w:tabs>
        <w:numPr>
          <w:ilvl w:val="4"/>
          <w:numId w:val="212"/>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0220"/>
          </w:cols>
          <w:pgMar w:left="820" w:top="265" w:right="859" w:bottom="1440" w:gutter="0" w:footer="0" w:header="0"/>
        </w:sectPr>
      </w:pPr>
    </w:p>
    <w:bookmarkStart w:id="285" w:name="page286"/>
    <w:bookmarkEnd w:id="285"/>
    <w:p>
      <w:pPr>
        <w:ind w:left="-620" w:firstLine="2256"/>
        <w:spacing w:after="0" w:line="257" w:lineRule="auto"/>
        <w:tabs>
          <w:tab w:leader="none" w:pos="1870" w:val="left"/>
        </w:tabs>
        <w:numPr>
          <w:ilvl w:val="3"/>
          <w:numId w:val="2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for each share of Series A-1/C Preferred Stock, $0.4002 per share (subject to appropriate adjustment in the event of any stock dividend, stock split, combination or other similar recapitalization occurring after the date hereof and affecting the number of issued and outstanding shares of Series A-1/C Preferred Stock);</w:t>
      </w:r>
    </w:p>
    <w:p>
      <w:pPr>
        <w:spacing w:after="0" w:line="175" w:lineRule="exact"/>
        <w:rPr>
          <w:rFonts w:ascii="Arial" w:cs="Arial" w:eastAsia="Arial" w:hAnsi="Arial"/>
          <w:sz w:val="17"/>
          <w:szCs w:val="17"/>
          <w:color w:val="auto"/>
        </w:rPr>
      </w:pPr>
    </w:p>
    <w:p>
      <w:pPr>
        <w:ind w:left="-620" w:right="120" w:firstLine="1846"/>
        <w:spacing w:after="0" w:line="257" w:lineRule="auto"/>
        <w:tabs>
          <w:tab w:leader="none" w:pos="1488" w:val="left"/>
        </w:tabs>
        <w:numPr>
          <w:ilvl w:val="2"/>
          <w:numId w:val="2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A-2 Per Share Liquidation Amount</w:t>
      </w:r>
      <w:r>
        <w:rPr>
          <w:rFonts w:ascii="Arial" w:cs="Arial" w:eastAsia="Arial" w:hAnsi="Arial"/>
          <w:sz w:val="17"/>
          <w:szCs w:val="17"/>
          <w:color w:val="auto"/>
        </w:rPr>
        <w:t>” means $0.3397 per share (subject to appropriate adjustment in the event of any stock dividend, stock split, combination or other similar recapitalization occurring after the date hereof and affecting the number of issued and outstanding shares of Series A-2 Preferred Stock);</w:t>
      </w:r>
    </w:p>
    <w:p>
      <w:pPr>
        <w:spacing w:after="0" w:line="175" w:lineRule="exact"/>
        <w:rPr>
          <w:rFonts w:ascii="Arial" w:cs="Arial" w:eastAsia="Arial" w:hAnsi="Arial"/>
          <w:sz w:val="17"/>
          <w:szCs w:val="17"/>
          <w:color w:val="auto"/>
        </w:rPr>
      </w:pPr>
    </w:p>
    <w:p>
      <w:pPr>
        <w:ind w:left="-620" w:right="100" w:firstLine="1846"/>
        <w:spacing w:after="0" w:line="257" w:lineRule="auto"/>
        <w:tabs>
          <w:tab w:leader="none" w:pos="1498" w:val="left"/>
        </w:tabs>
        <w:numPr>
          <w:ilvl w:val="2"/>
          <w:numId w:val="2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A-3 Per Share Liquidation Amount</w:t>
      </w:r>
      <w:r>
        <w:rPr>
          <w:rFonts w:ascii="Arial" w:cs="Arial" w:eastAsia="Arial" w:hAnsi="Arial"/>
          <w:sz w:val="17"/>
          <w:szCs w:val="17"/>
          <w:color w:val="auto"/>
        </w:rPr>
        <w:t>” means $0.6245 per share (subject to appropriate adjustment in the event of any stock dividend, stock split, combination or other similar recapitalization occurring after the date hereof and affecting the number of issued and outstanding shares of Series A-3 Preferred Stock);</w:t>
      </w:r>
    </w:p>
    <w:p>
      <w:pPr>
        <w:spacing w:after="0" w:line="175" w:lineRule="exact"/>
        <w:rPr>
          <w:rFonts w:ascii="Arial" w:cs="Arial" w:eastAsia="Arial" w:hAnsi="Arial"/>
          <w:sz w:val="17"/>
          <w:szCs w:val="17"/>
          <w:color w:val="auto"/>
        </w:rPr>
      </w:pPr>
    </w:p>
    <w:p>
      <w:pPr>
        <w:ind w:left="-620" w:right="20" w:firstLine="1846"/>
        <w:spacing w:after="0" w:line="257" w:lineRule="auto"/>
        <w:tabs>
          <w:tab w:leader="none" w:pos="1479" w:val="left"/>
        </w:tabs>
        <w:numPr>
          <w:ilvl w:val="2"/>
          <w:numId w:val="2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A-4 Per Share Liquidation Amount</w:t>
      </w:r>
      <w:r>
        <w:rPr>
          <w:rFonts w:ascii="Arial" w:cs="Arial" w:eastAsia="Arial" w:hAnsi="Arial"/>
          <w:sz w:val="17"/>
          <w:szCs w:val="17"/>
          <w:color w:val="auto"/>
        </w:rPr>
        <w:t>” means $0.30 per share (subject to appropriate adjustment in the event of any stock dividend, stock split, combination or other similar recapitalization occurring after the date hereof and affecting the number of issued and outstanding shares of Series A-4 Preferred Stock);</w:t>
      </w:r>
    </w:p>
    <w:p>
      <w:pPr>
        <w:spacing w:after="0" w:line="175" w:lineRule="exact"/>
        <w:rPr>
          <w:rFonts w:ascii="Arial" w:cs="Arial" w:eastAsia="Arial" w:hAnsi="Arial"/>
          <w:sz w:val="17"/>
          <w:szCs w:val="17"/>
          <w:color w:val="auto"/>
        </w:rPr>
      </w:pPr>
    </w:p>
    <w:p>
      <w:pPr>
        <w:ind w:left="-620" w:right="160" w:firstLine="1846"/>
        <w:spacing w:after="0" w:line="257" w:lineRule="auto"/>
        <w:tabs>
          <w:tab w:leader="none" w:pos="1470" w:val="left"/>
        </w:tabs>
        <w:numPr>
          <w:ilvl w:val="2"/>
          <w:numId w:val="2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B Per Share Liquidation Amount</w:t>
      </w:r>
      <w:r>
        <w:rPr>
          <w:rFonts w:ascii="Arial" w:cs="Arial" w:eastAsia="Arial" w:hAnsi="Arial"/>
          <w:sz w:val="17"/>
          <w:szCs w:val="17"/>
          <w:color w:val="auto"/>
        </w:rPr>
        <w:t>” means $0.30 per share (subject to appropriate adjustment in the event of any stock dividend, stock split, combination or other similar recapitalization occurring after the date hereof and affecting the number of issued and outstanding shares of Series B Preferred Stock); and</w:t>
      </w:r>
    </w:p>
    <w:p>
      <w:pPr>
        <w:spacing w:after="0" w:line="175" w:lineRule="exact"/>
        <w:rPr>
          <w:rFonts w:ascii="Arial" w:cs="Arial" w:eastAsia="Arial" w:hAnsi="Arial"/>
          <w:sz w:val="17"/>
          <w:szCs w:val="17"/>
          <w:color w:val="auto"/>
        </w:rPr>
      </w:pPr>
    </w:p>
    <w:p>
      <w:pPr>
        <w:ind w:left="-620" w:right="180" w:firstLine="1846"/>
        <w:spacing w:after="0" w:line="257" w:lineRule="auto"/>
        <w:tabs>
          <w:tab w:leader="none" w:pos="1498" w:val="left"/>
        </w:tabs>
        <w:numPr>
          <w:ilvl w:val="2"/>
          <w:numId w:val="2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C Per Share Liquidation Amount</w:t>
      </w:r>
      <w:r>
        <w:rPr>
          <w:rFonts w:ascii="Arial" w:cs="Arial" w:eastAsia="Arial" w:hAnsi="Arial"/>
          <w:sz w:val="17"/>
          <w:szCs w:val="17"/>
          <w:color w:val="auto"/>
        </w:rPr>
        <w:t>” means $0.38811 per share (subject to appropriate adjustment in the event of any stock dividend, stock split, combination or other similar recapitalization occurring after the date hereof and affecting the number of issued and outstanding shares of Series C Preferred Stock).</w:t>
      </w:r>
    </w:p>
    <w:p>
      <w:pPr>
        <w:spacing w:after="0" w:line="175" w:lineRule="exact"/>
        <w:rPr>
          <w:rFonts w:ascii="Arial" w:cs="Arial" w:eastAsia="Arial" w:hAnsi="Arial"/>
          <w:sz w:val="17"/>
          <w:szCs w:val="17"/>
          <w:color w:val="auto"/>
        </w:rPr>
      </w:pPr>
    </w:p>
    <w:p>
      <w:pPr>
        <w:ind w:left="-620" w:firstLine="1334"/>
        <w:spacing w:after="0" w:line="251" w:lineRule="auto"/>
        <w:tabs>
          <w:tab w:leader="none" w:pos="1041"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Any sale, assignment, transfer or other disposition, whether voluntarily or by operation of law (collectively, “</w:t>
      </w:r>
      <w:r>
        <w:rPr>
          <w:rFonts w:ascii="Arial" w:cs="Arial" w:eastAsia="Arial" w:hAnsi="Arial"/>
          <w:sz w:val="17"/>
          <w:szCs w:val="17"/>
          <w:u w:val="single" w:color="auto"/>
          <w:color w:val="auto"/>
        </w:rPr>
        <w:t>Transfer</w:t>
      </w:r>
      <w:r>
        <w:rPr>
          <w:rFonts w:ascii="Arial" w:cs="Arial" w:eastAsia="Arial" w:hAnsi="Arial"/>
          <w:sz w:val="17"/>
          <w:szCs w:val="17"/>
          <w:color w:val="auto"/>
        </w:rPr>
        <w:t>”), of any shares of Preferred Stock shall be void and shall transfer no right, title, or interest in or to such shares to the purported transferee (the “</w:t>
      </w:r>
      <w:r>
        <w:rPr>
          <w:rFonts w:ascii="Arial" w:cs="Arial" w:eastAsia="Arial" w:hAnsi="Arial"/>
          <w:sz w:val="17"/>
          <w:szCs w:val="17"/>
          <w:u w:val="single" w:color="auto"/>
          <w:color w:val="auto"/>
        </w:rPr>
        <w:t>Transferee</w:t>
      </w:r>
      <w:r>
        <w:rPr>
          <w:rFonts w:ascii="Arial" w:cs="Arial" w:eastAsia="Arial" w:hAnsi="Arial"/>
          <w:sz w:val="17"/>
          <w:szCs w:val="17"/>
          <w:color w:val="auto"/>
        </w:rPr>
        <w:t>”) unless prior to such Transfer the purported transferor (the “</w:t>
      </w:r>
      <w:r>
        <w:rPr>
          <w:rFonts w:ascii="Arial" w:cs="Arial" w:eastAsia="Arial" w:hAnsi="Arial"/>
          <w:sz w:val="17"/>
          <w:szCs w:val="17"/>
          <w:u w:val="single" w:color="auto"/>
          <w:color w:val="auto"/>
        </w:rPr>
        <w:t>Transferor</w:t>
      </w:r>
      <w:r>
        <w:rPr>
          <w:rFonts w:ascii="Arial" w:cs="Arial" w:eastAsia="Arial" w:hAnsi="Arial"/>
          <w:sz w:val="17"/>
          <w:szCs w:val="17"/>
          <w:color w:val="auto"/>
        </w:rPr>
        <w:t>”) of such shares delivers to the Secretary of the Corporation written notice of such Transfer (the “</w:t>
      </w:r>
      <w:r>
        <w:rPr>
          <w:rFonts w:ascii="Arial" w:cs="Arial" w:eastAsia="Arial" w:hAnsi="Arial"/>
          <w:sz w:val="17"/>
          <w:szCs w:val="17"/>
          <w:u w:val="single" w:color="auto"/>
          <w:color w:val="auto"/>
        </w:rPr>
        <w:t>Transfer Notice</w:t>
      </w:r>
      <w:r>
        <w:rPr>
          <w:rFonts w:ascii="Arial" w:cs="Arial" w:eastAsia="Arial" w:hAnsi="Arial"/>
          <w:sz w:val="17"/>
          <w:szCs w:val="17"/>
          <w:color w:val="auto"/>
        </w:rPr>
        <w:t>”). The Transfer Notice shall specify: (i) the name and address of the Transferee and (ii) the number of shares of Preferred Stock subject to the Transfer.</w:t>
      </w:r>
    </w:p>
    <w:p>
      <w:pPr>
        <w:spacing w:after="0" w:line="182" w:lineRule="exact"/>
        <w:rPr>
          <w:rFonts w:ascii="Arial" w:cs="Arial" w:eastAsia="Arial" w:hAnsi="Arial"/>
          <w:sz w:val="17"/>
          <w:szCs w:val="17"/>
          <w:color w:val="auto"/>
        </w:rPr>
      </w:pPr>
    </w:p>
    <w:p>
      <w:pPr>
        <w:ind w:left="-620" w:right="120" w:firstLine="924"/>
        <w:spacing w:after="0" w:line="293" w:lineRule="auto"/>
        <w:tabs>
          <w:tab w:leader="none" w:pos="539" w:val="left"/>
        </w:tabs>
        <w:numPr>
          <w:ilvl w:val="0"/>
          <w:numId w:val="216"/>
        </w:numPr>
        <w:rPr>
          <w:rFonts w:ascii="Arial" w:cs="Arial" w:eastAsia="Arial" w:hAnsi="Arial"/>
          <w:sz w:val="15"/>
          <w:szCs w:val="15"/>
          <w:color w:val="auto"/>
        </w:rPr>
      </w:pPr>
      <w:r>
        <w:rPr>
          <w:rFonts w:ascii="Arial" w:cs="Arial" w:eastAsia="Arial" w:hAnsi="Arial"/>
          <w:sz w:val="15"/>
          <w:szCs w:val="15"/>
          <w:color w:val="auto"/>
        </w:rPr>
        <w:t>After the payment of all preferential amounts required to be paid to the holders of Series C Preferred Stock, Series B Preferred Stock, Series A-4 Preferred Stock, Junior Preferred Stock and any other class or series of stock of the Corporation ranking on liquidation on a parity with the Series C Preferred Stock, Series B Preferred Stock, Series A-4 Preferred Stock, or Junior Preferred Stock, upon the dissolution, liquidation or winding up of the Corporation, any remaining assets and funds of the Corporation available for distribution to stockholders shall be distributed among the holders of the then outstanding Common Stock, pro rata according to the number of shares of Common Stock held by such holders.</w:t>
      </w:r>
    </w:p>
    <w:p>
      <w:pPr>
        <w:spacing w:after="0" w:line="89" w:lineRule="exact"/>
        <w:rPr>
          <w:rFonts w:ascii="Arial" w:cs="Arial" w:eastAsia="Arial" w:hAnsi="Arial"/>
          <w:sz w:val="15"/>
          <w:szCs w:val="15"/>
          <w:color w:val="auto"/>
        </w:rPr>
      </w:pPr>
    </w:p>
    <w:p>
      <w:pPr>
        <w:ind w:left="4460" w:hanging="95"/>
        <w:spacing w:after="0"/>
        <w:tabs>
          <w:tab w:leader="none" w:pos="4460" w:val="left"/>
        </w:tabs>
        <w:numPr>
          <w:ilvl w:val="4"/>
          <w:numId w:val="216"/>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9600"/>
          </w:cols>
          <w:pgMar w:left="1440" w:top="265" w:right="859" w:bottom="1440" w:gutter="0" w:footer="0" w:header="0"/>
        </w:sectPr>
      </w:pPr>
    </w:p>
    <w:bookmarkStart w:id="286" w:name="page287"/>
    <w:bookmarkEnd w:id="286"/>
    <w:p>
      <w:pPr>
        <w:ind w:left="-412" w:firstLine="924"/>
        <w:spacing w:after="0" w:line="282" w:lineRule="auto"/>
        <w:tabs>
          <w:tab w:leader="none" w:pos="737" w:val="left"/>
        </w:tabs>
        <w:numPr>
          <w:ilvl w:val="1"/>
          <w:numId w:val="21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 merger or consolidation in which the Corporation is a constituent party (except any such merger or consolidation involving the Corporation in which the holders of capital stock of the Corporation immediately prior to such merger or consolidation continue to hold immediately following such merger or consolidation a majority by voting power of the capital stock of (1) the surviving or resulting corporation or (2) if the surviving or resulting corporation is a wholly owned subsidiary of another corporation immediately following such merger or consolidation, the parent corporation of such resulting or surviving corporation, in each case in substantially the same proportions as such stockholders held the outstanding stock of the Corporation immediately prior thereto), or the sale, conveyance, lease, or other transfer (including by an irrevocable, exclusive, worldwide license having a duration of not less than the then-remaining life of the patents included in such license) of all or substantially all of the assets of the Corporation (except where such sale, conveyance, lease or other transfer is to a wholly owned subsidiary of the Corporation) shall be deemed to be a liquidation, dissolution or winding up of the Corporation for purposes of this Section 2 unless (A) the holders of a majority of the then outstanding shares of Preferred Stock voting together as a separate class on an as-converted basis, and (B) the holders of a majority of the then outstanding shares of Series C Preferred Stock voting together as a separate class on an as-converted basis, elect otherwise by giving written notice thereof to the Corporation before the effective date of such event. The Corporation shall promptly provide to the holders of shares of Preferred Stock such information concerning the terms of such merger, consolidation, sale, conveyance, lease or other transfer (including by an irrevocable, exclusive, worldwide license having a duration of not less than the then-remaining life of the patents included in such license) and the value of the assets of the Corporation in order to assist the holders of shares of Preferred Stock in determining whether to make such an election. The amount deemed distributed to the holders of Preferred Stock or Common Stock in connection with a transaction referred to in this Section 2(c) shall be the cash or the value of the property, rights or other securities distributed to such holders by the acquiring person, firm or other entity, or in the case of a sale, conveyance, lease or other transfer (including by an irrevocable, exclusive, worldwide license having a duration of not less than the then-remaining life of the patents included in such license) of assets, shall be the cash or the value of the property, rights or other securities distributed to such holder of capital stock of the Corporation in a dividend relating to such transaction. The value or property, rights or other securities shall be determined by and in the good faith discretion of the Board of Directors. Payment of preferential amounts required to be paid to the holders of Preferred Stock shall constitute a redemption of such Preferred Stock, and after such payment such shares of Preferred Stock shall cease to be outstanding for any purpose.</w:t>
      </w:r>
    </w:p>
    <w:p>
      <w:pPr>
        <w:spacing w:after="0" w:line="160" w:lineRule="exact"/>
        <w:rPr>
          <w:rFonts w:ascii="Arial" w:cs="Arial" w:eastAsia="Arial" w:hAnsi="Arial"/>
          <w:sz w:val="15"/>
          <w:szCs w:val="15"/>
          <w:color w:val="auto"/>
        </w:rPr>
      </w:pPr>
    </w:p>
    <w:p>
      <w:pPr>
        <w:ind w:left="168" w:hanging="168"/>
        <w:spacing w:after="0"/>
        <w:tabs>
          <w:tab w:leader="none" w:pos="168"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Voting.</w:t>
      </w:r>
    </w:p>
    <w:p>
      <w:pPr>
        <w:spacing w:after="0" w:line="206" w:lineRule="exact"/>
        <w:rPr>
          <w:rFonts w:ascii="Arial" w:cs="Arial" w:eastAsia="Arial" w:hAnsi="Arial"/>
          <w:sz w:val="17"/>
          <w:szCs w:val="17"/>
          <w:color w:val="auto"/>
        </w:rPr>
      </w:pPr>
    </w:p>
    <w:p>
      <w:pPr>
        <w:ind w:left="-412" w:right="140" w:firstLine="924"/>
        <w:spacing w:after="0" w:line="269" w:lineRule="auto"/>
        <w:tabs>
          <w:tab w:leader="none" w:pos="737"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Each holder of outstanding shares of Preferred Stock shall be entitled to the number of votes equal to the number of whole shares of Common Stock into which the shares of Preferred Stock held by such holder are then convertible (as adjusted from time to time pursuant to Section 4 hereof), at each meeting of stockholders of the Corporation (and written actions of stockholders in lieu of meetings) with respect to any and all matters presented to the stockholders of the Corporation for their action or consideration. Except as provided by law, or as otherwise set forth in this Amended and Restated Certificate of Incorporation, holders of Preferred Stock shall vote together with the holders of Common Stock as a single class on any actions to be taken by the stockholders of the Corporation.</w:t>
      </w:r>
    </w:p>
    <w:p>
      <w:pPr>
        <w:spacing w:after="0" w:line="105" w:lineRule="exact"/>
        <w:rPr>
          <w:rFonts w:ascii="Arial" w:cs="Arial" w:eastAsia="Arial" w:hAnsi="Arial"/>
          <w:sz w:val="16"/>
          <w:szCs w:val="16"/>
          <w:color w:val="auto"/>
        </w:rPr>
      </w:pPr>
    </w:p>
    <w:p>
      <w:pPr>
        <w:ind w:left="4668" w:hanging="95"/>
        <w:spacing w:after="0"/>
        <w:tabs>
          <w:tab w:leader="none" w:pos="4668" w:val="left"/>
        </w:tabs>
        <w:numPr>
          <w:ilvl w:val="2"/>
          <w:numId w:val="218"/>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9808"/>
          </w:cols>
          <w:pgMar w:left="1232" w:top="265" w:right="859" w:bottom="1440" w:gutter="0" w:footer="0" w:header="0"/>
        </w:sectPr>
      </w:pPr>
    </w:p>
    <w:bookmarkStart w:id="287" w:name="page288"/>
    <w:bookmarkEnd w:id="287"/>
    <w:p>
      <w:pPr>
        <w:ind w:left="-620" w:firstLine="924"/>
        <w:spacing w:after="0" w:line="298" w:lineRule="auto"/>
        <w:tabs>
          <w:tab w:leader="none" w:pos="539" w:val="left"/>
        </w:tabs>
        <w:numPr>
          <w:ilvl w:val="0"/>
          <w:numId w:val="2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addition to any other vote required by law or this Amended and Restated Certificate of Incorporation, without the written consent or affirmative vote of the holders of a majority of the shares of Series A-l Preferred Stock then outstanding, the Corporation shall not, either directly or by amendment, merger, consolidation or otherwise, amend or repeal the rights, preferences or privileges of the Series A-1 Preferred Stock set forth in this Amended and Restated Certificate of Incorporation, in a manner that adversely affects the holders of the Series A-l Preferred Stock.</w:t>
      </w:r>
    </w:p>
    <w:p>
      <w:pPr>
        <w:spacing w:after="0" w:line="147" w:lineRule="exact"/>
        <w:rPr>
          <w:rFonts w:ascii="Arial" w:cs="Arial" w:eastAsia="Arial" w:hAnsi="Arial"/>
          <w:sz w:val="15"/>
          <w:szCs w:val="15"/>
          <w:color w:val="auto"/>
        </w:rPr>
      </w:pPr>
    </w:p>
    <w:p>
      <w:pPr>
        <w:ind w:left="-620" w:firstLine="924"/>
        <w:spacing w:after="0" w:line="251" w:lineRule="auto"/>
        <w:tabs>
          <w:tab w:leader="none" w:pos="529"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addition to any other vote required by law or this Amended and Restated Certificate of Incorporation, without the written consent or affirmative vote of the holders of at least sixty-five percent (65%) of the shares of Series A-2 Preferred Stock then outstanding, the Corporation shall not, either directly or by amendment, merger, consolidation or otherwise, amend or repeal the rights, preferences or privileges of the Series A-2 Preferred Stock set forth in this Amended and Restated Certificate of Incorporation, in a manner that adversely affects the holders of the Series A-2 Preferred Stock.</w:t>
      </w:r>
    </w:p>
    <w:p>
      <w:pPr>
        <w:spacing w:after="0" w:line="182" w:lineRule="exact"/>
        <w:rPr>
          <w:rFonts w:ascii="Arial" w:cs="Arial" w:eastAsia="Arial" w:hAnsi="Arial"/>
          <w:sz w:val="17"/>
          <w:szCs w:val="17"/>
          <w:color w:val="auto"/>
        </w:rPr>
      </w:pPr>
    </w:p>
    <w:p>
      <w:pPr>
        <w:ind w:left="-620" w:firstLine="924"/>
        <w:spacing w:after="0" w:line="251" w:lineRule="auto"/>
        <w:tabs>
          <w:tab w:leader="none" w:pos="539"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addition to any other vote required by law or this Amended and Restated Certificate of Incorporation, without the written consent or affirmative vote of the holders of at least sixty-five percent (65%) of the shares of Series A-3 Preferred Stock then outstanding, the Corporation shall not, either directly or by amendment, merger, consolidation or otherwise, amend or repeal the rights, preferences or privileges of the Series A-3 Preferred Stock set forth in this Amended and Restated Certificate of Incorporation, in a manner that adversely affects the holders of the Series A-3 Preferred Stock.</w:t>
      </w:r>
    </w:p>
    <w:p>
      <w:pPr>
        <w:spacing w:after="0" w:line="182" w:lineRule="exact"/>
        <w:rPr>
          <w:rFonts w:ascii="Arial" w:cs="Arial" w:eastAsia="Arial" w:hAnsi="Arial"/>
          <w:sz w:val="17"/>
          <w:szCs w:val="17"/>
          <w:color w:val="auto"/>
        </w:rPr>
      </w:pPr>
    </w:p>
    <w:p>
      <w:pPr>
        <w:ind w:left="-620" w:firstLine="924"/>
        <w:spacing w:after="0" w:line="251" w:lineRule="auto"/>
        <w:tabs>
          <w:tab w:leader="none" w:pos="529"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addition to any other vote required by law or this Amended and Restated Certificate of Incorporation, without the written consent or affirmative vote of the holders of at least sixty-five percent (65%) of the shares of Series A-4 Preferred Stock then outstanding, the Corporation shall not, either directly or by amendment, merger, consolidation or otherwise, amend or repeal the rights, preferences or privileges of the Series A-4 Preferred Stock set forth in this Amended and Restated Certificate of Incorporation, in a manner that adversely affects the holders of the Series A-4 Preferred Stock.</w:t>
      </w:r>
    </w:p>
    <w:p>
      <w:pPr>
        <w:spacing w:after="0" w:line="182" w:lineRule="exact"/>
        <w:rPr>
          <w:rFonts w:ascii="Arial" w:cs="Arial" w:eastAsia="Arial" w:hAnsi="Arial"/>
          <w:sz w:val="17"/>
          <w:szCs w:val="17"/>
          <w:color w:val="auto"/>
        </w:rPr>
      </w:pPr>
    </w:p>
    <w:p>
      <w:pPr>
        <w:ind w:left="-620" w:right="20" w:firstLine="924"/>
        <w:spacing w:after="0" w:line="298" w:lineRule="auto"/>
        <w:tabs>
          <w:tab w:leader="none" w:pos="511" w:val="left"/>
        </w:tabs>
        <w:numPr>
          <w:ilvl w:val="0"/>
          <w:numId w:val="219"/>
        </w:numPr>
        <w:rPr>
          <w:rFonts w:ascii="Arial" w:cs="Arial" w:eastAsia="Arial" w:hAnsi="Arial"/>
          <w:sz w:val="15"/>
          <w:szCs w:val="15"/>
          <w:color w:val="auto"/>
        </w:rPr>
      </w:pPr>
      <w:r>
        <w:rPr>
          <w:rFonts w:ascii="Arial" w:cs="Arial" w:eastAsia="Arial" w:hAnsi="Arial"/>
          <w:sz w:val="15"/>
          <w:szCs w:val="15"/>
          <w:color w:val="auto"/>
        </w:rPr>
        <w:t>In addition to any other vote required by law or this Amended and Restated Certificate of Incorporation, without the written consent or affirmative vote of the holders of a majority of the shares of Series B Preferred Stock then outstanding, the Corporation shall not, either directly or by amendment, merger, consolidation or otherwise, amend or repeal the rights, preferences or privileges of the Series B Preferred Stock set forth in this Amended and Restated Certificate of Incorporation, in a manner that adversely affects the holders of the Series B Preferred Stock.</w:t>
      </w:r>
    </w:p>
    <w:p>
      <w:pPr>
        <w:spacing w:after="0" w:line="147" w:lineRule="exact"/>
        <w:rPr>
          <w:rFonts w:ascii="Arial" w:cs="Arial" w:eastAsia="Arial" w:hAnsi="Arial"/>
          <w:sz w:val="15"/>
          <w:szCs w:val="15"/>
          <w:color w:val="auto"/>
        </w:rPr>
      </w:pPr>
    </w:p>
    <w:p>
      <w:pPr>
        <w:ind w:left="-620" w:firstLine="924"/>
        <w:spacing w:after="0" w:line="298" w:lineRule="auto"/>
        <w:tabs>
          <w:tab w:leader="none" w:pos="539" w:val="left"/>
        </w:tabs>
        <w:numPr>
          <w:ilvl w:val="0"/>
          <w:numId w:val="219"/>
        </w:numPr>
        <w:rPr>
          <w:rFonts w:ascii="Arial" w:cs="Arial" w:eastAsia="Arial" w:hAnsi="Arial"/>
          <w:sz w:val="15"/>
          <w:szCs w:val="15"/>
          <w:color w:val="auto"/>
        </w:rPr>
      </w:pPr>
      <w:r>
        <w:rPr>
          <w:rFonts w:ascii="Arial" w:cs="Arial" w:eastAsia="Arial" w:hAnsi="Arial"/>
          <w:sz w:val="15"/>
          <w:szCs w:val="15"/>
          <w:color w:val="auto"/>
        </w:rPr>
        <w:t>In addition to any other vote required by law or this Amended and Restated Certificate of Incorporation, without the written consent or affirmative vote of the holders of a majority of the shares of Series C Preferred Stock then outstanding, the Corporation shall not, either directly or by amendment, merger, consolidation or otherwise, amend or repeal the rights, preferences or privileges of the Series C Preferred Stock set forth in this Amended and Restated Certificate of Incorporation, in a manner that adversely affects the holders of the Series C Preferred Stock.</w:t>
      </w:r>
    </w:p>
    <w:p>
      <w:pPr>
        <w:spacing w:after="0" w:line="84" w:lineRule="exact"/>
        <w:rPr>
          <w:rFonts w:ascii="Arial" w:cs="Arial" w:eastAsia="Arial" w:hAnsi="Arial"/>
          <w:sz w:val="15"/>
          <w:szCs w:val="15"/>
          <w:color w:val="auto"/>
        </w:rPr>
      </w:pPr>
    </w:p>
    <w:p>
      <w:pPr>
        <w:ind w:left="4460" w:hanging="95"/>
        <w:spacing w:after="0"/>
        <w:tabs>
          <w:tab w:leader="none" w:pos="446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9560"/>
          </w:cols>
          <w:pgMar w:left="1440" w:top="265" w:right="899" w:bottom="1440" w:gutter="0" w:footer="0" w:header="0"/>
        </w:sectPr>
      </w:pPr>
    </w:p>
    <w:bookmarkStart w:id="288" w:name="page289"/>
    <w:bookmarkEnd w:id="288"/>
    <w:p>
      <w:pPr>
        <w:ind w:left="1160" w:hanging="236"/>
        <w:spacing w:after="0"/>
        <w:tabs>
          <w:tab w:leader="none" w:pos="1160" w:val="left"/>
        </w:tabs>
        <w:numPr>
          <w:ilvl w:val="1"/>
          <w:numId w:val="22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holders of record of the shares of Series A-3 Preferred Stock, exclusively and as a separate class, shall be entitled to elect one</w:t>
      </w:r>
    </w:p>
    <w:p>
      <w:pPr>
        <w:spacing w:after="0" w:line="40" w:lineRule="exact"/>
        <w:rPr>
          <w:rFonts w:ascii="Arial" w:cs="Arial" w:eastAsia="Arial" w:hAnsi="Arial"/>
          <w:sz w:val="15"/>
          <w:szCs w:val="15"/>
          <w:color w:val="auto"/>
        </w:rPr>
      </w:pPr>
    </w:p>
    <w:p>
      <w:pPr>
        <w:ind w:right="160" w:firstLine="3"/>
        <w:spacing w:after="0" w:line="279" w:lineRule="auto"/>
        <w:tabs>
          <w:tab w:leader="none" w:pos="237" w:val="left"/>
        </w:tabs>
        <w:numPr>
          <w:ilvl w:val="0"/>
          <w:numId w:val="221"/>
        </w:numPr>
        <w:rPr>
          <w:rFonts w:ascii="Arial" w:cs="Arial" w:eastAsia="Arial" w:hAnsi="Arial"/>
          <w:sz w:val="15"/>
          <w:szCs w:val="15"/>
          <w:color w:val="auto"/>
        </w:rPr>
      </w:pPr>
      <w:r>
        <w:rPr>
          <w:rFonts w:ascii="Arial" w:cs="Arial" w:eastAsia="Arial" w:hAnsi="Arial"/>
          <w:sz w:val="15"/>
          <w:szCs w:val="15"/>
          <w:color w:val="auto"/>
        </w:rPr>
        <w:t>director of the Corporation (the “</w:t>
      </w:r>
      <w:r>
        <w:rPr>
          <w:rFonts w:ascii="Arial" w:cs="Arial" w:eastAsia="Arial" w:hAnsi="Arial"/>
          <w:sz w:val="15"/>
          <w:szCs w:val="15"/>
          <w:u w:val="single" w:color="auto"/>
          <w:color w:val="auto"/>
        </w:rPr>
        <w:t>Series A-3 Director</w:t>
      </w:r>
      <w:r>
        <w:rPr>
          <w:rFonts w:ascii="Arial" w:cs="Arial" w:eastAsia="Arial" w:hAnsi="Arial"/>
          <w:sz w:val="15"/>
          <w:szCs w:val="15"/>
          <w:color w:val="auto"/>
        </w:rPr>
        <w:t>”); the holders of record of the shares of Series A-4 Preferred Stock, exclusively and as a separate class, shall be entitled to elect one (1) director of the Corporation (the “</w:t>
      </w:r>
      <w:r>
        <w:rPr>
          <w:rFonts w:ascii="Arial" w:cs="Arial" w:eastAsia="Arial" w:hAnsi="Arial"/>
          <w:sz w:val="15"/>
          <w:szCs w:val="15"/>
          <w:u w:val="single" w:color="auto"/>
          <w:color w:val="auto"/>
        </w:rPr>
        <w:t>Series A-4 Director</w:t>
      </w:r>
      <w:r>
        <w:rPr>
          <w:rFonts w:ascii="Arial" w:cs="Arial" w:eastAsia="Arial" w:hAnsi="Arial"/>
          <w:sz w:val="15"/>
          <w:szCs w:val="15"/>
          <w:color w:val="auto"/>
        </w:rPr>
        <w:t>”); the holders of record of the shares of Series B Preferred Stock, exclusively and as a separate class, shall be entitled to elect one (1) director of the Corporation (the “</w:t>
      </w:r>
      <w:r>
        <w:rPr>
          <w:rFonts w:ascii="Arial" w:cs="Arial" w:eastAsia="Arial" w:hAnsi="Arial"/>
          <w:sz w:val="15"/>
          <w:szCs w:val="15"/>
          <w:u w:val="single" w:color="auto"/>
          <w:color w:val="auto"/>
        </w:rPr>
        <w:t>Series B Director</w:t>
      </w:r>
      <w:r>
        <w:rPr>
          <w:rFonts w:ascii="Arial" w:cs="Arial" w:eastAsia="Arial" w:hAnsi="Arial"/>
          <w:sz w:val="15"/>
          <w:szCs w:val="15"/>
          <w:color w:val="auto"/>
        </w:rPr>
        <w:t>,”); and the holders of record of the shares of Series C Preferred Stock, exclusively and as a separate class, shall be entitled to elect one (1) director of the Corporation (the “</w:t>
      </w:r>
      <w:r>
        <w:rPr>
          <w:rFonts w:ascii="Arial" w:cs="Arial" w:eastAsia="Arial" w:hAnsi="Arial"/>
          <w:sz w:val="15"/>
          <w:szCs w:val="15"/>
          <w:u w:val="single" w:color="auto"/>
          <w:color w:val="auto"/>
        </w:rPr>
        <w:t>Series C Director</w:t>
      </w:r>
      <w:r>
        <w:rPr>
          <w:rFonts w:ascii="Arial" w:cs="Arial" w:eastAsia="Arial" w:hAnsi="Arial"/>
          <w:sz w:val="15"/>
          <w:szCs w:val="15"/>
          <w:color w:val="auto"/>
        </w:rPr>
        <w:t>,” and, together with the Series A-3 Director, the Series A-4 Director and the Series B Director, the “</w:t>
      </w:r>
      <w:r>
        <w:rPr>
          <w:rFonts w:ascii="Arial" w:cs="Arial" w:eastAsia="Arial" w:hAnsi="Arial"/>
          <w:sz w:val="15"/>
          <w:szCs w:val="15"/>
          <w:u w:val="single" w:color="auto"/>
          <w:color w:val="auto"/>
        </w:rPr>
        <w:t>Preferred</w:t>
      </w:r>
      <w:r>
        <w:rPr>
          <w:rFonts w:ascii="Arial" w:cs="Arial" w:eastAsia="Arial" w:hAnsi="Arial"/>
          <w:sz w:val="15"/>
          <w:szCs w:val="15"/>
          <w:color w:val="auto"/>
        </w:rPr>
        <w:t xml:space="preserve"> </w:t>
      </w:r>
      <w:r>
        <w:rPr>
          <w:rFonts w:ascii="Arial" w:cs="Arial" w:eastAsia="Arial" w:hAnsi="Arial"/>
          <w:sz w:val="15"/>
          <w:szCs w:val="15"/>
          <w:u w:val="single" w:color="auto"/>
          <w:color w:val="auto"/>
        </w:rPr>
        <w:t>Directors</w:t>
      </w:r>
      <w:r>
        <w:rPr>
          <w:rFonts w:ascii="Arial" w:cs="Arial" w:eastAsia="Arial" w:hAnsi="Arial"/>
          <w:sz w:val="15"/>
          <w:szCs w:val="15"/>
          <w:color w:val="auto"/>
        </w:rPr>
        <w:t xml:space="preserve">”). Any director elected as provided in the preceding sentence may be removed with or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A-3 Preferred Stock, Series A-4 Preferred Stock, Series B Preferred Stock, or Series C Preferred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5"/>
          <w:szCs w:val="15"/>
          <w:u w:val="single" w:color="auto"/>
          <w:color w:val="auto"/>
        </w:rPr>
        <w:t>Subsection</w:t>
      </w:r>
    </w:p>
    <w:p>
      <w:pPr>
        <w:spacing w:after="0" w:line="3" w:lineRule="exact"/>
        <w:rPr>
          <w:rFonts w:ascii="Arial" w:cs="Arial" w:eastAsia="Arial" w:hAnsi="Arial"/>
          <w:sz w:val="15"/>
          <w:szCs w:val="15"/>
          <w:color w:val="auto"/>
        </w:rPr>
      </w:pPr>
    </w:p>
    <w:p>
      <w:pPr>
        <w:spacing w:after="0" w:line="281" w:lineRule="auto"/>
        <w:rPr>
          <w:rFonts w:ascii="Arial" w:cs="Arial" w:eastAsia="Arial" w:hAnsi="Arial"/>
          <w:sz w:val="15"/>
          <w:szCs w:val="15"/>
          <w:color w:val="auto"/>
        </w:rPr>
      </w:pPr>
      <w:r>
        <w:rPr>
          <w:rFonts w:ascii="Arial" w:cs="Arial" w:eastAsia="Arial" w:hAnsi="Arial"/>
          <w:sz w:val="15"/>
          <w:szCs w:val="15"/>
          <w:u w:val="single" w:color="auto"/>
          <w:color w:val="auto"/>
        </w:rPr>
        <w:t>3(h),</w:t>
      </w:r>
      <w:r>
        <w:rPr>
          <w:rFonts w:ascii="Arial" w:cs="Arial" w:eastAsia="Arial" w:hAnsi="Arial"/>
          <w:sz w:val="15"/>
          <w:szCs w:val="15"/>
          <w:color w:val="auto"/>
        </w:rPr>
        <w:t xml:space="preserve"> then any directorship not so filled shall remain vacant until such time as the holders of the Series A-3 Preferred Stock, Series A-4 Preferred Stock, Series B Preferred Stock, or Series C Preferred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5"/>
          <w:szCs w:val="15"/>
          <w:u w:val="single" w:color="auto"/>
          <w:color w:val="auto"/>
        </w:rPr>
        <w:t>Subsection 3(h)</w:t>
      </w:r>
      <w:r>
        <w:rPr>
          <w:rFonts w:ascii="Arial" w:cs="Arial" w:eastAsia="Arial" w:hAnsi="Arial"/>
          <w:sz w:val="15"/>
          <w:szCs w:val="15"/>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5"/>
          <w:szCs w:val="15"/>
          <w:u w:val="single" w:color="auto"/>
          <w:color w:val="auto"/>
        </w:rPr>
        <w:t>Subsection 3(h)</w:t>
      </w:r>
      <w:r>
        <w:rPr>
          <w:rFonts w:ascii="Arial" w:cs="Arial" w:eastAsia="Arial" w:hAnsi="Arial"/>
          <w:sz w:val="15"/>
          <w:szCs w:val="15"/>
          <w:color w:val="auto"/>
        </w:rPr>
        <w:t xml:space="preserve">. The rights of the holders of the Series A-3 Preferred Stock under the first sentence of this </w:t>
      </w:r>
      <w:r>
        <w:rPr>
          <w:rFonts w:ascii="Arial" w:cs="Arial" w:eastAsia="Arial" w:hAnsi="Arial"/>
          <w:sz w:val="15"/>
          <w:szCs w:val="15"/>
          <w:u w:val="single" w:color="auto"/>
          <w:color w:val="auto"/>
        </w:rPr>
        <w:t>Subsection 3(h)</w:t>
      </w:r>
      <w:r>
        <w:rPr>
          <w:rFonts w:ascii="Arial" w:cs="Arial" w:eastAsia="Arial" w:hAnsi="Arial"/>
          <w:sz w:val="15"/>
          <w:szCs w:val="15"/>
          <w:color w:val="auto"/>
        </w:rPr>
        <w:t xml:space="preserve"> shall terminate on the first date following the Series C Original Issue Date (as defined below) on which there are issued and outstanding less than Twenty Two Million Five Hundred Fifty-Two Thousand Eight Hundred Sixty-Five (22,552,865) shares of Series A-3 Preferred Stock (subject to appropriate adjustment in the event of any stock dividend, stock split, combination, or other similar recapitalization with respect to the Series A-3 Preferred Stock). The rights of the holders of the Series A-4 Preferred Stock under the first sentence of this </w:t>
      </w:r>
      <w:r>
        <w:rPr>
          <w:rFonts w:ascii="Arial" w:cs="Arial" w:eastAsia="Arial" w:hAnsi="Arial"/>
          <w:sz w:val="15"/>
          <w:szCs w:val="15"/>
          <w:u w:val="single" w:color="auto"/>
          <w:color w:val="auto"/>
        </w:rPr>
        <w:t>Subsection 3(h)</w:t>
      </w:r>
      <w:r>
        <w:rPr>
          <w:rFonts w:ascii="Arial" w:cs="Arial" w:eastAsia="Arial" w:hAnsi="Arial"/>
          <w:sz w:val="15"/>
          <w:szCs w:val="15"/>
          <w:color w:val="auto"/>
        </w:rPr>
        <w:t xml:space="preserve"> shall terminate on the first date following the Series C Original Issue Date (as defined below) on which there are issued and outstanding less than Fourteen Million Nine Hundred Ninety-Nine Thousand Nine Hundred Ninety-Nine 14,999,999 shares of Series A-4 Preferred Stock (subject to appropriate adjustment in the event of any stock dividend, stock split, combination, or other similar recapitalization with respect to the Series A-4 Preferred Stock). The rights of the holders of the Series B Preferred Stock under the first sentence of this </w:t>
      </w:r>
      <w:r>
        <w:rPr>
          <w:rFonts w:ascii="Arial" w:cs="Arial" w:eastAsia="Arial" w:hAnsi="Arial"/>
          <w:sz w:val="15"/>
          <w:szCs w:val="15"/>
          <w:u w:val="single" w:color="auto"/>
          <w:color w:val="auto"/>
        </w:rPr>
        <w:t>Subsection 3(h)</w:t>
      </w:r>
      <w:r>
        <w:rPr>
          <w:rFonts w:ascii="Arial" w:cs="Arial" w:eastAsia="Arial" w:hAnsi="Arial"/>
          <w:sz w:val="15"/>
          <w:szCs w:val="15"/>
          <w:color w:val="auto"/>
        </w:rPr>
        <w:t xml:space="preserve"> shall terminate on the first date following the Series C Original Issue Date (as</w:t>
      </w:r>
    </w:p>
    <w:p>
      <w:pPr>
        <w:spacing w:after="0" w:line="105" w:lineRule="exact"/>
        <w:rPr>
          <w:rFonts w:ascii="Arial" w:cs="Arial" w:eastAsia="Arial" w:hAnsi="Arial"/>
          <w:sz w:val="15"/>
          <w:szCs w:val="15"/>
          <w:color w:val="auto"/>
        </w:rPr>
      </w:pPr>
    </w:p>
    <w:p>
      <w:pPr>
        <w:ind w:left="5040" w:hanging="97"/>
        <w:spacing w:after="0"/>
        <w:tabs>
          <w:tab w:leader="none" w:pos="5040" w:val="left"/>
        </w:tabs>
        <w:numPr>
          <w:ilvl w:val="2"/>
          <w:numId w:val="221"/>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10240"/>
          </w:cols>
          <w:pgMar w:left="820" w:top="265" w:right="839" w:bottom="1440" w:gutter="0" w:footer="0" w:header="0"/>
        </w:sectPr>
      </w:pPr>
    </w:p>
    <w:bookmarkStart w:id="289" w:name="page290"/>
    <w:bookmarkEnd w:id="289"/>
    <w:p>
      <w:pPr>
        <w:ind w:right="60"/>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defined below) on which there are issued and outstanding less than Seven Million (7,000,000) shares of Series B Preferred Stock (subject to appropriate adjustment in the event of any stock dividend, stock split, combination, or other similar recapitalization with respect to the Series B Preferred Stock). The rights of the holders of the Series C Preferred Stock under the first sentence of this </w:t>
      </w:r>
      <w:r>
        <w:rPr>
          <w:rFonts w:ascii="Arial" w:cs="Arial" w:eastAsia="Arial" w:hAnsi="Arial"/>
          <w:sz w:val="17"/>
          <w:szCs w:val="17"/>
          <w:u w:val="single" w:color="auto"/>
          <w:color w:val="auto"/>
        </w:rPr>
        <w:t>Subsection 3(h)</w:t>
      </w:r>
      <w:r>
        <w:rPr>
          <w:rFonts w:ascii="Arial" w:cs="Arial" w:eastAsia="Arial" w:hAnsi="Arial"/>
          <w:sz w:val="17"/>
          <w:szCs w:val="17"/>
          <w:color w:val="auto"/>
        </w:rPr>
        <w:t xml:space="preserve"> shall terminate on the first date following the Series C Original Issue Date (as defined below) on which there are issued and outstanding less than Seven Million (7,000,000) shares of Series C Preferred Stock (subject to appropriate adjustment in the event of any stock dividend, stock split, combination, or other similar recapitalization with respect to the Series C Preferred Stock).</w:t>
      </w:r>
    </w:p>
    <w:p>
      <w:pPr>
        <w:spacing w:after="0" w:line="184" w:lineRule="exact"/>
        <w:rPr>
          <w:sz w:val="20"/>
          <w:szCs w:val="20"/>
          <w:color w:val="auto"/>
        </w:rPr>
      </w:pPr>
    </w:p>
    <w:p>
      <w:pPr>
        <w:ind w:right="80" w:firstLine="924"/>
        <w:spacing w:after="0" w:line="271" w:lineRule="auto"/>
        <w:tabs>
          <w:tab w:leader="none" w:pos="1121"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 addition to any other rights provided by law, so long as at least Seven Million (7,000,000) shares of Series C Preferred Stock (such number to be proportionately adjusted in the event of any stock splits, stock dividends, recapitalizations or similar events occurring after the date hereof and affecting the number of issued and outstanding shares of Preferred Stock) are outstanding, the Corporation shall not, without the prior written consent or affirmative vote of the holders of a majority of the then outstanding shares of Series C Preferred Stock, voting together as a separate class on an as-converted basis, take any of the following actions (whether by merger, consolidation or otherwise):</w:t>
      </w:r>
    </w:p>
    <w:p>
      <w:pPr>
        <w:spacing w:after="0" w:line="65" w:lineRule="exact"/>
        <w:rPr>
          <w:rFonts w:ascii="Arial" w:cs="Arial" w:eastAsia="Arial" w:hAnsi="Arial"/>
          <w:sz w:val="16"/>
          <w:szCs w:val="16"/>
          <w:color w:val="auto"/>
        </w:rPr>
      </w:pPr>
    </w:p>
    <w:p>
      <w:pPr>
        <w:ind w:right="140" w:firstLine="1334"/>
        <w:spacing w:after="0" w:line="253" w:lineRule="auto"/>
        <w:tabs>
          <w:tab w:leader="none" w:pos="1531" w:val="left"/>
        </w:tabs>
        <w:numPr>
          <w:ilvl w:val="1"/>
          <w:numId w:val="222"/>
        </w:numPr>
        <w:rPr>
          <w:rFonts w:ascii="Arial" w:cs="Arial" w:eastAsia="Arial" w:hAnsi="Arial"/>
          <w:sz w:val="17"/>
          <w:szCs w:val="17"/>
          <w:color w:val="auto"/>
        </w:rPr>
      </w:pPr>
      <w:r>
        <w:rPr>
          <w:rFonts w:ascii="Arial" w:cs="Arial" w:eastAsia="Arial" w:hAnsi="Arial"/>
          <w:sz w:val="17"/>
          <w:szCs w:val="17"/>
          <w:color w:val="auto"/>
        </w:rPr>
        <w:t>effect or obligate itself to effect, any merger, sale, lease, assignment, transfer or other conveyance (including by an irrevocable, exclusive, worldwide license having a duration of not less than the then-remaining life of the patents included in such license) of all or substantially all of the assets of the Corporation and its subsidiaries, taken as a whole, or any consolidation, merger or reorganization involving the Corporation or any subsidiary thereof, or any dissolution, liquidation or winding up of the Corporation;</w:t>
      </w:r>
    </w:p>
    <w:p>
      <w:pPr>
        <w:spacing w:after="0" w:line="179" w:lineRule="exact"/>
        <w:rPr>
          <w:rFonts w:ascii="Arial" w:cs="Arial" w:eastAsia="Arial" w:hAnsi="Arial"/>
          <w:sz w:val="17"/>
          <w:szCs w:val="17"/>
          <w:color w:val="auto"/>
        </w:rPr>
      </w:pPr>
    </w:p>
    <w:p>
      <w:pPr>
        <w:ind w:right="60" w:firstLine="1334"/>
        <w:spacing w:after="0" w:line="251" w:lineRule="auto"/>
        <w:tabs>
          <w:tab w:leader="none" w:pos="1578" w:val="left"/>
        </w:tabs>
        <w:numPr>
          <w:ilvl w:val="1"/>
          <w:numId w:val="222"/>
        </w:numPr>
        <w:rPr>
          <w:rFonts w:ascii="Arial" w:cs="Arial" w:eastAsia="Arial" w:hAnsi="Arial"/>
          <w:sz w:val="17"/>
          <w:szCs w:val="17"/>
          <w:color w:val="auto"/>
        </w:rPr>
      </w:pPr>
      <w:r>
        <w:rPr>
          <w:rFonts w:ascii="Arial" w:cs="Arial" w:eastAsia="Arial" w:hAnsi="Arial"/>
          <w:sz w:val="17"/>
          <w:szCs w:val="17"/>
          <w:color w:val="auto"/>
        </w:rPr>
        <w:t>authorize or issue any new or existing class or classes or series of capital stock having any preference or priority as to dividends, liquidation preferences or redemption rights superior to or on a parity with the Series C Preferred Stock, or authorize or issue shares of stock of the Corporation of any class or any bonds, debentures, notes or other obligations convertible into or exchangeable for, or having rights to purchase, any shares of stock of the Corporation having any preference or priority as to dividends, liquidation preferences or redemption rights superior to or on a parity with the Series C Preferred Stock;</w:t>
      </w:r>
    </w:p>
    <w:p>
      <w:pPr>
        <w:spacing w:after="0" w:line="182" w:lineRule="exact"/>
        <w:rPr>
          <w:rFonts w:ascii="Arial" w:cs="Arial" w:eastAsia="Arial" w:hAnsi="Arial"/>
          <w:sz w:val="17"/>
          <w:szCs w:val="17"/>
          <w:color w:val="auto"/>
        </w:rPr>
      </w:pPr>
    </w:p>
    <w:p>
      <w:pPr>
        <w:ind w:left="1620" w:hanging="286"/>
        <w:spacing w:after="0"/>
        <w:tabs>
          <w:tab w:leader="none" w:pos="162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amend or delete any provision of, or add any provision to, this Amended and Restated Certificate of Incorporation;</w:t>
      </w:r>
    </w:p>
    <w:p>
      <w:pPr>
        <w:spacing w:after="0" w:line="206" w:lineRule="exact"/>
        <w:rPr>
          <w:rFonts w:ascii="Arial" w:cs="Arial" w:eastAsia="Arial" w:hAnsi="Arial"/>
          <w:sz w:val="17"/>
          <w:szCs w:val="17"/>
          <w:color w:val="auto"/>
        </w:rPr>
      </w:pPr>
    </w:p>
    <w:p>
      <w:pPr>
        <w:ind w:left="1620" w:hanging="286"/>
        <w:spacing w:after="0"/>
        <w:tabs>
          <w:tab w:leader="none" w:pos="162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purchase or redeem or pay any dividend on any capital stock prior to the Series C Preferred Stock;</w:t>
      </w:r>
    </w:p>
    <w:p>
      <w:pPr>
        <w:spacing w:after="0" w:line="206" w:lineRule="exact"/>
        <w:rPr>
          <w:rFonts w:ascii="Arial" w:cs="Arial" w:eastAsia="Arial" w:hAnsi="Arial"/>
          <w:sz w:val="17"/>
          <w:szCs w:val="17"/>
          <w:color w:val="auto"/>
        </w:rPr>
      </w:pPr>
    </w:p>
    <w:p>
      <w:pPr>
        <w:jc w:val="both"/>
        <w:ind w:firstLine="1334"/>
        <w:spacing w:after="0" w:line="257" w:lineRule="auto"/>
        <w:tabs>
          <w:tab w:leader="none" w:pos="1568" w:val="left"/>
        </w:tabs>
        <w:numPr>
          <w:ilvl w:val="1"/>
          <w:numId w:val="222"/>
        </w:numPr>
        <w:rPr>
          <w:rFonts w:ascii="Arial" w:cs="Arial" w:eastAsia="Arial" w:hAnsi="Arial"/>
          <w:sz w:val="17"/>
          <w:szCs w:val="17"/>
          <w:color w:val="auto"/>
        </w:rPr>
      </w:pPr>
      <w:r>
        <w:rPr>
          <w:rFonts w:ascii="Arial" w:cs="Arial" w:eastAsia="Arial" w:hAnsi="Arial"/>
          <w:sz w:val="17"/>
          <w:szCs w:val="17"/>
          <w:color w:val="auto"/>
        </w:rPr>
        <w:t>increase the number of shares of Common Stock available to be granted to employees, directors or consultants of the Corporation pursuant to any of the Corporation’s equity incentive plans, except as provided in any such plan that has been approved either by the Board of Directors, including a majority of the Preferred Directors;</w:t>
      </w:r>
    </w:p>
    <w:p>
      <w:pPr>
        <w:spacing w:after="0" w:line="175" w:lineRule="exact"/>
        <w:rPr>
          <w:rFonts w:ascii="Arial" w:cs="Arial" w:eastAsia="Arial" w:hAnsi="Arial"/>
          <w:sz w:val="17"/>
          <w:szCs w:val="17"/>
          <w:color w:val="auto"/>
        </w:rPr>
      </w:pPr>
    </w:p>
    <w:p>
      <w:pPr>
        <w:ind w:right="440" w:firstLine="1334"/>
        <w:spacing w:after="0" w:line="335" w:lineRule="auto"/>
        <w:tabs>
          <w:tab w:leader="none" w:pos="1615" w:val="left"/>
        </w:tabs>
        <w:numPr>
          <w:ilvl w:val="1"/>
          <w:numId w:val="222"/>
        </w:numPr>
        <w:rPr>
          <w:rFonts w:ascii="Arial" w:cs="Arial" w:eastAsia="Arial" w:hAnsi="Arial"/>
          <w:sz w:val="15"/>
          <w:szCs w:val="15"/>
          <w:color w:val="auto"/>
        </w:rPr>
      </w:pPr>
      <w:r>
        <w:rPr>
          <w:rFonts w:ascii="Arial" w:cs="Arial" w:eastAsia="Arial" w:hAnsi="Arial"/>
          <w:sz w:val="15"/>
          <w:szCs w:val="15"/>
          <w:color w:val="auto"/>
        </w:rPr>
        <w:t>enter into any transaction with any affiliate of the Corporation (as defined in Rule 144 under the Securities Act (as defined below)) except for compensation and expense reimbursement arrangements with officers and outside directors in the ordinary course of business;</w:t>
      </w:r>
    </w:p>
    <w:p>
      <w:pPr>
        <w:spacing w:after="0" w:line="58" w:lineRule="exact"/>
        <w:rPr>
          <w:rFonts w:ascii="Arial" w:cs="Arial" w:eastAsia="Arial" w:hAnsi="Arial"/>
          <w:sz w:val="15"/>
          <w:szCs w:val="15"/>
          <w:color w:val="auto"/>
        </w:rPr>
      </w:pPr>
    </w:p>
    <w:p>
      <w:pPr>
        <w:ind w:left="5040" w:hanging="94"/>
        <w:spacing w:after="0"/>
        <w:tabs>
          <w:tab w:leader="none" w:pos="504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11 -</w:t>
      </w:r>
    </w:p>
    <w:p>
      <w:pPr>
        <w:sectPr>
          <w:pgSz w:w="11900" w:h="16838" w:orient="portrait"/>
          <w:cols w:equalWidth="0" w:num="1">
            <w:col w:w="10240"/>
          </w:cols>
          <w:pgMar w:left="820" w:top="265" w:right="839" w:bottom="1440" w:gutter="0" w:footer="0" w:header="0"/>
        </w:sectPr>
      </w:pPr>
    </w:p>
    <w:bookmarkStart w:id="290" w:name="page291"/>
    <w:bookmarkEnd w:id="290"/>
    <w:p>
      <w:pPr>
        <w:jc w:val="both"/>
        <w:ind w:left="-620" w:right="40" w:firstLine="1334"/>
        <w:spacing w:after="0" w:line="298" w:lineRule="auto"/>
        <w:tabs>
          <w:tab w:leader="none" w:pos="1041" w:val="left"/>
        </w:tabs>
        <w:numPr>
          <w:ilvl w:val="1"/>
          <w:numId w:val="2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grant any contractual rights to register shares of the Company’s capital stock under the Securities Act (other than pursuant to the Seventh Amended and Restated Investor Rights Agreement, dated on or about the date this Amended and Restated Certificate of Incorporation is filed with the Secretary of State of the State of Delaware, by and among the Corporation and the other parties named therein, as such Seventh Amended and Restated Investor Rights Agreement may be amended from time to time in accordance with its terms (the “</w:t>
      </w:r>
      <w:r>
        <w:rPr>
          <w:rFonts w:ascii="Arial" w:cs="Arial" w:eastAsia="Arial" w:hAnsi="Arial"/>
          <w:sz w:val="15"/>
          <w:szCs w:val="15"/>
          <w:u w:val="single" w:color="auto"/>
          <w:color w:val="auto"/>
        </w:rPr>
        <w:t>Investor Rights Agreement</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left="1100" w:hanging="386"/>
        <w:spacing w:after="0"/>
        <w:tabs>
          <w:tab w:leader="none" w:pos="11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reclassify any shares of capital stock of the Corporation; or</w:t>
      </w:r>
    </w:p>
    <w:p>
      <w:pPr>
        <w:spacing w:after="0" w:line="206" w:lineRule="exact"/>
        <w:rPr>
          <w:rFonts w:ascii="Arial" w:cs="Arial" w:eastAsia="Arial" w:hAnsi="Arial"/>
          <w:sz w:val="17"/>
          <w:szCs w:val="17"/>
          <w:color w:val="auto"/>
        </w:rPr>
      </w:pPr>
    </w:p>
    <w:p>
      <w:pPr>
        <w:ind w:left="1000" w:hanging="286"/>
        <w:spacing w:after="0"/>
        <w:tabs>
          <w:tab w:leader="none" w:pos="10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change the number of seats on the Board of Directors from eight (8) to any other number.</w:t>
      </w:r>
    </w:p>
    <w:p>
      <w:pPr>
        <w:spacing w:after="0" w:line="206" w:lineRule="exact"/>
        <w:rPr>
          <w:rFonts w:ascii="Arial" w:cs="Arial" w:eastAsia="Arial" w:hAnsi="Arial"/>
          <w:sz w:val="17"/>
          <w:szCs w:val="17"/>
          <w:color w:val="auto"/>
        </w:rPr>
      </w:pPr>
    </w:p>
    <w:p>
      <w:pPr>
        <w:ind w:left="-620" w:firstLine="924"/>
        <w:spacing w:after="0" w:line="271" w:lineRule="auto"/>
        <w:tabs>
          <w:tab w:leader="none" w:pos="50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addition to any other rights provided by law, so long as at least Twenty Million (20,000,000) shares of Preferred Stock (such number to be proportionately adjusted in the event of any stock splits, stock dividends, recapitalizations or similar events occurring after the date hereof and affecting the number of issued and outstanding shares of Preferred Stock) are outstanding, the Corporation shall not, without the prior written consent or affirmative vote of the holders of a majority of the then outstanding shares of Preferred Stock, voting together as a separate class on an as-converted basis, take any of the following actions (whether by merger, consolidation or otherwise):</w:t>
      </w:r>
    </w:p>
    <w:p>
      <w:pPr>
        <w:spacing w:after="0" w:line="65" w:lineRule="exact"/>
        <w:rPr>
          <w:rFonts w:ascii="Arial" w:cs="Arial" w:eastAsia="Arial" w:hAnsi="Arial"/>
          <w:sz w:val="16"/>
          <w:szCs w:val="16"/>
          <w:color w:val="auto"/>
        </w:rPr>
      </w:pPr>
    </w:p>
    <w:p>
      <w:pPr>
        <w:ind w:left="-620" w:right="100" w:firstLine="1334"/>
        <w:spacing w:after="0" w:line="253" w:lineRule="auto"/>
        <w:tabs>
          <w:tab w:leader="none" w:pos="911" w:val="left"/>
        </w:tabs>
        <w:numPr>
          <w:ilvl w:val="1"/>
          <w:numId w:val="224"/>
        </w:numPr>
        <w:rPr>
          <w:rFonts w:ascii="Arial" w:cs="Arial" w:eastAsia="Arial" w:hAnsi="Arial"/>
          <w:sz w:val="17"/>
          <w:szCs w:val="17"/>
          <w:color w:val="auto"/>
        </w:rPr>
      </w:pPr>
      <w:r>
        <w:rPr>
          <w:rFonts w:ascii="Arial" w:cs="Arial" w:eastAsia="Arial" w:hAnsi="Arial"/>
          <w:sz w:val="17"/>
          <w:szCs w:val="17"/>
          <w:color w:val="auto"/>
        </w:rPr>
        <w:t>effect or obligate itself to effect, any merger, sale, lease, assignment, transfer or other conveyance (including by an irrevocable, exclusive, worldwide license having a duration of not less than the then-remaining life of the patents included in such license) of all or substantially all of the assets of the Corporation and its subsidiaries, taken as a whole, or any consolidation, merger or reorganization involving the Corporation or any subsidiary thereof, or any dissolution, liquidation or winding up of the Corporation;</w:t>
      </w:r>
    </w:p>
    <w:p>
      <w:pPr>
        <w:spacing w:after="0" w:line="179" w:lineRule="exact"/>
        <w:rPr>
          <w:rFonts w:ascii="Arial" w:cs="Arial" w:eastAsia="Arial" w:hAnsi="Arial"/>
          <w:sz w:val="17"/>
          <w:szCs w:val="17"/>
          <w:color w:val="auto"/>
        </w:rPr>
      </w:pPr>
    </w:p>
    <w:p>
      <w:pPr>
        <w:ind w:left="-620" w:right="20" w:firstLine="1334"/>
        <w:spacing w:after="0" w:line="251" w:lineRule="auto"/>
        <w:tabs>
          <w:tab w:leader="none" w:pos="95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authorize or issue any new or existing class or classes or series of capital stock having any preference or priority as to dividends, liquidation preferences or redemption rights superior to or on a parity with the Preferred Stock, or authorize or issue shares of stock of the Corporation of any class or any bonds, debentures, notes or other obligations convertible into or exchangeable for, or having rights to purchase, any shares of stock of the Corporation having any preference or priority as to dividends, liquidation preferences or redemption rights superior to or on a parity with the Preferred Stock;</w:t>
      </w:r>
    </w:p>
    <w:p>
      <w:pPr>
        <w:spacing w:after="0" w:line="182" w:lineRule="exact"/>
        <w:rPr>
          <w:rFonts w:ascii="Arial" w:cs="Arial" w:eastAsia="Arial" w:hAnsi="Arial"/>
          <w:sz w:val="17"/>
          <w:szCs w:val="17"/>
          <w:color w:val="auto"/>
        </w:rPr>
      </w:pPr>
    </w:p>
    <w:p>
      <w:pPr>
        <w:ind w:left="1000" w:hanging="286"/>
        <w:spacing w:after="0"/>
        <w:tabs>
          <w:tab w:leader="none" w:pos="100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amend or delete any provision of, or add any provision to, this Amended and Restated Certificate of Incorporation;</w:t>
      </w:r>
    </w:p>
    <w:p>
      <w:pPr>
        <w:spacing w:after="0" w:line="206" w:lineRule="exact"/>
        <w:rPr>
          <w:rFonts w:ascii="Arial" w:cs="Arial" w:eastAsia="Arial" w:hAnsi="Arial"/>
          <w:sz w:val="17"/>
          <w:szCs w:val="17"/>
          <w:color w:val="auto"/>
        </w:rPr>
      </w:pPr>
    </w:p>
    <w:p>
      <w:pPr>
        <w:ind w:left="-620" w:right="40" w:firstLine="1334"/>
        <w:spacing w:after="0" w:line="257" w:lineRule="auto"/>
        <w:tabs>
          <w:tab w:leader="none" w:pos="995" w:val="left"/>
        </w:tabs>
        <w:numPr>
          <w:ilvl w:val="1"/>
          <w:numId w:val="224"/>
        </w:numPr>
        <w:rPr>
          <w:rFonts w:ascii="Arial" w:cs="Arial" w:eastAsia="Arial" w:hAnsi="Arial"/>
          <w:sz w:val="17"/>
          <w:szCs w:val="17"/>
          <w:color w:val="auto"/>
        </w:rPr>
      </w:pPr>
      <w:r>
        <w:rPr>
          <w:rFonts w:ascii="Arial" w:cs="Arial" w:eastAsia="Arial" w:hAnsi="Arial"/>
          <w:sz w:val="17"/>
          <w:szCs w:val="17"/>
          <w:color w:val="auto"/>
        </w:rPr>
        <w:t>increase the number of shares of Common Stock available to be granted to employees, directors or consultants of the Corporation pursuant to any of the Corporation’s equity incentive plans, except as provided in any such plan that has been approved either by the Board of Directors, including a majority of the Preferred Directors;</w:t>
      </w:r>
    </w:p>
    <w:p>
      <w:pPr>
        <w:spacing w:after="0" w:line="112" w:lineRule="exact"/>
        <w:rPr>
          <w:rFonts w:ascii="Arial" w:cs="Arial" w:eastAsia="Arial" w:hAnsi="Arial"/>
          <w:sz w:val="17"/>
          <w:szCs w:val="17"/>
          <w:color w:val="auto"/>
        </w:rPr>
      </w:pPr>
    </w:p>
    <w:p>
      <w:pPr>
        <w:ind w:left="4420" w:hanging="97"/>
        <w:spacing w:after="0"/>
        <w:tabs>
          <w:tab w:leader="none" w:pos="4420" w:val="left"/>
        </w:tabs>
        <w:numPr>
          <w:ilvl w:val="2"/>
          <w:numId w:val="224"/>
        </w:numPr>
        <w:rPr>
          <w:rFonts w:ascii="Arial" w:cs="Arial" w:eastAsia="Arial" w:hAnsi="Arial"/>
          <w:sz w:val="17"/>
          <w:szCs w:val="17"/>
          <w:color w:val="auto"/>
        </w:rPr>
      </w:pPr>
      <w:r>
        <w:rPr>
          <w:rFonts w:ascii="Arial" w:cs="Arial" w:eastAsia="Arial" w:hAnsi="Arial"/>
          <w:sz w:val="17"/>
          <w:szCs w:val="17"/>
          <w:color w:val="auto"/>
        </w:rPr>
        <w:t>12 -</w:t>
      </w:r>
    </w:p>
    <w:p>
      <w:pPr>
        <w:sectPr>
          <w:pgSz w:w="11900" w:h="16838" w:orient="portrait"/>
          <w:cols w:equalWidth="0" w:num="1">
            <w:col w:w="9580"/>
          </w:cols>
          <w:pgMar w:left="1440" w:top="265" w:right="879" w:bottom="1440" w:gutter="0" w:footer="0" w:header="0"/>
        </w:sectPr>
      </w:pPr>
    </w:p>
    <w:bookmarkStart w:id="291" w:name="page292"/>
    <w:bookmarkEnd w:id="291"/>
    <w:p>
      <w:pPr>
        <w:jc w:val="both"/>
        <w:ind w:right="480" w:firstLine="1334"/>
        <w:spacing w:after="0" w:line="335" w:lineRule="auto"/>
        <w:tabs>
          <w:tab w:leader="none" w:pos="1568" w:val="left"/>
        </w:tabs>
        <w:numPr>
          <w:ilvl w:val="0"/>
          <w:numId w:val="22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enter into any transaction with any affiliate of the Corporation (as defined in Rule 144 under the Securities Act (as defined below)) except for compensation and expense reimbursement arrangements with officers and outside directors in the ordinary course of business;</w:t>
      </w:r>
    </w:p>
    <w:p>
      <w:pPr>
        <w:spacing w:after="0" w:line="121" w:lineRule="exact"/>
        <w:rPr>
          <w:rFonts w:ascii="Arial" w:cs="Arial" w:eastAsia="Arial" w:hAnsi="Arial"/>
          <w:sz w:val="15"/>
          <w:szCs w:val="15"/>
          <w:color w:val="auto"/>
        </w:rPr>
      </w:pPr>
    </w:p>
    <w:p>
      <w:pPr>
        <w:ind w:right="40" w:firstLine="1334"/>
        <w:spacing w:after="0" w:line="268" w:lineRule="auto"/>
        <w:tabs>
          <w:tab w:leader="none" w:pos="161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grant any contractual rights to register shares of the Company’s capital stock under the Securities Act (other than pursuant to the Investor Rights Agreement);</w:t>
      </w:r>
    </w:p>
    <w:p>
      <w:pPr>
        <w:spacing w:after="0" w:line="165" w:lineRule="exact"/>
        <w:rPr>
          <w:rFonts w:ascii="Arial" w:cs="Arial" w:eastAsia="Arial" w:hAnsi="Arial"/>
          <w:sz w:val="17"/>
          <w:szCs w:val="17"/>
          <w:color w:val="auto"/>
        </w:rPr>
      </w:pPr>
    </w:p>
    <w:p>
      <w:pPr>
        <w:ind w:left="1660" w:hanging="326"/>
        <w:spacing w:after="0"/>
        <w:tabs>
          <w:tab w:leader="none" w:pos="1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reclassify any shares of capital stock of the Corporation; or</w:t>
      </w:r>
    </w:p>
    <w:p>
      <w:pPr>
        <w:spacing w:after="0" w:line="206" w:lineRule="exact"/>
        <w:rPr>
          <w:rFonts w:ascii="Arial" w:cs="Arial" w:eastAsia="Arial" w:hAnsi="Arial"/>
          <w:sz w:val="17"/>
          <w:szCs w:val="17"/>
          <w:color w:val="auto"/>
        </w:rPr>
      </w:pPr>
    </w:p>
    <w:p>
      <w:pPr>
        <w:ind w:left="1720" w:hanging="386"/>
        <w:spacing w:after="0"/>
        <w:tabs>
          <w:tab w:leader="none" w:pos="172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increase or decrease the size of the Board of Directors.</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As used in this Amended and Restated Certificate of Incorporation, “</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or any successor federal statute, and the rules and regulations of the Securities and Exchange Commission issued under such Act, as they each may, from time to time, be in effect.</w:t>
      </w:r>
    </w:p>
    <w:p>
      <w:pPr>
        <w:spacing w:after="0" w:line="175" w:lineRule="exact"/>
        <w:rPr>
          <w:sz w:val="20"/>
          <w:szCs w:val="20"/>
          <w:color w:val="auto"/>
        </w:rPr>
      </w:pPr>
    </w:p>
    <w:p>
      <w:pPr>
        <w:ind w:left="580" w:hanging="168"/>
        <w:spacing w:after="0"/>
        <w:tabs>
          <w:tab w:leader="none" w:pos="580"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The holders of the Preferred Stock shall have conversion rights as follows (the “</w:t>
      </w:r>
      <w:r>
        <w:rPr>
          <w:rFonts w:ascii="Arial" w:cs="Arial" w:eastAsia="Arial" w:hAnsi="Arial"/>
          <w:sz w:val="17"/>
          <w:szCs w:val="17"/>
          <w:u w:val="single" w:color="auto"/>
          <w:color w:val="auto"/>
        </w:rPr>
        <w:t>Conversion Rights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firstLine="924"/>
        <w:spacing w:after="0" w:line="282" w:lineRule="auto"/>
        <w:tabs>
          <w:tab w:leader="none" w:pos="1149" w:val="left"/>
        </w:tabs>
        <w:numPr>
          <w:ilvl w:val="1"/>
          <w:numId w:val="226"/>
        </w:numPr>
        <w:rPr>
          <w:rFonts w:ascii="Arial" w:cs="Arial" w:eastAsia="Arial" w:hAnsi="Arial"/>
          <w:sz w:val="15"/>
          <w:szCs w:val="15"/>
          <w:color w:val="auto"/>
        </w:rPr>
      </w:pPr>
      <w:r>
        <w:rPr>
          <w:rFonts w:ascii="Arial" w:cs="Arial" w:eastAsia="Arial" w:hAnsi="Arial"/>
          <w:sz w:val="15"/>
          <w:szCs w:val="15"/>
          <w:u w:val="single" w:color="auto"/>
          <w:color w:val="auto"/>
        </w:rPr>
        <w:t>Right to Convert</w:t>
      </w:r>
      <w:r>
        <w:rPr>
          <w:rFonts w:ascii="Arial" w:cs="Arial" w:eastAsia="Arial" w:hAnsi="Arial"/>
          <w:sz w:val="15"/>
          <w:szCs w:val="15"/>
          <w:color w:val="auto"/>
        </w:rPr>
        <w:t>. Each share of Series A-l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$0.4162 (subject to appropriate adjustment in the event of any stock dividend, stock split, combination or other similar recapitalization occurring after the date hereof and affecting the number of issued and outstanding shares of Series A-l Preferred Stock) by the Series A-l Conversion Price (as defined below) in effect at the time of conversion. Each share of Series A-2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$0.3397 (subject to appropriate adjustment in the event of any stock dividend, stock split, combination or other similar recapitalization occurring after the date hereof and affecting the number of issued and outstanding shares of Series A-2 Preferred Stock) by the Series A-2 Conversion Price (as defined below) in effect at the time of conversion. Each share of Series A-3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$0.6245 (subject to appropriate adjustment in the event of any stock dividend, stock split, combination or other similar recapitalization occurring after the date hereof and affecting the number of issued and outstanding shares of Series A-3 Preferred Stock) by the Series A-3 Conversion Price (as defined below) in effect at the time of conversion. Each share of Series A-4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$0.30 (subject to appropriate adjustment in the event of any stock dividend, stock split, combination or other similar recapitalization occurring after the date hereof and affecting the number of issued and</w:t>
      </w:r>
    </w:p>
    <w:p>
      <w:pPr>
        <w:spacing w:after="0" w:line="107" w:lineRule="exact"/>
        <w:rPr>
          <w:rFonts w:ascii="Arial" w:cs="Arial" w:eastAsia="Arial" w:hAnsi="Arial"/>
          <w:sz w:val="15"/>
          <w:szCs w:val="15"/>
          <w:color w:val="auto"/>
        </w:rPr>
      </w:pPr>
    </w:p>
    <w:p>
      <w:pPr>
        <w:ind w:left="5040" w:hanging="97"/>
        <w:spacing w:after="0"/>
        <w:tabs>
          <w:tab w:leader="none" w:pos="5040" w:val="left"/>
        </w:tabs>
        <w:numPr>
          <w:ilvl w:val="2"/>
          <w:numId w:val="226"/>
        </w:numPr>
        <w:rPr>
          <w:rFonts w:ascii="Arial" w:cs="Arial" w:eastAsia="Arial" w:hAnsi="Arial"/>
          <w:sz w:val="17"/>
          <w:szCs w:val="17"/>
          <w:color w:val="auto"/>
        </w:rPr>
      </w:pPr>
      <w:r>
        <w:rPr>
          <w:rFonts w:ascii="Arial" w:cs="Arial" w:eastAsia="Arial" w:hAnsi="Arial"/>
          <w:sz w:val="17"/>
          <w:szCs w:val="17"/>
          <w:color w:val="auto"/>
        </w:rPr>
        <w:t>13 -</w:t>
      </w:r>
    </w:p>
    <w:p>
      <w:pPr>
        <w:sectPr>
          <w:pgSz w:w="11900" w:h="16838" w:orient="portrait"/>
          <w:cols w:equalWidth="0" w:num="1">
            <w:col w:w="10240"/>
          </w:cols>
          <w:pgMar w:left="820" w:top="265" w:right="839" w:bottom="1440" w:gutter="0" w:footer="0" w:header="0"/>
        </w:sectPr>
      </w:pPr>
    </w:p>
    <w:bookmarkStart w:id="292" w:name="page293"/>
    <w:bookmarkEnd w:id="292"/>
    <w:p>
      <w:pPr>
        <w:ind w:right="40"/>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outstanding shares of Series A-4 Preferred Stock) by the Series A-4 Conversion Price (as defined below) in effect at the time of conversion. Each share of Series B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$0.30 (subject to appropriate adjustment in the event of any stock dividend, stock split, combination or other similar recapitalization occurring after the date hereof and affecting the number of issued and outstanding shares of Series B Preferred Stock) by the Series B Conversion Price (as defined below) in effect at the time of conversion. Each share of Series C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$0.38811 (subject to appropriate adjustment in the event of any stock dividend, stock split, combination or other similar recapitalization occurring after the date hereof and affecting the number of issued and outstanding shares of Series C Preferred Stock) by the Series C Conversion Price (as defined below) in effect at the time of conversion. The “</w:t>
      </w:r>
      <w:r>
        <w:rPr>
          <w:rFonts w:ascii="Arial" w:cs="Arial" w:eastAsia="Arial" w:hAnsi="Arial"/>
          <w:sz w:val="15"/>
          <w:szCs w:val="15"/>
          <w:u w:val="single" w:color="auto"/>
          <w:color w:val="auto"/>
        </w:rPr>
        <w:t>Series A-l Conversion Price</w:t>
      </w:r>
      <w:r>
        <w:rPr>
          <w:rFonts w:ascii="Arial" w:cs="Arial" w:eastAsia="Arial" w:hAnsi="Arial"/>
          <w:sz w:val="15"/>
          <w:szCs w:val="15"/>
          <w:color w:val="auto"/>
        </w:rPr>
        <w:t>” shall mean $0.4162 at the date hereof, the “</w:t>
      </w:r>
      <w:r>
        <w:rPr>
          <w:rFonts w:ascii="Arial" w:cs="Arial" w:eastAsia="Arial" w:hAnsi="Arial"/>
          <w:sz w:val="15"/>
          <w:szCs w:val="15"/>
          <w:u w:val="single" w:color="auto"/>
          <w:color w:val="auto"/>
        </w:rPr>
        <w:t>Series A-2 Conversion Price</w:t>
      </w:r>
      <w:r>
        <w:rPr>
          <w:rFonts w:ascii="Arial" w:cs="Arial" w:eastAsia="Arial" w:hAnsi="Arial"/>
          <w:sz w:val="15"/>
          <w:szCs w:val="15"/>
          <w:color w:val="auto"/>
        </w:rPr>
        <w:t>” shall mean $0.3397 at the date hereof, the “</w:t>
      </w:r>
      <w:r>
        <w:rPr>
          <w:rFonts w:ascii="Arial" w:cs="Arial" w:eastAsia="Arial" w:hAnsi="Arial"/>
          <w:sz w:val="15"/>
          <w:szCs w:val="15"/>
          <w:u w:val="single" w:color="auto"/>
          <w:color w:val="auto"/>
        </w:rPr>
        <w:t>Series A-3 Conversion Price</w:t>
      </w:r>
      <w:r>
        <w:rPr>
          <w:rFonts w:ascii="Arial" w:cs="Arial" w:eastAsia="Arial" w:hAnsi="Arial"/>
          <w:sz w:val="15"/>
          <w:szCs w:val="15"/>
          <w:color w:val="auto"/>
        </w:rPr>
        <w:t>” shall mean $0.6245 at the date hereof, the “</w:t>
      </w:r>
      <w:r>
        <w:rPr>
          <w:rFonts w:ascii="Arial" w:cs="Arial" w:eastAsia="Arial" w:hAnsi="Arial"/>
          <w:sz w:val="15"/>
          <w:szCs w:val="15"/>
          <w:u w:val="single" w:color="auto"/>
          <w:color w:val="auto"/>
        </w:rPr>
        <w:t>Series A-4 Conversion Price</w:t>
      </w:r>
      <w:r>
        <w:rPr>
          <w:rFonts w:ascii="Arial" w:cs="Arial" w:eastAsia="Arial" w:hAnsi="Arial"/>
          <w:sz w:val="15"/>
          <w:szCs w:val="15"/>
          <w:color w:val="auto"/>
        </w:rPr>
        <w:t>” shall mean $0.30 at the date hereof, the “</w:t>
      </w:r>
      <w:r>
        <w:rPr>
          <w:rFonts w:ascii="Arial" w:cs="Arial" w:eastAsia="Arial" w:hAnsi="Arial"/>
          <w:sz w:val="15"/>
          <w:szCs w:val="15"/>
          <w:u w:val="single" w:color="auto"/>
          <w:color w:val="auto"/>
        </w:rPr>
        <w:t>Series B Conversion Price</w:t>
      </w:r>
      <w:r>
        <w:rPr>
          <w:rFonts w:ascii="Arial" w:cs="Arial" w:eastAsia="Arial" w:hAnsi="Arial"/>
          <w:sz w:val="15"/>
          <w:szCs w:val="15"/>
          <w:color w:val="auto"/>
        </w:rPr>
        <w:t>” shall mean $0.30 at the date hereof, and the “</w:t>
      </w:r>
      <w:r>
        <w:rPr>
          <w:rFonts w:ascii="Arial" w:cs="Arial" w:eastAsia="Arial" w:hAnsi="Arial"/>
          <w:sz w:val="15"/>
          <w:szCs w:val="15"/>
          <w:u w:val="single" w:color="auto"/>
          <w:color w:val="auto"/>
        </w:rPr>
        <w:t>Series C Conversion Price</w:t>
      </w:r>
      <w:r>
        <w:rPr>
          <w:rFonts w:ascii="Arial" w:cs="Arial" w:eastAsia="Arial" w:hAnsi="Arial"/>
          <w:sz w:val="15"/>
          <w:szCs w:val="15"/>
          <w:color w:val="auto"/>
        </w:rPr>
        <w:t>” shall mean $0.38811 at the date hereof. The “</w:t>
      </w:r>
      <w:r>
        <w:rPr>
          <w:rFonts w:ascii="Arial" w:cs="Arial" w:eastAsia="Arial" w:hAnsi="Arial"/>
          <w:sz w:val="15"/>
          <w:szCs w:val="15"/>
          <w:u w:val="single" w:color="auto"/>
          <w:color w:val="auto"/>
        </w:rPr>
        <w:t>Conversion Price</w:t>
      </w:r>
      <w:r>
        <w:rPr>
          <w:rFonts w:ascii="Arial" w:cs="Arial" w:eastAsia="Arial" w:hAnsi="Arial"/>
          <w:sz w:val="15"/>
          <w:szCs w:val="15"/>
          <w:color w:val="auto"/>
        </w:rPr>
        <w:t>” shall mean, collectively, the Series A-l Conversion Price, Series A-2 Conversion Price, Series A-3 Conversion Price, Series A-4 Conversion Price, Series B Conversion Price, and Series C Conversion Price, as applicable. Such initial Series A-l Conversion Price, Series A-2 Conversion Price, Series A-3 Conversion Price, Series A-4 Conversion Price, Series B Conversion Price, and Series C Conversion Price, and the rate at which shares of Series A-l Preferred Stock, Series A-2 Preferred Stock, Series A-3 Preferred Stock, Series A-4 Preferred Stock, Series B Preferred Stock, and Series C Preferred Stock may be converted into shares of Common Stock, shall be subject to adjustment as provided below.</w:t>
      </w:r>
    </w:p>
    <w:p>
      <w:pPr>
        <w:spacing w:after="0" w:line="168" w:lineRule="exact"/>
        <w:rPr>
          <w:sz w:val="20"/>
          <w:szCs w:val="20"/>
          <w:color w:val="auto"/>
        </w:rPr>
      </w:pPr>
    </w:p>
    <w:p>
      <w:pPr>
        <w:ind w:firstLine="1334"/>
        <w:spacing w:after="0" w:line="293" w:lineRule="auto"/>
        <w:tabs>
          <w:tab w:leader="none" w:pos="1531" w:val="left"/>
        </w:tabs>
        <w:numPr>
          <w:ilvl w:val="1"/>
          <w:numId w:val="227"/>
        </w:numPr>
        <w:rPr>
          <w:rFonts w:ascii="Arial" w:cs="Arial" w:eastAsia="Arial" w:hAnsi="Arial"/>
          <w:sz w:val="15"/>
          <w:szCs w:val="15"/>
          <w:color w:val="auto"/>
        </w:rPr>
      </w:pPr>
      <w:r>
        <w:rPr>
          <w:rFonts w:ascii="Arial" w:cs="Arial" w:eastAsia="Arial" w:hAnsi="Arial"/>
          <w:sz w:val="15"/>
          <w:szCs w:val="15"/>
          <w:color w:val="auto"/>
        </w:rPr>
        <w:t>In the event of a notice of redemption of any shares of Preferred Stock pursuant to Section 6 hereof, the Conversion Rights of the shares designated for redemption shall terminate at the close of business on the full day preceding the date fixed for redemption, unless the redemption price is not fully paid when due, in which case the Conversion Rights for such shares shall continue until such price is paid in full. In the event of a liquidation, dissolution or winding up of the Corporation, the Conversion Rights shall terminate at the close of business on the second full day preceding the date fixed for the payment of any amounts distributable on such event to the holders of Preferred Stock.</w:t>
      </w:r>
    </w:p>
    <w:p>
      <w:pPr>
        <w:spacing w:after="0" w:line="152" w:lineRule="exact"/>
        <w:rPr>
          <w:rFonts w:ascii="Arial" w:cs="Arial" w:eastAsia="Arial" w:hAnsi="Arial"/>
          <w:sz w:val="15"/>
          <w:szCs w:val="15"/>
          <w:color w:val="auto"/>
        </w:rPr>
      </w:pPr>
    </w:p>
    <w:p>
      <w:pPr>
        <w:jc w:val="both"/>
        <w:ind w:right="100" w:firstLine="924"/>
        <w:spacing w:after="0" w:line="253" w:lineRule="auto"/>
        <w:tabs>
          <w:tab w:leader="none" w:pos="1158"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Preferred Stock. In lieu of any fractional shares to which the holder would otherwise be entitled, the Corporation shall pay cash equal to such fraction multiplied by the then effective Series A-l Conversion Price, Series A-2 Conversion Price, Series A-3 Conversion Price, Series A-4 Conversion Price, Series B Conversion Price or Series C Conversion Price, as the case may be.</w:t>
      </w:r>
    </w:p>
    <w:p>
      <w:pPr>
        <w:spacing w:after="0" w:line="117" w:lineRule="exact"/>
        <w:rPr>
          <w:rFonts w:ascii="Arial" w:cs="Arial" w:eastAsia="Arial" w:hAnsi="Arial"/>
          <w:sz w:val="17"/>
          <w:szCs w:val="17"/>
          <w:color w:val="auto"/>
        </w:rPr>
      </w:pPr>
    </w:p>
    <w:p>
      <w:pPr>
        <w:ind w:left="5040" w:hanging="97"/>
        <w:spacing w:after="0"/>
        <w:tabs>
          <w:tab w:leader="none" w:pos="5040" w:val="left"/>
        </w:tabs>
        <w:numPr>
          <w:ilvl w:val="2"/>
          <w:numId w:val="228"/>
        </w:numPr>
        <w:rPr>
          <w:rFonts w:ascii="Arial" w:cs="Arial" w:eastAsia="Arial" w:hAnsi="Arial"/>
          <w:sz w:val="17"/>
          <w:szCs w:val="17"/>
          <w:color w:val="auto"/>
        </w:rPr>
      </w:pPr>
      <w:r>
        <w:rPr>
          <w:rFonts w:ascii="Arial" w:cs="Arial" w:eastAsia="Arial" w:hAnsi="Arial"/>
          <w:sz w:val="17"/>
          <w:szCs w:val="17"/>
          <w:color w:val="auto"/>
        </w:rPr>
        <w:t>14 -</w:t>
      </w:r>
    </w:p>
    <w:p>
      <w:pPr>
        <w:sectPr>
          <w:pgSz w:w="11900" w:h="16838" w:orient="portrait"/>
          <w:cols w:equalWidth="0" w:num="1">
            <w:col w:w="10220"/>
          </w:cols>
          <w:pgMar w:left="820" w:top="265" w:right="859" w:bottom="1440" w:gutter="0" w:footer="0" w:header="0"/>
        </w:sectPr>
      </w:pPr>
    </w:p>
    <w:bookmarkStart w:id="293" w:name="page294"/>
    <w:bookmarkEnd w:id="293"/>
    <w:p>
      <w:pPr>
        <w:ind w:left="540" w:hanging="236"/>
        <w:spacing w:after="0"/>
        <w:tabs>
          <w:tab w:leader="none" w:pos="540"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Mechanics of Conversion</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620" w:firstLine="1334"/>
        <w:spacing w:after="0" w:line="283" w:lineRule="auto"/>
        <w:tabs>
          <w:tab w:leader="none" w:pos="911" w:val="left"/>
        </w:tabs>
        <w:numPr>
          <w:ilvl w:val="1"/>
          <w:numId w:val="229"/>
        </w:numPr>
        <w:rPr>
          <w:rFonts w:ascii="Arial" w:cs="Arial" w:eastAsia="Arial" w:hAnsi="Arial"/>
          <w:sz w:val="15"/>
          <w:szCs w:val="15"/>
          <w:color w:val="auto"/>
        </w:rPr>
      </w:pPr>
      <w:r>
        <w:rPr>
          <w:rFonts w:ascii="Arial" w:cs="Arial" w:eastAsia="Arial" w:hAnsi="Arial"/>
          <w:sz w:val="15"/>
          <w:szCs w:val="15"/>
          <w:color w:val="auto"/>
        </w:rPr>
        <w:t>In order for a holder of Preferred Stock to voluntarily convert shares of Preferred Stock into shares of Common Stock, such holder shall surrender the certificate or certificates for such shares of Preferred Stock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or its attorney duly authorized in writing. The date of receipt of such certificates (or lost certificate affidavit and agreement) and notice by the transfer agent (or by the Corporation if the Corporation serves as its own transfer agent) shall be the conversion date (“</w:t>
      </w:r>
      <w:r>
        <w:rPr>
          <w:rFonts w:ascii="Arial" w:cs="Arial" w:eastAsia="Arial" w:hAnsi="Arial"/>
          <w:sz w:val="15"/>
          <w:szCs w:val="15"/>
          <w:u w:val="single" w:color="auto"/>
          <w:color w:val="auto"/>
        </w:rPr>
        <w:t>Conversion Date</w:t>
      </w:r>
      <w:r>
        <w:rPr>
          <w:rFonts w:ascii="Arial" w:cs="Arial" w:eastAsia="Arial" w:hAnsi="Arial"/>
          <w:sz w:val="15"/>
          <w:szCs w:val="15"/>
          <w:color w:val="auto"/>
        </w:rPr>
        <w:t>”), and such conversion shall be effective at the close of business on the Conversion Date. The Corporation shall, as soon as practicable after the Conversion Date, issue and deliver to such holder of Preferred Stock, or to his or its nominees, a certificate or certificates for the number of shares of Common Stock to which such holder shall be entitled, together with cash in lieu of any fraction of a share.</w:t>
      </w:r>
    </w:p>
    <w:p>
      <w:pPr>
        <w:spacing w:after="0" w:line="165" w:lineRule="exact"/>
        <w:rPr>
          <w:rFonts w:ascii="Arial" w:cs="Arial" w:eastAsia="Arial" w:hAnsi="Arial"/>
          <w:sz w:val="15"/>
          <w:szCs w:val="15"/>
          <w:color w:val="auto"/>
        </w:rPr>
      </w:pPr>
    </w:p>
    <w:p>
      <w:pPr>
        <w:ind w:left="-620" w:firstLine="1334"/>
        <w:spacing w:after="0" w:line="284" w:lineRule="auto"/>
        <w:tabs>
          <w:tab w:leader="none" w:pos="958" w:val="left"/>
        </w:tabs>
        <w:numPr>
          <w:ilvl w:val="1"/>
          <w:numId w:val="229"/>
        </w:numPr>
        <w:rPr>
          <w:rFonts w:ascii="Arial" w:cs="Arial" w:eastAsia="Arial" w:hAnsi="Arial"/>
          <w:sz w:val="15"/>
          <w:szCs w:val="15"/>
          <w:color w:val="auto"/>
        </w:rPr>
      </w:pPr>
      <w:r>
        <w:rPr>
          <w:rFonts w:ascii="Arial" w:cs="Arial" w:eastAsia="Arial" w:hAnsi="Arial"/>
          <w:sz w:val="15"/>
          <w:szCs w:val="15"/>
          <w:color w:val="auto"/>
        </w:rPr>
        <w:t>The Corporation shall at all times when any Preferred Stock shall be outstanding, reserve and keep available out of its authorized but unissued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Series A-l Conversion Price, Series A-2 Conversion Price, Series A-3 Conversion Price, Series A-4 Conversion Price, Series B Conversion Price, or Series C Conversion Price below the then par value of the shares of Common Stock issuable upon conversion of the Series A-l Preferred Stock, Series A-2 Preferred Stock, Series A-3 Preferred Stock, Series A-4 Preferred Stock, Series B Preferred Stock, or Series C Preferred Stock, the Corporation will take any corporate action which may, in the opinion of its counsel, be necessary in order that the Corporation may validly and legally issue fully paid and nonassessable shares of Common Stock at such adjusted Series A-l Conversion Price, Series A-2 Conversion Price, Series A-3 Conversion Price, Series A-4 Conversion Price, Series B Conversion Price, or Series C Conversion Price.</w:t>
      </w:r>
    </w:p>
    <w:p>
      <w:pPr>
        <w:spacing w:after="0" w:line="95" w:lineRule="exact"/>
        <w:rPr>
          <w:rFonts w:ascii="Arial" w:cs="Arial" w:eastAsia="Arial" w:hAnsi="Arial"/>
          <w:sz w:val="15"/>
          <w:szCs w:val="15"/>
          <w:color w:val="auto"/>
        </w:rPr>
      </w:pPr>
    </w:p>
    <w:p>
      <w:pPr>
        <w:ind w:left="4420" w:hanging="97"/>
        <w:spacing w:after="0"/>
        <w:tabs>
          <w:tab w:leader="none" w:pos="4420" w:val="left"/>
        </w:tabs>
        <w:numPr>
          <w:ilvl w:val="2"/>
          <w:numId w:val="229"/>
        </w:numPr>
        <w:rPr>
          <w:rFonts w:ascii="Arial" w:cs="Arial" w:eastAsia="Arial" w:hAnsi="Arial"/>
          <w:sz w:val="17"/>
          <w:szCs w:val="17"/>
          <w:color w:val="auto"/>
        </w:rPr>
      </w:pPr>
      <w:r>
        <w:rPr>
          <w:rFonts w:ascii="Arial" w:cs="Arial" w:eastAsia="Arial" w:hAnsi="Arial"/>
          <w:sz w:val="17"/>
          <w:szCs w:val="17"/>
          <w:color w:val="auto"/>
        </w:rPr>
        <w:t>15 -</w:t>
      </w:r>
    </w:p>
    <w:p>
      <w:pPr>
        <w:sectPr>
          <w:pgSz w:w="11900" w:h="16838" w:orient="portrait"/>
          <w:cols w:equalWidth="0" w:num="1">
            <w:col w:w="9600"/>
          </w:cols>
          <w:pgMar w:left="1440" w:top="265" w:right="859" w:bottom="1440" w:gutter="0" w:footer="0" w:header="0"/>
        </w:sectPr>
      </w:pPr>
    </w:p>
    <w:bookmarkStart w:id="294" w:name="page295"/>
    <w:bookmarkEnd w:id="294"/>
    <w:p>
      <w:pPr>
        <w:ind w:right="360" w:firstLine="1334"/>
        <w:spacing w:after="0" w:line="280" w:lineRule="auto"/>
        <w:tabs>
          <w:tab w:leader="none" w:pos="1624" w:val="left"/>
        </w:tabs>
        <w:numPr>
          <w:ilvl w:val="2"/>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Upon any such conversion, no adjustment to the Series A-l Conversion Price, Series A-2 Conversion Price, Series A-3 Conversion Price, Series A-4 Conversion Price, Series B Conversion Price, or Series C Conversion Price shall be made for any declared but unpaid dividends on the Preferred Stock surrendered for conversion or on the Common Stock delivered upon conversion.</w:t>
      </w:r>
    </w:p>
    <w:p>
      <w:pPr>
        <w:spacing w:after="0" w:line="159" w:lineRule="exact"/>
        <w:rPr>
          <w:rFonts w:ascii="Arial" w:cs="Arial" w:eastAsia="Arial" w:hAnsi="Arial"/>
          <w:sz w:val="16"/>
          <w:szCs w:val="16"/>
          <w:color w:val="auto"/>
        </w:rPr>
      </w:pPr>
    </w:p>
    <w:p>
      <w:pPr>
        <w:ind w:right="40" w:firstLine="1334"/>
        <w:spacing w:after="0" w:line="288" w:lineRule="auto"/>
        <w:tabs>
          <w:tab w:leader="none" w:pos="1615" w:val="left"/>
        </w:tabs>
        <w:numPr>
          <w:ilvl w:val="2"/>
          <w:numId w:val="230"/>
        </w:numPr>
        <w:rPr>
          <w:rFonts w:ascii="Arial" w:cs="Arial" w:eastAsia="Arial" w:hAnsi="Arial"/>
          <w:sz w:val="15"/>
          <w:szCs w:val="15"/>
          <w:color w:val="auto"/>
        </w:rPr>
      </w:pPr>
      <w:r>
        <w:rPr>
          <w:rFonts w:ascii="Arial" w:cs="Arial" w:eastAsia="Arial" w:hAnsi="Arial"/>
          <w:sz w:val="15"/>
          <w:szCs w:val="15"/>
          <w:color w:val="auto"/>
        </w:rPr>
        <w:t>All shares of Preferred Stock which shall have been surrendered for conversion as herein provided shall no longer be deemed to be outstanding and all rights with respect to such shares, including the rights, if any, to receive notices and to vote, shall immediately cease and terminate at the close of business on the Conversion Date, except only the right of the holders thereof to receive shares of Common Stock in exchange therefor, to receive payment in lieu of any fraction of a share otherwise issuable upon such conversion as provided above and to receive payment of any dividends declared but unpaid thereon as of the close of business on the Conversion Date. Any shares of Preferred Stock so converted shall be retired and cancelled and shall not be reissued, and the Corporation (without the need for stockholder action) may from time to time take such appropriate action as may be necessary to reduce the authorized number of shares of such series of Preferred Stock accordingly.</w:t>
      </w:r>
    </w:p>
    <w:p>
      <w:pPr>
        <w:spacing w:after="0" w:line="157" w:lineRule="exact"/>
        <w:rPr>
          <w:rFonts w:ascii="Arial" w:cs="Arial" w:eastAsia="Arial" w:hAnsi="Arial"/>
          <w:sz w:val="15"/>
          <w:szCs w:val="15"/>
          <w:color w:val="auto"/>
        </w:rPr>
      </w:pPr>
    </w:p>
    <w:p>
      <w:pPr>
        <w:ind w:firstLine="1334"/>
        <w:spacing w:after="0" w:line="250" w:lineRule="auto"/>
        <w:tabs>
          <w:tab w:leader="none" w:pos="1568" w:val="left"/>
        </w:tabs>
        <w:numPr>
          <w:ilvl w:val="2"/>
          <w:numId w:val="230"/>
        </w:numPr>
        <w:rPr>
          <w:rFonts w:ascii="Arial" w:cs="Arial" w:eastAsia="Arial" w:hAnsi="Arial"/>
          <w:sz w:val="17"/>
          <w:szCs w:val="17"/>
          <w:color w:val="auto"/>
        </w:rPr>
      </w:pPr>
      <w:r>
        <w:rPr>
          <w:rFonts w:ascii="Arial" w:cs="Arial" w:eastAsia="Arial" w:hAnsi="Arial"/>
          <w:sz w:val="17"/>
          <w:szCs w:val="17"/>
          <w:color w:val="auto"/>
        </w:rPr>
        <w:t>The Corporation shall pay any and all issue and other taxes that may be payable in respect of any issuance or delivery of shares of Common Stock upon conversion of shares of Preferred Stock pursuant to this Section 4.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83" w:lineRule="exact"/>
        <w:rPr>
          <w:rFonts w:ascii="Arial" w:cs="Arial" w:eastAsia="Arial" w:hAnsi="Arial"/>
          <w:sz w:val="17"/>
          <w:szCs w:val="17"/>
          <w:color w:val="auto"/>
        </w:rPr>
      </w:pPr>
    </w:p>
    <w:p>
      <w:pPr>
        <w:ind w:left="1160" w:hanging="236"/>
        <w:spacing w:after="0"/>
        <w:tabs>
          <w:tab w:leader="none" w:pos="1160" w:val="left"/>
        </w:tabs>
        <w:numPr>
          <w:ilvl w:val="1"/>
          <w:numId w:val="231"/>
        </w:numPr>
        <w:rPr>
          <w:rFonts w:ascii="Arial" w:cs="Arial" w:eastAsia="Arial" w:hAnsi="Arial"/>
          <w:sz w:val="17"/>
          <w:szCs w:val="17"/>
          <w:color w:val="auto"/>
        </w:rPr>
      </w:pPr>
      <w:r>
        <w:rPr>
          <w:rFonts w:ascii="Arial" w:cs="Arial" w:eastAsia="Arial" w:hAnsi="Arial"/>
          <w:sz w:val="17"/>
          <w:szCs w:val="17"/>
          <w:u w:val="single" w:color="auto"/>
          <w:color w:val="auto"/>
        </w:rPr>
        <w:t>Adjustments to Conversion Prices for Diluting Issues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1540" w:hanging="206"/>
        <w:spacing w:after="0"/>
        <w:tabs>
          <w:tab w:leader="none" w:pos="1540" w:val="left"/>
        </w:tabs>
        <w:numPr>
          <w:ilvl w:val="2"/>
          <w:numId w:val="231"/>
        </w:numPr>
        <w:rPr>
          <w:rFonts w:ascii="Arial" w:cs="Arial" w:eastAsia="Arial" w:hAnsi="Arial"/>
          <w:sz w:val="17"/>
          <w:szCs w:val="17"/>
          <w:color w:val="auto"/>
        </w:rPr>
      </w:pPr>
      <w:r>
        <w:rPr>
          <w:rFonts w:ascii="Arial" w:cs="Arial" w:eastAsia="Arial" w:hAnsi="Arial"/>
          <w:sz w:val="17"/>
          <w:szCs w:val="17"/>
          <w:u w:val="single" w:color="auto"/>
          <w:color w:val="auto"/>
        </w:rPr>
        <w:t>Special Definitions</w:t>
      </w:r>
      <w:r>
        <w:rPr>
          <w:rFonts w:ascii="Arial" w:cs="Arial" w:eastAsia="Arial" w:hAnsi="Arial"/>
          <w:sz w:val="17"/>
          <w:szCs w:val="17"/>
          <w:color w:val="auto"/>
        </w:rPr>
        <w:t>. For purposes of this Article FOURTH, the following definitions shall apply:</w:t>
      </w:r>
    </w:p>
    <w:p>
      <w:pPr>
        <w:spacing w:after="0" w:line="105" w:lineRule="exact"/>
        <w:rPr>
          <w:rFonts w:ascii="Arial" w:cs="Arial" w:eastAsia="Arial" w:hAnsi="Arial"/>
          <w:sz w:val="17"/>
          <w:szCs w:val="17"/>
          <w:color w:val="auto"/>
        </w:rPr>
      </w:pPr>
    </w:p>
    <w:p>
      <w:pPr>
        <w:ind w:left="2120" w:hanging="274"/>
        <w:spacing w:after="0"/>
        <w:tabs>
          <w:tab w:leader="none" w:pos="2120" w:val="left"/>
        </w:tabs>
        <w:numPr>
          <w:ilvl w:val="3"/>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Convertible Securities.</w:t>
      </w:r>
    </w:p>
    <w:p>
      <w:pPr>
        <w:spacing w:after="0" w:line="193" w:lineRule="exact"/>
        <w:rPr>
          <w:rFonts w:ascii="Arial" w:cs="Arial" w:eastAsia="Arial" w:hAnsi="Arial"/>
          <w:sz w:val="16"/>
          <w:szCs w:val="16"/>
          <w:color w:val="auto"/>
        </w:rPr>
      </w:pPr>
    </w:p>
    <w:p>
      <w:pPr>
        <w:ind w:left="2120" w:hanging="274"/>
        <w:spacing w:after="0"/>
        <w:tabs>
          <w:tab w:leader="none" w:pos="2120" w:val="left"/>
        </w:tabs>
        <w:numPr>
          <w:ilvl w:val="3"/>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Original Issue Date</w:t>
      </w:r>
      <w:r>
        <w:rPr>
          <w:rFonts w:ascii="Arial" w:cs="Arial" w:eastAsia="Arial" w:hAnsi="Arial"/>
          <w:sz w:val="16"/>
          <w:szCs w:val="16"/>
          <w:color w:val="auto"/>
        </w:rPr>
        <w:t>” shall mean the first date on which a share of Series C Preferred Stock was issued.</w:t>
      </w:r>
    </w:p>
    <w:p>
      <w:pPr>
        <w:spacing w:after="0" w:line="217" w:lineRule="exact"/>
        <w:rPr>
          <w:rFonts w:ascii="Arial" w:cs="Arial" w:eastAsia="Arial" w:hAnsi="Arial"/>
          <w:sz w:val="16"/>
          <w:szCs w:val="16"/>
          <w:color w:val="auto"/>
        </w:rPr>
      </w:pPr>
    </w:p>
    <w:p>
      <w:pPr>
        <w:ind w:right="480" w:firstLine="1846"/>
        <w:spacing w:after="0" w:line="268" w:lineRule="auto"/>
        <w:tabs>
          <w:tab w:leader="none" w:pos="2108" w:val="left"/>
        </w:tabs>
        <w:numPr>
          <w:ilvl w:val="3"/>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 Securities</w:t>
      </w:r>
      <w:r>
        <w:rPr>
          <w:rFonts w:ascii="Arial" w:cs="Arial" w:eastAsia="Arial" w:hAnsi="Arial"/>
          <w:sz w:val="17"/>
          <w:szCs w:val="17"/>
          <w:color w:val="auto"/>
        </w:rPr>
        <w:t>” shall mean any evidences of indebtedness, shares or other securities directly or indirectly convertible into or exchangeable for Common Stock, but excluding Options.</w:t>
      </w:r>
    </w:p>
    <w:p>
      <w:pPr>
        <w:spacing w:after="0" w:line="165" w:lineRule="exact"/>
        <w:rPr>
          <w:rFonts w:ascii="Arial" w:cs="Arial" w:eastAsia="Arial" w:hAnsi="Arial"/>
          <w:sz w:val="17"/>
          <w:szCs w:val="17"/>
          <w:color w:val="auto"/>
        </w:rPr>
      </w:pPr>
    </w:p>
    <w:p>
      <w:pPr>
        <w:ind w:left="2120" w:hanging="274"/>
        <w:spacing w:after="0"/>
        <w:tabs>
          <w:tab w:leader="none" w:pos="2120" w:val="left"/>
        </w:tabs>
        <w:numPr>
          <w:ilvl w:val="3"/>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Shares of Common Stock</w:t>
      </w:r>
      <w:r>
        <w:rPr>
          <w:rFonts w:ascii="Arial" w:cs="Arial" w:eastAsia="Arial" w:hAnsi="Arial"/>
          <w:sz w:val="15"/>
          <w:szCs w:val="15"/>
          <w:color w:val="auto"/>
        </w:rPr>
        <w:t>” shall mean all shares of Common Stock issued (or, pursuant to Subsection 4(d)</w:t>
      </w:r>
    </w:p>
    <w:p>
      <w:pPr>
        <w:spacing w:after="0" w:line="40" w:lineRule="exact"/>
        <w:rPr>
          <w:rFonts w:ascii="Arial" w:cs="Arial" w:eastAsia="Arial" w:hAnsi="Arial"/>
          <w:sz w:val="15"/>
          <w:szCs w:val="15"/>
          <w:color w:val="auto"/>
        </w:rPr>
      </w:pPr>
    </w:p>
    <w:p>
      <w:pPr>
        <w:ind w:left="300" w:hanging="297"/>
        <w:spacing w:after="0"/>
        <w:tabs>
          <w:tab w:leader="none" w:pos="3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below, deemed to be issued) by the Corporation after the Series C Original Issue Date other than:</w:t>
      </w:r>
    </w:p>
    <w:p>
      <w:pPr>
        <w:spacing w:after="0" w:line="93" w:lineRule="exact"/>
        <w:rPr>
          <w:rFonts w:ascii="Arial" w:cs="Arial" w:eastAsia="Arial" w:hAnsi="Arial"/>
          <w:sz w:val="17"/>
          <w:szCs w:val="17"/>
          <w:color w:val="auto"/>
        </w:rPr>
      </w:pPr>
    </w:p>
    <w:p>
      <w:pPr>
        <w:ind w:right="80" w:firstLine="2256"/>
        <w:spacing w:after="0" w:line="268" w:lineRule="auto"/>
        <w:tabs>
          <w:tab w:leader="none" w:pos="2462" w:val="left"/>
        </w:tabs>
        <w:numPr>
          <w:ilvl w:val="4"/>
          <w:numId w:val="232"/>
        </w:numPr>
        <w:rPr>
          <w:rFonts w:ascii="Arial" w:cs="Arial" w:eastAsia="Arial" w:hAnsi="Arial"/>
          <w:sz w:val="17"/>
          <w:szCs w:val="17"/>
          <w:color w:val="auto"/>
        </w:rPr>
      </w:pPr>
      <w:r>
        <w:rPr>
          <w:rFonts w:ascii="Arial" w:cs="Arial" w:eastAsia="Arial" w:hAnsi="Arial"/>
          <w:sz w:val="17"/>
          <w:szCs w:val="17"/>
          <w:color w:val="auto"/>
        </w:rPr>
        <w:t>shares of Common Stock issued or issuable upon conversion or exchange of any Convertible Securities or exercise of any Options outstanding on the Series C Original Issue Date;</w:t>
      </w:r>
    </w:p>
    <w:p>
      <w:pPr>
        <w:spacing w:after="0" w:line="103" w:lineRule="exact"/>
        <w:rPr>
          <w:rFonts w:ascii="Arial" w:cs="Arial" w:eastAsia="Arial" w:hAnsi="Arial"/>
          <w:sz w:val="17"/>
          <w:szCs w:val="17"/>
          <w:color w:val="auto"/>
        </w:rPr>
      </w:pPr>
    </w:p>
    <w:p>
      <w:pPr>
        <w:ind w:left="5040" w:hanging="97"/>
        <w:spacing w:after="0"/>
        <w:tabs>
          <w:tab w:leader="none" w:pos="5040" w:val="left"/>
        </w:tabs>
        <w:numPr>
          <w:ilvl w:val="5"/>
          <w:numId w:val="232"/>
        </w:numPr>
        <w:rPr>
          <w:rFonts w:ascii="Arial" w:cs="Arial" w:eastAsia="Arial" w:hAnsi="Arial"/>
          <w:sz w:val="17"/>
          <w:szCs w:val="17"/>
          <w:color w:val="auto"/>
        </w:rPr>
      </w:pPr>
      <w:r>
        <w:rPr>
          <w:rFonts w:ascii="Arial" w:cs="Arial" w:eastAsia="Arial" w:hAnsi="Arial"/>
          <w:sz w:val="17"/>
          <w:szCs w:val="17"/>
          <w:color w:val="auto"/>
        </w:rPr>
        <w:t>16 -</w:t>
      </w:r>
    </w:p>
    <w:p>
      <w:pPr>
        <w:sectPr>
          <w:pgSz w:w="11900" w:h="16838" w:orient="portrait"/>
          <w:cols w:equalWidth="0" w:num="1">
            <w:col w:w="10220"/>
          </w:cols>
          <w:pgMar w:left="820" w:top="265" w:right="859" w:bottom="1440" w:gutter="0" w:footer="0" w:header="0"/>
        </w:sectPr>
      </w:pPr>
    </w:p>
    <w:bookmarkStart w:id="295" w:name="page296"/>
    <w:bookmarkEnd w:id="295"/>
    <w:p>
      <w:pPr>
        <w:ind w:left="2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(II) shares of Common Stock issued or issuable as a dividend or distribution on Preferred Stock;</w:t>
      </w:r>
    </w:p>
    <w:p>
      <w:pPr>
        <w:spacing w:after="0" w:line="206" w:lineRule="exact"/>
        <w:rPr>
          <w:sz w:val="20"/>
          <w:szCs w:val="20"/>
          <w:color w:val="auto"/>
        </w:rPr>
      </w:pPr>
    </w:p>
    <w:p>
      <w:pPr>
        <w:ind w:right="180" w:firstLine="2256"/>
        <w:spacing w:after="0" w:line="268" w:lineRule="auto"/>
        <w:tabs>
          <w:tab w:leader="none" w:pos="2574" w:val="left"/>
        </w:tabs>
        <w:numPr>
          <w:ilvl w:val="0"/>
          <w:numId w:val="233"/>
        </w:numPr>
        <w:rPr>
          <w:rFonts w:ascii="Arial" w:cs="Arial" w:eastAsia="Arial" w:hAnsi="Arial"/>
          <w:sz w:val="17"/>
          <w:szCs w:val="17"/>
          <w:color w:val="auto"/>
        </w:rPr>
      </w:pPr>
      <w:r>
        <w:rPr>
          <w:rFonts w:ascii="Arial" w:cs="Arial" w:eastAsia="Arial" w:hAnsi="Arial"/>
          <w:sz w:val="17"/>
          <w:szCs w:val="17"/>
          <w:color w:val="auto"/>
        </w:rPr>
        <w:t>shares of Common Stock issued or issuable by reason of a dividend, stock split, split-up or other distribution on shares of Common Stock that is covered by Subsection 4(e) or 4(f) below;</w:t>
      </w:r>
    </w:p>
    <w:p>
      <w:pPr>
        <w:spacing w:after="0" w:line="166" w:lineRule="exact"/>
        <w:rPr>
          <w:sz w:val="20"/>
          <w:szCs w:val="20"/>
          <w:color w:val="auto"/>
        </w:rPr>
      </w:pPr>
    </w:p>
    <w:p>
      <w:pPr>
        <w:ind w:right="560" w:firstLine="2253"/>
        <w:spacing w:after="0" w:line="268" w:lineRule="auto"/>
        <w:rPr>
          <w:sz w:val="20"/>
          <w:szCs w:val="20"/>
          <w:color w:val="auto"/>
        </w:rPr>
      </w:pPr>
      <w:r>
        <w:rPr>
          <w:rFonts w:ascii="Arial" w:cs="Arial" w:eastAsia="Arial" w:hAnsi="Arial"/>
          <w:sz w:val="17"/>
          <w:szCs w:val="17"/>
          <w:color w:val="auto"/>
        </w:rPr>
        <w:t>(IV) shares of Common Stock issued or issuable in a firm underwritten public offering pursuant to an effective registration statement under the Securities Act of 1933, as amended;</w:t>
      </w:r>
    </w:p>
    <w:p>
      <w:pPr>
        <w:spacing w:after="0" w:line="166" w:lineRule="exact"/>
        <w:rPr>
          <w:sz w:val="20"/>
          <w:szCs w:val="20"/>
          <w:color w:val="auto"/>
        </w:rPr>
      </w:pPr>
    </w:p>
    <w:p>
      <w:pPr>
        <w:ind w:right="100" w:firstLine="2256"/>
        <w:spacing w:after="0" w:line="288" w:lineRule="auto"/>
        <w:tabs>
          <w:tab w:leader="none" w:pos="2527" w:val="left"/>
        </w:tabs>
        <w:numPr>
          <w:ilvl w:val="0"/>
          <w:numId w:val="234"/>
        </w:numPr>
        <w:rPr>
          <w:rFonts w:ascii="Arial" w:cs="Arial" w:eastAsia="Arial" w:hAnsi="Arial"/>
          <w:sz w:val="15"/>
          <w:szCs w:val="15"/>
          <w:color w:val="auto"/>
        </w:rPr>
      </w:pPr>
      <w:r>
        <w:rPr>
          <w:rFonts w:ascii="Arial" w:cs="Arial" w:eastAsia="Arial" w:hAnsi="Arial"/>
          <w:sz w:val="15"/>
          <w:szCs w:val="15"/>
          <w:color w:val="auto"/>
        </w:rPr>
        <w:t>shares of Common Stock (or Options or Convertible Securities with respect thereto) authorized for issuance as of November 9, 2016 under the Corporation’s 2005 Equity Incentive Plan, as amended (the “</w:t>
      </w:r>
      <w:r>
        <w:rPr>
          <w:rFonts w:ascii="Arial" w:cs="Arial" w:eastAsia="Arial" w:hAnsi="Arial"/>
          <w:sz w:val="15"/>
          <w:szCs w:val="15"/>
          <w:u w:val="single" w:color="auto"/>
          <w:color w:val="auto"/>
        </w:rPr>
        <w:t>2005 Plan</w:t>
      </w:r>
      <w:r>
        <w:rPr>
          <w:rFonts w:ascii="Arial" w:cs="Arial" w:eastAsia="Arial" w:hAnsi="Arial"/>
          <w:sz w:val="15"/>
          <w:szCs w:val="15"/>
          <w:color w:val="auto"/>
        </w:rPr>
        <w:t>”), and the Corporation’s 2016 Equity Incentive Plan, as amended (the “</w:t>
      </w:r>
      <w:r>
        <w:rPr>
          <w:rFonts w:ascii="Arial" w:cs="Arial" w:eastAsia="Arial" w:hAnsi="Arial"/>
          <w:sz w:val="15"/>
          <w:szCs w:val="15"/>
          <w:u w:val="single" w:color="auto"/>
          <w:color w:val="auto"/>
        </w:rPr>
        <w:t>2016 Plan</w:t>
      </w:r>
      <w:r>
        <w:rPr>
          <w:rFonts w:ascii="Arial" w:cs="Arial" w:eastAsia="Arial" w:hAnsi="Arial"/>
          <w:sz w:val="15"/>
          <w:szCs w:val="15"/>
          <w:color w:val="auto"/>
        </w:rPr>
        <w:t>”, and together with the 2005 Plan, the “</w:t>
      </w:r>
      <w:r>
        <w:rPr>
          <w:rFonts w:ascii="Arial" w:cs="Arial" w:eastAsia="Arial" w:hAnsi="Arial"/>
          <w:sz w:val="15"/>
          <w:szCs w:val="15"/>
          <w:u w:val="single" w:color="auto"/>
          <w:color w:val="auto"/>
        </w:rPr>
        <w:t>Plans</w:t>
      </w:r>
      <w:r>
        <w:rPr>
          <w:rFonts w:ascii="Arial" w:cs="Arial" w:eastAsia="Arial" w:hAnsi="Arial"/>
          <w:sz w:val="15"/>
          <w:szCs w:val="15"/>
          <w:color w:val="auto"/>
        </w:rPr>
        <w:t>”), that are issued or deemed issued to employees or directors of, or consultants to, the Corporation or any of its subsidiaries pursuant to the Plans, or any additional shares of Common Stock (or Options or Convertible Securities with respect thereto) authorized for issuance pursuant to any amendment to the Plans, or pursuant to any other plan, agreement or arrangement, that are issued or deemed issued to such employees, directors or consultants, provided that any such amendment or other plan, agreement or arrangement has been approved by a majority of the Board of Directors (which majority must include a majority of the Preferred Directors);</w:t>
      </w:r>
    </w:p>
    <w:p>
      <w:pPr>
        <w:spacing w:after="0" w:line="158" w:lineRule="exact"/>
        <w:rPr>
          <w:sz w:val="20"/>
          <w:szCs w:val="20"/>
          <w:color w:val="auto"/>
        </w:rPr>
      </w:pPr>
    </w:p>
    <w:p>
      <w:pPr>
        <w:ind w:firstLine="2253"/>
        <w:spacing w:after="0" w:line="253" w:lineRule="auto"/>
        <w:rPr>
          <w:sz w:val="20"/>
          <w:szCs w:val="20"/>
          <w:color w:val="auto"/>
        </w:rPr>
      </w:pPr>
      <w:r>
        <w:rPr>
          <w:rFonts w:ascii="Arial" w:cs="Arial" w:eastAsia="Arial" w:hAnsi="Arial"/>
          <w:sz w:val="17"/>
          <w:szCs w:val="17"/>
          <w:color w:val="auto"/>
        </w:rPr>
        <w:t>(VI) shares of Common Stock (or Options or Convertible Securities with respect thereto) issued solely in consideration for the acquisition (whether by merger or otherwise) by the Corporation or any of its subsidiaries of all or substantially all of the stock or assets of any other entity; provided that such transaction, and the issuance of shares in connection therewith, has been approved by a majority of the Board of Directors (which majority must include a majority of the Preferred Directors);</w:t>
      </w:r>
    </w:p>
    <w:p>
      <w:pPr>
        <w:spacing w:after="0" w:line="180" w:lineRule="exact"/>
        <w:rPr>
          <w:sz w:val="20"/>
          <w:szCs w:val="20"/>
          <w:color w:val="auto"/>
        </w:rPr>
      </w:pPr>
    </w:p>
    <w:p>
      <w:pPr>
        <w:ind w:right="40" w:firstLine="2253"/>
        <w:spacing w:after="0" w:line="253" w:lineRule="auto"/>
        <w:rPr>
          <w:sz w:val="20"/>
          <w:szCs w:val="20"/>
          <w:color w:val="auto"/>
        </w:rPr>
      </w:pPr>
      <w:r>
        <w:rPr>
          <w:rFonts w:ascii="Arial" w:cs="Arial" w:eastAsia="Arial" w:hAnsi="Arial"/>
          <w:sz w:val="17"/>
          <w:szCs w:val="17"/>
          <w:color w:val="auto"/>
        </w:rPr>
        <w:t>(VII) shares of Common Stock (or Options or Convertible Securities with respect thereto) issued or issuable to financial institutions or lessors in connection with commercial credit agreements, equipment financings or similar transactions; provided that such transaction, and the issuance of shares in connection therewith, has been approved by a majority of the Board of Directors (which majority must include a majority of the Preferred Directors);</w:t>
      </w:r>
    </w:p>
    <w:p>
      <w:pPr>
        <w:spacing w:after="0" w:line="180" w:lineRule="exact"/>
        <w:rPr>
          <w:sz w:val="20"/>
          <w:szCs w:val="20"/>
          <w:color w:val="auto"/>
        </w:rPr>
      </w:pPr>
    </w:p>
    <w:p>
      <w:pPr>
        <w:ind w:right="120" w:firstLine="2253"/>
        <w:spacing w:after="0" w:line="298" w:lineRule="auto"/>
        <w:rPr>
          <w:sz w:val="20"/>
          <w:szCs w:val="20"/>
          <w:color w:val="auto"/>
        </w:rPr>
      </w:pPr>
      <w:r>
        <w:rPr>
          <w:rFonts w:ascii="Arial" w:cs="Arial" w:eastAsia="Arial" w:hAnsi="Arial"/>
          <w:sz w:val="15"/>
          <w:szCs w:val="15"/>
          <w:color w:val="auto"/>
        </w:rPr>
        <w:t>(VIII) shares of Common Stock (or Options or Convertible Securities with respect thereto) issued or issuable in connection with strategic transactions involving the Company and other entities, including joint ventures, manufacturing, marketing or distribution arrangements and technology transfer or development arrangements; provided that such strategic transactions, and the issuance of shares in connection therewith, has been approved by a majority of the Board of Directors (which majority must include a majority of the Preferred Directors); 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20"/>
          </w:cols>
          <w:pgMar w:left="820" w:top="265" w:right="859" w:bottom="1440" w:gutter="0" w:footer="0" w:header="0"/>
        </w:sectPr>
      </w:pPr>
    </w:p>
    <w:bookmarkStart w:id="296" w:name="page297"/>
    <w:bookmarkEnd w:id="296"/>
    <w:p>
      <w:pPr>
        <w:ind w:firstLine="2253"/>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(IX) shares of Common Stock (or Options or Convertible Securities with respect thereto) issued or issuable pursuant to that certain Series C Convertible Preferred Stock and Warrant Purchase Agreement, by and among the Corporation and the investors party thereto, as amended from time to time.</w:t>
      </w:r>
    </w:p>
    <w:p>
      <w:pPr>
        <w:spacing w:after="0" w:line="175" w:lineRule="exact"/>
        <w:rPr>
          <w:sz w:val="20"/>
          <w:szCs w:val="20"/>
          <w:color w:val="auto"/>
        </w:rPr>
      </w:pPr>
    </w:p>
    <w:p>
      <w:pPr>
        <w:ind w:right="40" w:firstLine="1334"/>
        <w:spacing w:after="0" w:line="265" w:lineRule="auto"/>
        <w:tabs>
          <w:tab w:leader="none" w:pos="1578"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No Adjustment of Conversion Prices</w:t>
      </w:r>
      <w:r>
        <w:rPr>
          <w:rFonts w:ascii="Arial" w:cs="Arial" w:eastAsia="Arial" w:hAnsi="Arial"/>
          <w:sz w:val="16"/>
          <w:szCs w:val="16"/>
          <w:color w:val="auto"/>
        </w:rPr>
        <w:t>. No adjustment in the number of shares of Common Stock into which the Series A-l Preferred Stock, Series A-2 Preferred Stock, Series A-3 Preferred Stock, Series A-4 Preferred Stock, Series B Preferred Stock, or Series C Preferred Stock, respectively, is convertible shall be made, by adjustment in the Series A-l Conversion Price, Series A-2 Conversion Price, Series A-3 Conversion Price, Series A-4 Conversion Price, Series B Conversion Price, or Series C Conversion Price thereof: (a) unless the consideration per share (determined pursuant to Subsection 4(d)(vi)) for an Additional Share of Common Stock issued or deemed to be issued by the Corporation is less than the Series A-l Conversion Price, Series A-2 Conversion Price, Series A-3 Conversion Price, Series A-4 Conversion Price, Series B Conversion Price, or Series C Conversion Price in effect immediately prior to the issue of such Additional Shares of Common Stock, or (b) if prior to such issuance, the Corporation receives written notice from the holders of at least a majority of the then outstanding shares of Series A-l Preferred Stock, the holders of at least a majority of the then outstanding shares of Series A-2 Preferred Stock, the holders of at least a majority of the then outstanding shares of Series A-3 Preferred Stock, the holders of at least a majority of the then outstanding shares of Series A-4 Preferred Stock, the holders of at least a majority of the then outstanding shares of Series B Preferred Stock, or the holders of at least a majority of the then outstanding shares of Series C Preferred Stock, as the case may be, agreeing that no such adjustment shall be made as the result of the issuance or deemed issuance of such Additional Shares of Common Stock.</w:t>
      </w:r>
    </w:p>
    <w:p>
      <w:pPr>
        <w:spacing w:after="0" w:line="170" w:lineRule="exact"/>
        <w:rPr>
          <w:rFonts w:ascii="Arial" w:cs="Arial" w:eastAsia="Arial" w:hAnsi="Arial"/>
          <w:sz w:val="16"/>
          <w:szCs w:val="16"/>
          <w:color w:val="auto"/>
        </w:rPr>
      </w:pPr>
    </w:p>
    <w:p>
      <w:pPr>
        <w:ind w:right="20" w:firstLine="1334"/>
        <w:spacing w:after="0" w:line="266" w:lineRule="auto"/>
        <w:tabs>
          <w:tab w:leader="none" w:pos="1624"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Issue of Securities Deemed Issue of Additional Shares of Common Stock</w:t>
      </w:r>
      <w:r>
        <w:rPr>
          <w:rFonts w:ascii="Arial" w:cs="Arial" w:eastAsia="Arial" w:hAnsi="Arial"/>
          <w:sz w:val="16"/>
          <w:szCs w:val="16"/>
          <w:color w:val="auto"/>
        </w:rPr>
        <w:t>. If the Corporation at any time or from time to time after the Series C Original Issue Date shall issue any Options (excluding Options covered by Subsection 4(d)(i)(D)(I), (IV), (V), (VI) and (VII) above) or Convertible Securities (excluding Convertible Securities covered by Subsection 4(d)(i)(D)(I), (V), (VI) and (VII) above) or shall fix a record date for the determination of holders of any class of securities entitled to receive any such Options or Convertible Securities, then the maximum number of shares of Common Stock (as set forth in the instrument relating thereto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provided that in any such case in which Additional Shares of Common Stock are deemed to be issued:</w:t>
      </w:r>
    </w:p>
    <w:p>
      <w:pPr>
        <w:spacing w:after="0" w:line="72" w:lineRule="exact"/>
        <w:rPr>
          <w:rFonts w:ascii="Arial" w:cs="Arial" w:eastAsia="Arial" w:hAnsi="Arial"/>
          <w:sz w:val="16"/>
          <w:szCs w:val="16"/>
          <w:color w:val="auto"/>
        </w:rPr>
      </w:pPr>
    </w:p>
    <w:p>
      <w:pPr>
        <w:ind w:right="260" w:firstLine="1846"/>
        <w:spacing w:after="0" w:line="307" w:lineRule="auto"/>
        <w:tabs>
          <w:tab w:leader="none" w:pos="2118" w:val="left"/>
        </w:tabs>
        <w:numPr>
          <w:ilvl w:val="1"/>
          <w:numId w:val="235"/>
        </w:numPr>
        <w:rPr>
          <w:rFonts w:ascii="Arial" w:cs="Arial" w:eastAsia="Arial" w:hAnsi="Arial"/>
          <w:sz w:val="15"/>
          <w:szCs w:val="15"/>
          <w:color w:val="auto"/>
        </w:rPr>
      </w:pPr>
      <w:r>
        <w:rPr>
          <w:rFonts w:ascii="Arial" w:cs="Arial" w:eastAsia="Arial" w:hAnsi="Arial"/>
          <w:sz w:val="15"/>
          <w:szCs w:val="15"/>
          <w:color w:val="auto"/>
        </w:rPr>
        <w:t>No adjustment or further adjustment in the Series A-l Conversion Price, Series A-2 Conversion Price, Series A-3 Conversion Price, Series A-4 Conversion Price, Series B Conversion Price, or Series C Conversion Price shall be made upon the subsequent issue of Convertible Securities or shares of Common Stock upon the exercise of such Options or conversion or exchange of such Convertible Securities;</w:t>
      </w:r>
    </w:p>
    <w:p>
      <w:pPr>
        <w:spacing w:after="0" w:line="78" w:lineRule="exact"/>
        <w:rPr>
          <w:rFonts w:ascii="Arial" w:cs="Arial" w:eastAsia="Arial" w:hAnsi="Arial"/>
          <w:sz w:val="15"/>
          <w:szCs w:val="15"/>
          <w:color w:val="auto"/>
        </w:rPr>
      </w:pPr>
    </w:p>
    <w:p>
      <w:pPr>
        <w:ind w:left="5040" w:hanging="97"/>
        <w:spacing w:after="0"/>
        <w:tabs>
          <w:tab w:leader="none" w:pos="5040" w:val="left"/>
        </w:tabs>
        <w:numPr>
          <w:ilvl w:val="2"/>
          <w:numId w:val="235"/>
        </w:numPr>
        <w:rPr>
          <w:rFonts w:ascii="Arial" w:cs="Arial" w:eastAsia="Arial" w:hAnsi="Arial"/>
          <w:sz w:val="17"/>
          <w:szCs w:val="17"/>
          <w:color w:val="auto"/>
        </w:rPr>
      </w:pPr>
      <w:r>
        <w:rPr>
          <w:rFonts w:ascii="Arial" w:cs="Arial" w:eastAsia="Arial" w:hAnsi="Arial"/>
          <w:sz w:val="17"/>
          <w:szCs w:val="17"/>
          <w:color w:val="auto"/>
        </w:rPr>
        <w:t>18 -</w:t>
      </w:r>
    </w:p>
    <w:p>
      <w:pPr>
        <w:sectPr>
          <w:pgSz w:w="11900" w:h="16838" w:orient="portrait"/>
          <w:cols w:equalWidth="0" w:num="1">
            <w:col w:w="10220"/>
          </w:cols>
          <w:pgMar w:left="820" w:top="265" w:right="859" w:bottom="1440" w:gutter="0" w:footer="0" w:header="0"/>
        </w:sectPr>
      </w:pPr>
    </w:p>
    <w:bookmarkStart w:id="297" w:name="page298"/>
    <w:bookmarkEnd w:id="297"/>
    <w:p>
      <w:pPr>
        <w:ind w:right="40" w:firstLine="1846"/>
        <w:spacing w:after="0" w:line="269" w:lineRule="auto"/>
        <w:tabs>
          <w:tab w:leader="none" w:pos="2108" w:val="left"/>
        </w:tabs>
        <w:numPr>
          <w:ilvl w:val="0"/>
          <w:numId w:val="2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If such Options or Convertible Securities by their terms provide, with the passage of time or otherwise, for any increase or decrease in the consideration payable to the Corporation, upon the exercise, conversion or exchange thereof, the Series A-l Conversion Price, Series A-2 Conversion Price, Series A-3 Conversion Price, Series A-4 Conversion Price, Series B Conversion Price, or Series C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168" w:lineRule="exact"/>
        <w:rPr>
          <w:rFonts w:ascii="Arial" w:cs="Arial" w:eastAsia="Arial" w:hAnsi="Arial"/>
          <w:sz w:val="16"/>
          <w:szCs w:val="16"/>
          <w:color w:val="auto"/>
        </w:rPr>
      </w:pPr>
    </w:p>
    <w:p>
      <w:pPr>
        <w:ind w:right="20" w:firstLine="1846"/>
        <w:spacing w:after="0" w:line="250" w:lineRule="auto"/>
        <w:tabs>
          <w:tab w:leader="none" w:pos="210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Upon the expiration or termination of any unexercised Option, the affected Series A-l Conversion Price, Series A-2 Conversion Price, Series A-3 Conversion Price, Series A-4 Conversion Price, Series B Conversion Price, or Series C Conversion Price shall be readjusted to the Series A-l Conversion Price, Series A-2 Conversion Price, Series A-3 Conversion Price, Series A-4 Conversion Price, Series B Conversion Price, or Series C Conversion Price that would be in effect had such Option never been issued, and the Additional Shares of Common Stock deemed issued as the result of the original issue of such Option shall not be deemed issued for the purposes of any subsequent adjustment of the affected Series A-l Conversion Price, Series A-2 Conversion Price, Series A-3 Conversion Price, Series A-4 Conversion Price, Series B Conversion Price, or Series C Conversion Price;</w:t>
      </w:r>
    </w:p>
    <w:p>
      <w:pPr>
        <w:spacing w:after="0" w:line="181" w:lineRule="exact"/>
        <w:rPr>
          <w:rFonts w:ascii="Arial" w:cs="Arial" w:eastAsia="Arial" w:hAnsi="Arial"/>
          <w:sz w:val="17"/>
          <w:szCs w:val="17"/>
          <w:color w:val="auto"/>
        </w:rPr>
      </w:pPr>
    </w:p>
    <w:p>
      <w:pPr>
        <w:ind w:firstLine="1846"/>
        <w:spacing w:after="0" w:line="288" w:lineRule="auto"/>
        <w:tabs>
          <w:tab w:leader="none" w:pos="2118"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In the event of any change in the number of shares of Common Stock issuable upon the exercise, conversion or exchange of any such Option or Convertible Security, including, but not limited to, a change resulting from the anti-dilution provisions thereof (but excluding any change resulting from any events resulting in changes under Section 4(e) or 4(f) below), the Series A-l Conversion Price, Series A-2 Conversion Price, Series A-3 Conversion Price, Series A-4 Conversion Price, Series B Conversion Price, or Series C Conversion Price then in effect shall forthwith be readjusted to such Series A-l Conversion Price, Series A-2 Conversion Price, Series A-3 Conversion Price, Series A-4 Conversion Price, Series B Conversion Price, or Series C Conversion Price as would have obtained had the adjustment which was made upon the issuance of such Option or Convertible Security not exercised or converted prior to such change been made upon the basis of such change; and</w:t>
      </w:r>
    </w:p>
    <w:p>
      <w:pPr>
        <w:spacing w:after="0" w:line="157" w:lineRule="exact"/>
        <w:rPr>
          <w:rFonts w:ascii="Arial" w:cs="Arial" w:eastAsia="Arial" w:hAnsi="Arial"/>
          <w:sz w:val="15"/>
          <w:szCs w:val="15"/>
          <w:color w:val="auto"/>
        </w:rPr>
      </w:pPr>
    </w:p>
    <w:p>
      <w:pPr>
        <w:ind w:right="40" w:firstLine="1846"/>
        <w:spacing w:after="0" w:line="290" w:lineRule="auto"/>
        <w:tabs>
          <w:tab w:leader="none" w:pos="2099" w:val="left"/>
        </w:tabs>
        <w:numPr>
          <w:ilvl w:val="0"/>
          <w:numId w:val="236"/>
        </w:numPr>
        <w:rPr>
          <w:rFonts w:ascii="Arial" w:cs="Arial" w:eastAsia="Arial" w:hAnsi="Arial"/>
          <w:sz w:val="15"/>
          <w:szCs w:val="15"/>
          <w:color w:val="auto"/>
        </w:rPr>
      </w:pPr>
      <w:r>
        <w:rPr>
          <w:rFonts w:ascii="Arial" w:cs="Arial" w:eastAsia="Arial" w:hAnsi="Arial"/>
          <w:sz w:val="15"/>
          <w:szCs w:val="15"/>
          <w:color w:val="auto"/>
        </w:rPr>
        <w:t>No readjustment pursuant to clause (B), (C) or (D) above shall have the effect of increasing the Series A-l Conversion Price, Series A-2 Conversion Price, Series A-3 Conversion Price, Series A-4 Conversion Price, Series B Conversion Price, or Series C Conversion Price to an amount which exceeds the lower of (i) such Series A-l Conversion Price, Series A-2 Conversion Price, Series A-3 Conversion Price, Series A-4 Conversion Price, Series B Conversion Price, or Series C Conversion Price on the original adjustment date, or (ii) the Series A-l Conversion Price, Series A-2 Conversion Price, Series A-3 Conversion Price, Series A-4 Conversion Price, Series B Conversion Price, or Series C Conversion Price that would have resulted from any issuances of Additional Shares of Common Stock between the original adjustment date and such readjustment date.</w:t>
      </w:r>
    </w:p>
    <w:p>
      <w:pPr>
        <w:spacing w:after="0" w:line="155" w:lineRule="exact"/>
        <w:rPr>
          <w:sz w:val="20"/>
          <w:szCs w:val="20"/>
          <w:color w:val="auto"/>
        </w:rPr>
      </w:pPr>
    </w:p>
    <w:p>
      <w:pPr>
        <w:ind w:right="20" w:firstLine="409"/>
        <w:spacing w:after="0" w:line="253" w:lineRule="auto"/>
        <w:rPr>
          <w:sz w:val="20"/>
          <w:szCs w:val="20"/>
          <w:color w:val="auto"/>
        </w:rPr>
      </w:pPr>
      <w:r>
        <w:rPr>
          <w:rFonts w:ascii="Arial" w:cs="Arial" w:eastAsia="Arial" w:hAnsi="Arial"/>
          <w:sz w:val="17"/>
          <w:szCs w:val="17"/>
          <w:color w:val="auto"/>
        </w:rPr>
        <w:t>In the event the Corporation, after the Series C Original Issue Date, amends the terms of any such Options or Convertible Securities (whether such Options or Convertible Securities were outstanding as of the Series C Original Issue Date or were issued after the Series C Original Issue Date), then such Options or Convertible Securities, as so amended, shall be deemed to have been issued after the Series C Original Issue Date and the provisions of this Subsection 4(d)(iii) shall apply.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240"/>
          </w:cols>
          <w:pgMar w:left="820" w:top="265" w:right="839" w:bottom="1440" w:gutter="0" w:footer="0" w:header="0"/>
        </w:sectPr>
      </w:pPr>
    </w:p>
    <w:bookmarkStart w:id="298" w:name="page299"/>
    <w:bookmarkEnd w:id="298"/>
    <w:p>
      <w:pPr>
        <w:ind w:firstLine="1334"/>
        <w:spacing w:after="0" w:line="282" w:lineRule="auto"/>
        <w:tabs>
          <w:tab w:leader="none" w:pos="1615" w:val="left"/>
        </w:tabs>
        <w:numPr>
          <w:ilvl w:val="0"/>
          <w:numId w:val="23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Adjustment of Conversion Price Upon Issuance of Additional Shares of Common Stock</w:t>
      </w:r>
      <w:r>
        <w:rPr>
          <w:rFonts w:ascii="Arial" w:cs="Arial" w:eastAsia="Arial" w:hAnsi="Arial"/>
          <w:sz w:val="15"/>
          <w:szCs w:val="15"/>
          <w:color w:val="auto"/>
        </w:rPr>
        <w:t>. In the event the Corporation shall at any time after the Series C Original Issue Date issue Additional Shares of Common Stock (including Additional Shares of Common Stock deemed to be issued pursuant to Subsection 4(d)(iii), but excluding shares issued as a stock split or combination as provided in Subsection 4(e) or upon a dividend or distribution as provided in Subsection 4(f)), without consideration or for a consideration per share less than the Series A-l Conversion Price, Series A-2 Conversion Price, Series A-3 Conversion Price, Series A-4 Conversion Price, Series B Conversion Price, or Series C Conversion Price in effect immediately prior to such issue, then and in such event, such Series A-l Conversion Price, Series A-2 Conversion Price, Series A-3 Conversion Price, Series A-4 Conversion Price, Series B Conversion Price, or Series C Conversion Price shall be reduced, concurrently with such issue, to a price (calculated to the nearest cent) determined by multiplying the Series A-l Conversion Price, Series A-2 Conversion Price, Series A-3 Conversion Price, Series A-4 Conversion Price, Series B Conversion Price, or Series C Conversion Price in effect immediately prior to such issue of Additional Shares of Common Stock by a fraction, (A) the numerator of which shall be (1) the number of shares of Common Stock outstanding immediately prior to such issue (calculated assuming conversion of all issued and outstanding shares of Preferred Stock as well as all other issued and outstanding Convertible Securities, and the exercise, exchange or conversion of all then outstanding Options) plus (2) the number of shares of Common Stock which the aggregate consideration received or to be received by the Corporation for the total number of Additional Shares of Common Stock so issued would purchase at the Series A-l Conversion Price, Series A-2 Conversion Price, Series A-3 Conversion Price, Series A-4 Conversion Price, Series B Conversion Price, or Series C Conversion Price in effect immediately prior to such issue of Additional Shares of Common Stock; and (B) the denominator of which shall be the number of shares of Common Stock outstanding immediately prior to such issue (calculated assuming conversion of all issued and outstanding shares of Preferred Stock as well as all other issued and outstanding Convertible Securities, and the exercise, exchange or conversion of all then outstanding Options) plus the number of such Additional Shares of Common Stock so issued; provided that, the number of shares of Common Stock deemed issuable upon exercise or conversion of such outstanding Options and Convertible Securities shall not give effect to any adjustments to the conversion price or conversion rate of such Options or Convertible Securities resulting from the issuance of Additional Shares of Common Stock that is the subject of this calculation.</w:t>
      </w:r>
    </w:p>
    <w:p>
      <w:pPr>
        <w:spacing w:after="0" w:line="162" w:lineRule="exact"/>
        <w:rPr>
          <w:rFonts w:ascii="Arial" w:cs="Arial" w:eastAsia="Arial" w:hAnsi="Arial"/>
          <w:sz w:val="15"/>
          <w:szCs w:val="15"/>
          <w:color w:val="auto"/>
        </w:rPr>
      </w:pPr>
    </w:p>
    <w:p>
      <w:pPr>
        <w:ind w:left="1580" w:hanging="246"/>
        <w:spacing w:after="0"/>
        <w:tabs>
          <w:tab w:leader="none" w:pos="15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[Reserved.]</w:t>
      </w:r>
    </w:p>
    <w:p>
      <w:pPr>
        <w:spacing w:after="0" w:line="206" w:lineRule="exact"/>
        <w:rPr>
          <w:rFonts w:ascii="Arial" w:cs="Arial" w:eastAsia="Arial" w:hAnsi="Arial"/>
          <w:sz w:val="17"/>
          <w:szCs w:val="17"/>
          <w:color w:val="auto"/>
        </w:rPr>
      </w:pPr>
    </w:p>
    <w:p>
      <w:pPr>
        <w:ind w:right="320" w:firstLine="1334"/>
        <w:spacing w:after="0" w:line="268" w:lineRule="auto"/>
        <w:tabs>
          <w:tab w:leader="none" w:pos="1615"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Determination of Consideration</w:t>
      </w:r>
      <w:r>
        <w:rPr>
          <w:rFonts w:ascii="Arial" w:cs="Arial" w:eastAsia="Arial" w:hAnsi="Arial"/>
          <w:sz w:val="17"/>
          <w:szCs w:val="17"/>
          <w:color w:val="auto"/>
        </w:rPr>
        <w:t>. For purposes of this Subsection 4(d), the consideration received by the Corporation for the issue of any Additional Shares of Common Stock shall be computed as follows:</w:t>
      </w:r>
    </w:p>
    <w:p>
      <w:pPr>
        <w:spacing w:after="0" w:line="65" w:lineRule="exact"/>
        <w:rPr>
          <w:rFonts w:ascii="Arial" w:cs="Arial" w:eastAsia="Arial" w:hAnsi="Arial"/>
          <w:sz w:val="17"/>
          <w:szCs w:val="17"/>
          <w:color w:val="auto"/>
        </w:rPr>
      </w:pPr>
    </w:p>
    <w:p>
      <w:pPr>
        <w:ind w:left="2120" w:hanging="274"/>
        <w:spacing w:after="0"/>
        <w:tabs>
          <w:tab w:leader="none" w:pos="2120"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Cash and Property</w:t>
      </w:r>
      <w:r>
        <w:rPr>
          <w:rFonts w:ascii="Arial" w:cs="Arial" w:eastAsia="Arial" w:hAnsi="Arial"/>
          <w:sz w:val="17"/>
          <w:szCs w:val="17"/>
          <w:color w:val="auto"/>
        </w:rPr>
        <w:t>: Such consideration shall:</w:t>
      </w:r>
    </w:p>
    <w:p>
      <w:pPr>
        <w:spacing w:after="0" w:line="105" w:lineRule="exact"/>
        <w:rPr>
          <w:rFonts w:ascii="Arial" w:cs="Arial" w:eastAsia="Arial" w:hAnsi="Arial"/>
          <w:sz w:val="17"/>
          <w:szCs w:val="17"/>
          <w:color w:val="auto"/>
        </w:rPr>
      </w:pPr>
    </w:p>
    <w:p>
      <w:pPr>
        <w:ind w:left="2460" w:hanging="204"/>
        <w:spacing w:after="0"/>
        <w:tabs>
          <w:tab w:leader="none" w:pos="2460" w:val="left"/>
        </w:tabs>
        <w:numPr>
          <w:ilvl w:val="2"/>
          <w:numId w:val="237"/>
        </w:numPr>
        <w:rPr>
          <w:rFonts w:ascii="Arial" w:cs="Arial" w:eastAsia="Arial" w:hAnsi="Arial"/>
          <w:sz w:val="15"/>
          <w:szCs w:val="15"/>
          <w:color w:val="auto"/>
        </w:rPr>
      </w:pPr>
      <w:r>
        <w:rPr>
          <w:rFonts w:ascii="Arial" w:cs="Arial" w:eastAsia="Arial" w:hAnsi="Arial"/>
          <w:sz w:val="15"/>
          <w:szCs w:val="15"/>
          <w:color w:val="auto"/>
        </w:rPr>
        <w:t>insofar as it consists of cash, be computed at the aggregate of cash received by the Corporation, excluding amounts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paid or payable for accrued interest;</w:t>
      </w:r>
    </w:p>
    <w:p>
      <w:pPr>
        <w:spacing w:after="0" w:line="131" w:lineRule="exact"/>
        <w:rPr>
          <w:rFonts w:ascii="Arial" w:cs="Arial" w:eastAsia="Arial" w:hAnsi="Arial"/>
          <w:sz w:val="15"/>
          <w:szCs w:val="15"/>
          <w:color w:val="auto"/>
        </w:rPr>
      </w:pPr>
    </w:p>
    <w:p>
      <w:pPr>
        <w:ind w:left="5040" w:hanging="97"/>
        <w:spacing w:after="0"/>
        <w:tabs>
          <w:tab w:leader="none" w:pos="5040" w:val="left"/>
        </w:tabs>
        <w:numPr>
          <w:ilvl w:val="3"/>
          <w:numId w:val="237"/>
        </w:numPr>
        <w:rPr>
          <w:rFonts w:ascii="Arial" w:cs="Arial" w:eastAsia="Arial" w:hAnsi="Arial"/>
          <w:sz w:val="17"/>
          <w:szCs w:val="17"/>
          <w:color w:val="auto"/>
        </w:rPr>
      </w:pPr>
      <w:r>
        <w:rPr>
          <w:rFonts w:ascii="Arial" w:cs="Arial" w:eastAsia="Arial" w:hAnsi="Arial"/>
          <w:sz w:val="17"/>
          <w:szCs w:val="17"/>
          <w:color w:val="auto"/>
        </w:rPr>
        <w:t>20 -</w:t>
      </w:r>
    </w:p>
    <w:p>
      <w:pPr>
        <w:sectPr>
          <w:pgSz w:w="11900" w:h="16838" w:orient="portrait"/>
          <w:cols w:equalWidth="0" w:num="1">
            <w:col w:w="10200"/>
          </w:cols>
          <w:pgMar w:left="820" w:top="265" w:right="879" w:bottom="1440" w:gutter="0" w:footer="0" w:header="0"/>
        </w:sectPr>
      </w:pPr>
    </w:p>
    <w:bookmarkStart w:id="299" w:name="page300"/>
    <w:bookmarkEnd w:id="299"/>
    <w:p>
      <w:pPr>
        <w:ind w:left="-620" w:right="200" w:firstLine="2256"/>
        <w:spacing w:after="0" w:line="268" w:lineRule="auto"/>
        <w:tabs>
          <w:tab w:leader="none" w:pos="1898" w:val="left"/>
        </w:tabs>
        <w:numPr>
          <w:ilvl w:val="0"/>
          <w:numId w:val="2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and</w:t>
      </w:r>
    </w:p>
    <w:p>
      <w:pPr>
        <w:spacing w:after="0" w:line="166" w:lineRule="exact"/>
        <w:rPr>
          <w:sz w:val="20"/>
          <w:szCs w:val="20"/>
          <w:color w:val="auto"/>
        </w:rPr>
      </w:pPr>
    </w:p>
    <w:p>
      <w:pPr>
        <w:jc w:val="both"/>
        <w:ind w:left="-620" w:right="40" w:firstLine="2256"/>
        <w:spacing w:after="0" w:line="257" w:lineRule="auto"/>
        <w:tabs>
          <w:tab w:leader="none" w:pos="1954" w:val="left"/>
        </w:tabs>
        <w:numPr>
          <w:ilvl w:val="1"/>
          <w:numId w:val="239"/>
        </w:numPr>
        <w:rPr>
          <w:rFonts w:ascii="Arial" w:cs="Arial" w:eastAsia="Arial" w:hAnsi="Arial"/>
          <w:sz w:val="17"/>
          <w:szCs w:val="17"/>
          <w:color w:val="auto"/>
        </w:rPr>
      </w:pPr>
      <w:r>
        <w:rPr>
          <w:rFonts w:ascii="Arial" w:cs="Arial" w:eastAsia="Arial" w:hAnsi="Arial"/>
          <w:sz w:val="17"/>
          <w:szCs w:val="17"/>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175" w:lineRule="exact"/>
        <w:rPr>
          <w:rFonts w:ascii="Arial" w:cs="Arial" w:eastAsia="Arial" w:hAnsi="Arial"/>
          <w:sz w:val="17"/>
          <w:szCs w:val="17"/>
          <w:color w:val="auto"/>
        </w:rPr>
      </w:pPr>
    </w:p>
    <w:p>
      <w:pPr>
        <w:ind w:left="-620" w:right="260" w:firstLine="1846"/>
        <w:spacing w:after="0" w:line="257" w:lineRule="auto"/>
        <w:tabs>
          <w:tab w:leader="none" w:pos="1488"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Options and Convertible Securities</w:t>
      </w:r>
      <w:r>
        <w:rPr>
          <w:rFonts w:ascii="Arial" w:cs="Arial" w:eastAsia="Arial" w:hAnsi="Arial"/>
          <w:sz w:val="17"/>
          <w:szCs w:val="17"/>
          <w:color w:val="auto"/>
        </w:rPr>
        <w:t>. The consideration per share received by the Corporation for Additional Shares of Common Stock deemed to have been issued pursuant to Subsection 4(d)(iii), relating to Options and Convertible Securities, shall be determined by dividing:</w:t>
      </w:r>
    </w:p>
    <w:p>
      <w:pPr>
        <w:spacing w:after="0" w:line="74" w:lineRule="exact"/>
        <w:rPr>
          <w:rFonts w:ascii="Arial" w:cs="Arial" w:eastAsia="Arial" w:hAnsi="Arial"/>
          <w:sz w:val="17"/>
          <w:szCs w:val="17"/>
          <w:color w:val="auto"/>
        </w:rPr>
      </w:pPr>
    </w:p>
    <w:p>
      <w:pPr>
        <w:ind w:left="-620" w:firstLine="2256"/>
        <w:spacing w:after="0" w:line="271" w:lineRule="auto"/>
        <w:tabs>
          <w:tab w:leader="none" w:pos="184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66" w:lineRule="exact"/>
        <w:rPr>
          <w:sz w:val="20"/>
          <w:szCs w:val="20"/>
          <w:color w:val="auto"/>
        </w:rPr>
      </w:pPr>
    </w:p>
    <w:p>
      <w:pPr>
        <w:ind w:left="-620" w:right="140" w:firstLine="2256"/>
        <w:spacing w:after="0" w:line="257" w:lineRule="auto"/>
        <w:tabs>
          <w:tab w:leader="none" w:pos="1898" w:val="left"/>
        </w:tabs>
        <w:numPr>
          <w:ilvl w:val="2"/>
          <w:numId w:val="241"/>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75" w:lineRule="exact"/>
        <w:rPr>
          <w:rFonts w:ascii="Arial" w:cs="Arial" w:eastAsia="Arial" w:hAnsi="Arial"/>
          <w:sz w:val="17"/>
          <w:szCs w:val="17"/>
          <w:color w:val="auto"/>
        </w:rPr>
      </w:pPr>
    </w:p>
    <w:p>
      <w:pPr>
        <w:ind w:left="-620" w:right="40" w:firstLine="1334"/>
        <w:spacing w:after="0" w:line="293" w:lineRule="auto"/>
        <w:tabs>
          <w:tab w:leader="none" w:pos="1041" w:val="left"/>
        </w:tabs>
        <w:numPr>
          <w:ilvl w:val="1"/>
          <w:numId w:val="242"/>
        </w:numPr>
        <w:rPr>
          <w:rFonts w:ascii="Arial" w:cs="Arial" w:eastAsia="Arial" w:hAnsi="Arial"/>
          <w:sz w:val="15"/>
          <w:szCs w:val="15"/>
          <w:color w:val="auto"/>
        </w:rPr>
      </w:pPr>
      <w:r>
        <w:rPr>
          <w:rFonts w:ascii="Arial" w:cs="Arial" w:eastAsia="Arial" w:hAnsi="Arial"/>
          <w:sz w:val="15"/>
          <w:szCs w:val="15"/>
          <w:u w:val="single" w:color="auto"/>
          <w:color w:val="auto"/>
        </w:rPr>
        <w:t>Multiple Closing Dates</w:t>
      </w:r>
      <w:r>
        <w:rPr>
          <w:rFonts w:ascii="Arial" w:cs="Arial" w:eastAsia="Arial" w:hAnsi="Arial"/>
          <w:sz w:val="15"/>
          <w:szCs w:val="15"/>
          <w:color w:val="auto"/>
        </w:rPr>
        <w:t>. In the event the Corporation shall issue on more than one date Additional Shares of Common Stock which are comprised of shares of the same series or class of Preferred Stock, and such issuance dates occur within a period of no more than one hundred eighty (180) days, then, upon the final such issuance, the Series A-l Conversion Price, Series A-2 Conversion Price, Series A-3 Conversion Price, Series A-4 Conversion Price, Series B Conversion Price, or Series C Conversion Price shall be adjusted to give effect to all such issuances as if they occurred on the date of the final such issuance (and without giving effect to any adjustments as a result of such prior issuances within such period).</w:t>
      </w:r>
    </w:p>
    <w:p>
      <w:pPr>
        <w:spacing w:after="0" w:line="152" w:lineRule="exact"/>
        <w:rPr>
          <w:rFonts w:ascii="Arial" w:cs="Arial" w:eastAsia="Arial" w:hAnsi="Arial"/>
          <w:sz w:val="15"/>
          <w:szCs w:val="15"/>
          <w:color w:val="auto"/>
        </w:rPr>
      </w:pPr>
    </w:p>
    <w:p>
      <w:pPr>
        <w:ind w:left="-620" w:right="180" w:firstLine="924"/>
        <w:spacing w:after="0" w:line="293" w:lineRule="auto"/>
        <w:tabs>
          <w:tab w:leader="none" w:pos="529"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Adjustment for Stock Splits and Combinations</w:t>
      </w:r>
      <w:r>
        <w:rPr>
          <w:rFonts w:ascii="Arial" w:cs="Arial" w:eastAsia="Arial" w:hAnsi="Arial"/>
          <w:sz w:val="15"/>
          <w:szCs w:val="15"/>
          <w:color w:val="auto"/>
        </w:rPr>
        <w:t>. If the Corporation shall at any time or from time to time after the Series C Original Issue Date effect a subdivision of the outstanding Common Stock without a comparable subdivision of the Series A-l Preferred Stock, Series A-2 Preferred Stock, Series A-3 Preferred Stock, Series A-4 Preferred Stock, Series B Preferred Stock, or Series C Preferred Stock, the Series A-l Conversion Price, Series A-2 Conversion Price, Series A-3 Conversion Price, Series A-4 Conversion Price, Series B Conversion Price, or Series C Conversion Price then in effect immediately before that subdivision shall be proportionately decreased so that the number of shares of Common Stock</w:t>
      </w:r>
    </w:p>
    <w:p>
      <w:pPr>
        <w:spacing w:after="0" w:line="89" w:lineRule="exact"/>
        <w:rPr>
          <w:rFonts w:ascii="Arial" w:cs="Arial" w:eastAsia="Arial" w:hAnsi="Arial"/>
          <w:sz w:val="15"/>
          <w:szCs w:val="15"/>
          <w:color w:val="auto"/>
        </w:rPr>
      </w:pPr>
    </w:p>
    <w:p>
      <w:pPr>
        <w:ind w:left="4420" w:hanging="97"/>
        <w:spacing w:after="0"/>
        <w:tabs>
          <w:tab w:leader="none" w:pos="4420" w:val="left"/>
        </w:tabs>
        <w:numPr>
          <w:ilvl w:val="3"/>
          <w:numId w:val="243"/>
        </w:numPr>
        <w:rPr>
          <w:rFonts w:ascii="Arial" w:cs="Arial" w:eastAsia="Arial" w:hAnsi="Arial"/>
          <w:sz w:val="17"/>
          <w:szCs w:val="17"/>
          <w:color w:val="auto"/>
        </w:rPr>
      </w:pPr>
      <w:r>
        <w:rPr>
          <w:rFonts w:ascii="Arial" w:cs="Arial" w:eastAsia="Arial" w:hAnsi="Arial"/>
          <w:sz w:val="17"/>
          <w:szCs w:val="17"/>
          <w:color w:val="auto"/>
        </w:rPr>
        <w:t>21 -</w:t>
      </w:r>
    </w:p>
    <w:p>
      <w:pPr>
        <w:sectPr>
          <w:pgSz w:w="11900" w:h="16838" w:orient="portrait"/>
          <w:cols w:equalWidth="0" w:num="1">
            <w:col w:w="9620"/>
          </w:cols>
          <w:pgMar w:left="1440" w:top="265" w:right="839" w:bottom="1440" w:gutter="0" w:footer="0" w:header="0"/>
        </w:sectPr>
      </w:pPr>
    </w:p>
    <w:bookmarkStart w:id="300" w:name="page301"/>
    <w:bookmarkEnd w:id="300"/>
    <w:p>
      <w:pPr>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issuable on conversion of each share of Series A-l Preferred Stock, Series A-2 Preferred Stock, Series A-3 Preferred Stock, Series A-4 Preferred Stock, Series B Preferred Stock, or Series C Preferred Stock shall be increased in proportion to such increase in the aggregate number of shares of Common Stock outstanding. If the Corporation shall at any time or from time to time after the Series C Original Issue Date combine the outstanding shares of Common Stock without a comparable combination of the Series A-l Preferred Stock, Series A-2 Preferred Stock, Series A-3 Preferred Stock, Series A-4 Preferred Stock, Series B Preferred Stock, or Series C Preferred Stock, the Series A-l Conversion Price, Series A-2 Conversion Price, Series A-3 Conversion Price, Series A-4 Conversion Price, Series B Conversion Price, or Series C Conversion Price then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paragraph shall become effective at the close of business on the date the subdivision or combination becomes effective.</w:t>
      </w:r>
    </w:p>
    <w:p>
      <w:pPr>
        <w:spacing w:after="0" w:line="159" w:lineRule="exact"/>
        <w:rPr>
          <w:sz w:val="20"/>
          <w:szCs w:val="20"/>
          <w:color w:val="auto"/>
        </w:rPr>
      </w:pPr>
    </w:p>
    <w:p>
      <w:pPr>
        <w:ind w:right="40" w:firstLine="924"/>
        <w:spacing w:after="0" w:line="268" w:lineRule="auto"/>
        <w:tabs>
          <w:tab w:leader="none" w:pos="113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Series C Original Issue Date shall make or issue, or fix a record date for the determination of holders of Common Stock entitled to receive, a dividend or other distribution payable in additional shares of Common Stock, then and in each such event the Series A-l Conversion Price, Series A-2 Conversion Price, Series A-3 Conversion Price, Series A-4 Conversion Price, Series B Conversion Price, or Series C Conversion Price then in effect immediately before such event shall be decreased as of the time of such issuance or, in the event such a record date shall have been fixed, as of the close of business on such record date, by multiplying the Series A-l Conversion Price, Series A-2 Conversion Price, Series A-3 Conversion Price, Series A-4 Conversion Price, Series B Conversion Price, or Series C Conversion Price then in effect by a fraction:</w:t>
      </w:r>
    </w:p>
    <w:p>
      <w:pPr>
        <w:spacing w:after="0" w:line="68" w:lineRule="exact"/>
        <w:rPr>
          <w:rFonts w:ascii="Arial" w:cs="Arial" w:eastAsia="Arial" w:hAnsi="Arial"/>
          <w:sz w:val="16"/>
          <w:szCs w:val="16"/>
          <w:color w:val="auto"/>
        </w:rPr>
      </w:pPr>
    </w:p>
    <w:p>
      <w:pPr>
        <w:ind w:right="160" w:firstLine="1334"/>
        <w:spacing w:after="0" w:line="268" w:lineRule="auto"/>
        <w:tabs>
          <w:tab w:leader="none" w:pos="1531"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the numerator of which shall be the total number of shares of Common Stock actually issued and outstanding immediately prior to the time of such issuance or the close of business on such record date, and</w:t>
      </w:r>
    </w:p>
    <w:p>
      <w:pPr>
        <w:spacing w:after="0" w:line="165" w:lineRule="exact"/>
        <w:rPr>
          <w:rFonts w:ascii="Arial" w:cs="Arial" w:eastAsia="Arial" w:hAnsi="Arial"/>
          <w:sz w:val="17"/>
          <w:szCs w:val="17"/>
          <w:color w:val="auto"/>
        </w:rPr>
      </w:pPr>
    </w:p>
    <w:p>
      <w:pPr>
        <w:ind w:firstLine="1334"/>
        <w:spacing w:after="0" w:line="285" w:lineRule="auto"/>
        <w:tabs>
          <w:tab w:leader="none" w:pos="1578" w:val="left"/>
        </w:tabs>
        <w:numPr>
          <w:ilvl w:val="1"/>
          <w:numId w:val="244"/>
        </w:numPr>
        <w:rPr>
          <w:rFonts w:ascii="Arial" w:cs="Arial" w:eastAsia="Arial" w:hAnsi="Arial"/>
          <w:sz w:val="15"/>
          <w:szCs w:val="15"/>
          <w:color w:val="auto"/>
        </w:rPr>
      </w:pPr>
      <w:r>
        <w:rPr>
          <w:rFonts w:ascii="Arial" w:cs="Arial" w:eastAsia="Arial" w:hAnsi="Arial"/>
          <w:sz w:val="15"/>
          <w:szCs w:val="15"/>
          <w:color w:val="auto"/>
        </w:rPr>
        <w:t xml:space="preserve">the denominator of which shall be the total number of shares of Common Stock actually issued and outstanding immediately prior to the time of such issuance or the close of business on such record date, plus the number of shares of Common Stock issuable in payment of such dividend or distribution to the holders of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such record date shall have been fixed and such dividend is not fully paid or if such distribution is not fully made on the date fixed therefor, the Series A-l Conversion Price, Series A-2 Conversion Price, Series A-3 Conversion Price, Series A-4 Conversion Price, Series B Conversion Price, or Series C Conversion Price shall be recomputed accordingly as of the close of business on such record date and thereafter the Series A-l Conversion Price, Series A-2 Conversion Price, Series A-3 Conversion Price, Series A-4 Conversion Price, Series B Conversion Price, or Series C Conversion Price shall be adjusted pursuant to this paragraph as of the time of actual payment of such dividends or distributions;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adjustment shall be made with respect to the Series A-l Conversion Price, Series A-2 Conversion Price, Series A-3 Conversion Price, Series A-4 Conversion Price, Series B Conversion Price, or Series C Conversion Price if the holders of Series A-l Preferred Stock, Series A-2 Preferred Stock, Series A-3 Preferred Stock, Series A-4 Preferred Stock, Series B</w:t>
      </w:r>
    </w:p>
    <w:p>
      <w:pPr>
        <w:spacing w:after="0" w:line="98" w:lineRule="exact"/>
        <w:rPr>
          <w:rFonts w:ascii="Arial" w:cs="Arial" w:eastAsia="Arial" w:hAnsi="Arial"/>
          <w:sz w:val="15"/>
          <w:szCs w:val="15"/>
          <w:color w:val="auto"/>
        </w:rPr>
      </w:pPr>
    </w:p>
    <w:p>
      <w:pPr>
        <w:ind w:left="5040" w:hanging="97"/>
        <w:spacing w:after="0"/>
        <w:tabs>
          <w:tab w:leader="none" w:pos="5040" w:val="left"/>
        </w:tabs>
        <w:numPr>
          <w:ilvl w:val="2"/>
          <w:numId w:val="244"/>
        </w:numPr>
        <w:rPr>
          <w:rFonts w:ascii="Arial" w:cs="Arial" w:eastAsia="Arial" w:hAnsi="Arial"/>
          <w:sz w:val="17"/>
          <w:szCs w:val="17"/>
          <w:color w:val="auto"/>
        </w:rPr>
      </w:pPr>
      <w:r>
        <w:rPr>
          <w:rFonts w:ascii="Arial" w:cs="Arial" w:eastAsia="Arial" w:hAnsi="Arial"/>
          <w:sz w:val="17"/>
          <w:szCs w:val="17"/>
          <w:color w:val="auto"/>
        </w:rPr>
        <w:t>22 -</w:t>
      </w:r>
    </w:p>
    <w:p>
      <w:pPr>
        <w:sectPr>
          <w:pgSz w:w="11900" w:h="16838" w:orient="portrait"/>
          <w:cols w:equalWidth="0" w:num="1">
            <w:col w:w="10240"/>
          </w:cols>
          <w:pgMar w:left="820" w:top="265" w:right="839" w:bottom="1440" w:gutter="0" w:footer="0" w:header="0"/>
        </w:sectPr>
      </w:pPr>
    </w:p>
    <w:bookmarkStart w:id="301" w:name="page302"/>
    <w:bookmarkEnd w:id="301"/>
    <w:p>
      <w:pPr>
        <w:ind w:right="4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Preferred Stock, or Series C Preferred Stock, as the case may be, simultaneously receive (i) a dividend or other distribution of shares of Common Stock in a number equal to the number of shares of Common Stock as they would have received if all outstanding shares of Series A-l Preferred Stock, Series A-2 Preferred Stock, Series A-3 Preferred Stock, Series A-4 Preferred Stock, Series B Preferred Stock, or Series C Preferred Stock had been converted into Common Stock on the date of such event or (ii) a dividend or other distribution of shares of Series A-l Preferred Stock, Series A-2 Preferred Stock, Series A-3 Preferred Stock, Series A-4 Preferred Stock, Series B Preferred Stock, or Series C Preferred Stock which are convertible, as of the date of such event, into such number of shares of Common Stock as is equal to the number of additional shares of Common Stock being issued with respect to each share of Common Stock in such dividend or distribution.</w:t>
      </w:r>
    </w:p>
    <w:p>
      <w:pPr>
        <w:spacing w:after="0" w:line="169" w:lineRule="exact"/>
        <w:rPr>
          <w:sz w:val="20"/>
          <w:szCs w:val="20"/>
          <w:color w:val="auto"/>
        </w:rPr>
      </w:pPr>
    </w:p>
    <w:p>
      <w:pPr>
        <w:ind w:firstLine="924"/>
        <w:spacing w:after="0" w:line="250" w:lineRule="auto"/>
        <w:tabs>
          <w:tab w:leader="none" w:pos="1158"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shares of Common Stock, then and in each such event each holder of Preferred Stock shall receive, simultaneously with the distribution to the holders of Common Stock, a dividend or other distribution of such securities in an amount equal to the amount of such securities as such holder would have received if all shares of Preferred Stock owned by such holder had been converted into Common Stock on the date of such event.</w:t>
      </w:r>
    </w:p>
    <w:p>
      <w:pPr>
        <w:spacing w:after="0" w:line="184" w:lineRule="exact"/>
        <w:rPr>
          <w:rFonts w:ascii="Arial" w:cs="Arial" w:eastAsia="Arial" w:hAnsi="Arial"/>
          <w:sz w:val="17"/>
          <w:szCs w:val="17"/>
          <w:color w:val="auto"/>
        </w:rPr>
      </w:pPr>
    </w:p>
    <w:p>
      <w:pPr>
        <w:ind w:right="40" w:firstLine="924"/>
        <w:spacing w:after="0" w:line="288" w:lineRule="auto"/>
        <w:tabs>
          <w:tab w:leader="none" w:pos="1158"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Adjustment for Reclassification, Exchange, or Substitution</w:t>
      </w:r>
      <w:r>
        <w:rPr>
          <w:rFonts w:ascii="Arial" w:cs="Arial" w:eastAsia="Arial" w:hAnsi="Arial"/>
          <w:sz w:val="15"/>
          <w:szCs w:val="15"/>
          <w:color w:val="auto"/>
        </w:rPr>
        <w:t>. If the Common Stock issuable upon the conversion of the Preferred Stock shall be changed into the same or a different number of shares of any class or classes of stock, whether by capital reorganization, reclassification, or otherwise (other than a subdivision or combination of shares or stock dividend provided for above, or a reorganization, merger, consolidation, or sale of assets provided for below), then and in each such event the holder of each such share of Preferred Stock shall have the right thereafter to convert such share into the kind and amount of shares of stock and other securities and property receivable, upon such reorganization, reclassification, or other change, by holders of the number of shares of Common Stock into which such shares of Preferred Stock might have been converted immediately prior to such reorganization, reclassification, or change, all subject to further adjustment as provided herein.</w:t>
      </w:r>
    </w:p>
    <w:p>
      <w:pPr>
        <w:spacing w:after="0" w:line="157" w:lineRule="exact"/>
        <w:rPr>
          <w:rFonts w:ascii="Arial" w:cs="Arial" w:eastAsia="Arial" w:hAnsi="Arial"/>
          <w:sz w:val="15"/>
          <w:szCs w:val="15"/>
          <w:color w:val="auto"/>
        </w:rPr>
      </w:pPr>
    </w:p>
    <w:p>
      <w:pPr>
        <w:ind w:right="40" w:firstLine="924"/>
        <w:spacing w:after="0" w:line="266" w:lineRule="auto"/>
        <w:tabs>
          <w:tab w:leader="none" w:pos="1121"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In case of any consolidation or merger of the Corporation with or into another corporation or the sale of all or substantially all of the assets of the Corporation to another corporation (other than a consolidation, merger or sale which is covered by Subsection 2(c)), each share of Preferred Stock shall thereafter be convertible (or shall be converted into a security which shall be convertible) into the kind and amount of shares of stock or other securities or property to which a holder of the number of shares of Common Stock of the Corporation deliverable upon conversion of such Preferred Stock would have been entitled upon such consolidation, merger or sale; and, in such case, appropriate adjustment (as determined in good faith by the Board of Directors) shall be made in the application of the provisions in this Section 4 set forth with respect to the rights and interest thereafter of the holders of Preferred Stock to the end that the provisions set forth in this Section 4 (including provisions with respect to changes in and other adjustments of the Series A- 1 Conversion Price, Series A-2 Conversion Price, Series A-3 Conversion Price, Series A-4</w:t>
      </w:r>
    </w:p>
    <w:p>
      <w:pPr>
        <w:spacing w:after="0" w:line="110" w:lineRule="exact"/>
        <w:rPr>
          <w:rFonts w:ascii="Arial" w:cs="Arial" w:eastAsia="Arial" w:hAnsi="Arial"/>
          <w:sz w:val="16"/>
          <w:szCs w:val="16"/>
          <w:color w:val="auto"/>
        </w:rPr>
      </w:pPr>
    </w:p>
    <w:p>
      <w:pPr>
        <w:ind w:left="5040" w:hanging="97"/>
        <w:spacing w:after="0"/>
        <w:tabs>
          <w:tab w:leader="none" w:pos="504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23 -</w:t>
      </w:r>
    </w:p>
    <w:p>
      <w:pPr>
        <w:sectPr>
          <w:pgSz w:w="11900" w:h="16838" w:orient="portrait"/>
          <w:cols w:equalWidth="0" w:num="1">
            <w:col w:w="10200"/>
          </w:cols>
          <w:pgMar w:left="820" w:top="265" w:right="879" w:bottom="1440" w:gutter="0" w:footer="0" w:header="0"/>
        </w:sectPr>
      </w:pPr>
    </w:p>
    <w:bookmarkStart w:id="302" w:name="page303"/>
    <w:bookmarkEnd w:id="302"/>
    <w:p>
      <w:pPr>
        <w:jc w:val="both"/>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Conversion Price, Series B Conversion Price, or Series C Conversion Price) shall thereafter be applicable, as nearly as reasonably may be, in relation to any shares of stock or other property thereafter deliverable upon the conversion of the Series A-l Preferred Stock, Series A-2 Preferred Stock, Series A-3 Preferred Stock, Series A-4 Preferred Stock, Series B Preferred Stock, or Series C Preferred Stock.</w:t>
      </w:r>
    </w:p>
    <w:p>
      <w:pPr>
        <w:spacing w:after="0" w:line="159" w:lineRule="exact"/>
        <w:rPr>
          <w:sz w:val="20"/>
          <w:szCs w:val="20"/>
          <w:color w:val="auto"/>
        </w:rPr>
      </w:pPr>
    </w:p>
    <w:p>
      <w:pPr>
        <w:ind w:right="40" w:firstLine="924"/>
        <w:spacing w:after="0" w:line="269" w:lineRule="auto"/>
        <w:tabs>
          <w:tab w:leader="none" w:pos="1121"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No Impairment</w:t>
      </w:r>
      <w:r>
        <w:rPr>
          <w:rFonts w:ascii="Arial" w:cs="Arial" w:eastAsia="Arial" w:hAnsi="Arial"/>
          <w:sz w:val="16"/>
          <w:szCs w:val="16"/>
          <w:color w:val="auto"/>
        </w:rPr>
        <w:t>. The Corporation will not, by amendment of this Amended and Restated Certificate of Incorporation or through any reorganization, transfer of assets, consolidation, merger, dissolution, issue or sale of securities or any other voluntary action, avoid or seek to avoid the observance or performance of any of the terms to be observed or performed under this Section 4 by the Corporation, without the written consent of the holders of a majority of the then outstanding shares of Preferred Stock, consenting together as a separate class on an as-converted basis, but will at all times in good faith assist in the carrying out of all the provisions of this Section 4 and in the taking of all such action as may be necessary or appropriate in order to protect the Conversion Rights of the holders of the Preferred Stock against impairment.</w:t>
      </w:r>
    </w:p>
    <w:p>
      <w:pPr>
        <w:spacing w:after="0" w:line="168" w:lineRule="exact"/>
        <w:rPr>
          <w:rFonts w:ascii="Arial" w:cs="Arial" w:eastAsia="Arial" w:hAnsi="Arial"/>
          <w:sz w:val="16"/>
          <w:szCs w:val="16"/>
          <w:color w:val="auto"/>
        </w:rPr>
      </w:pPr>
    </w:p>
    <w:p>
      <w:pPr>
        <w:ind w:right="60" w:firstLine="924"/>
        <w:spacing w:after="0" w:line="286" w:lineRule="auto"/>
        <w:tabs>
          <w:tab w:leader="none" w:pos="1158" w:val="left"/>
        </w:tabs>
        <w:numPr>
          <w:ilvl w:val="0"/>
          <w:numId w:val="246"/>
        </w:numPr>
        <w:rPr>
          <w:rFonts w:ascii="Arial" w:cs="Arial" w:eastAsia="Arial" w:hAnsi="Arial"/>
          <w:sz w:val="15"/>
          <w:szCs w:val="15"/>
          <w:color w:val="auto"/>
        </w:rPr>
      </w:pPr>
      <w:r>
        <w:rPr>
          <w:rFonts w:ascii="Arial" w:cs="Arial" w:eastAsia="Arial" w:hAnsi="Arial"/>
          <w:sz w:val="15"/>
          <w:szCs w:val="15"/>
          <w:u w:val="single" w:color="auto"/>
          <w:color w:val="auto"/>
        </w:rPr>
        <w:t>Certificate as to Adjustments</w:t>
      </w:r>
      <w:r>
        <w:rPr>
          <w:rFonts w:ascii="Arial" w:cs="Arial" w:eastAsia="Arial" w:hAnsi="Arial"/>
          <w:sz w:val="15"/>
          <w:szCs w:val="15"/>
          <w:color w:val="auto"/>
        </w:rPr>
        <w:t>. Upon the occurrence of each adjustment or readjustment of the Series A-l Conversion Price, Series A-2 Conversion Price, Series A-3 Conversion Price, Series A-4 Conversion Price, Series B Conversion Price, or Series C Conversion Price pursuant to this 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similar certificate setting forth (i) such adjustments and readjustments, (ii) the Series A-l Conversion Price, Series A-2 Conversion Price, Series A-3 Conversion Price, Series A-4 Conversion Price, Series B Conversion Price, or Series C Conversion Price then in effect, and (iii) the number of shares of Common Stock and the amount, if any, of other property which then would be received upon the conversion of Series A-l Preferred Stock, Series A-2 Preferred Stock, Series A-3 Preferred Stock, Series A-4 Preferred Stock, Series B Preferred Stock, or Series C Preferred Stock.</w:t>
      </w:r>
    </w:p>
    <w:p>
      <w:pPr>
        <w:spacing w:after="0" w:line="159" w:lineRule="exact"/>
        <w:rPr>
          <w:sz w:val="20"/>
          <w:szCs w:val="20"/>
          <w:color w:val="auto"/>
        </w:rPr>
      </w:pPr>
    </w:p>
    <w:p>
      <w:pPr>
        <w:ind w:left="1160" w:hanging="236"/>
        <w:spacing w:after="0"/>
        <w:tabs>
          <w:tab w:leader="none" w:pos="1160"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Notice of Record Date</w:t>
      </w:r>
      <w:r>
        <w:rPr>
          <w:rFonts w:ascii="Arial" w:cs="Arial" w:eastAsia="Arial" w:hAnsi="Arial"/>
          <w:sz w:val="17"/>
          <w:szCs w:val="17"/>
          <w:color w:val="auto"/>
        </w:rPr>
        <w:t>. In the event:</w:t>
      </w:r>
    </w:p>
    <w:p>
      <w:pPr>
        <w:spacing w:after="0" w:line="105" w:lineRule="exact"/>
        <w:rPr>
          <w:rFonts w:ascii="Arial" w:cs="Arial" w:eastAsia="Arial" w:hAnsi="Arial"/>
          <w:sz w:val="17"/>
          <w:szCs w:val="17"/>
          <w:color w:val="auto"/>
        </w:rPr>
      </w:pPr>
    </w:p>
    <w:p>
      <w:pPr>
        <w:ind w:right="340" w:firstLine="1334"/>
        <w:spacing w:after="0" w:line="268" w:lineRule="auto"/>
        <w:tabs>
          <w:tab w:leader="none" w:pos="1531"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that the Corporation declares a dividend (or any other distribution) on its Common Stock payable in Common Stock or other securities of the Corporation;</w:t>
      </w:r>
    </w:p>
    <w:p>
      <w:pPr>
        <w:spacing w:after="0" w:line="165" w:lineRule="exact"/>
        <w:rPr>
          <w:rFonts w:ascii="Arial" w:cs="Arial" w:eastAsia="Arial" w:hAnsi="Arial"/>
          <w:sz w:val="17"/>
          <w:szCs w:val="17"/>
          <w:color w:val="auto"/>
        </w:rPr>
      </w:pPr>
    </w:p>
    <w:p>
      <w:pPr>
        <w:ind w:left="1580" w:hanging="246"/>
        <w:spacing w:after="0"/>
        <w:tabs>
          <w:tab w:leader="none" w:pos="158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that the Corporation subdivides or combines its outstanding shares of Common Stock;</w:t>
      </w:r>
    </w:p>
    <w:p>
      <w:pPr>
        <w:spacing w:after="0" w:line="206" w:lineRule="exact"/>
        <w:rPr>
          <w:rFonts w:ascii="Arial" w:cs="Arial" w:eastAsia="Arial" w:hAnsi="Arial"/>
          <w:sz w:val="17"/>
          <w:szCs w:val="17"/>
          <w:color w:val="auto"/>
        </w:rPr>
      </w:pPr>
    </w:p>
    <w:p>
      <w:pPr>
        <w:ind w:right="260" w:firstLine="1334"/>
        <w:spacing w:after="0" w:line="257" w:lineRule="auto"/>
        <w:tabs>
          <w:tab w:leader="none" w:pos="1624" w:val="left"/>
        </w:tabs>
        <w:numPr>
          <w:ilvl w:val="1"/>
          <w:numId w:val="247"/>
        </w:numPr>
        <w:rPr>
          <w:rFonts w:ascii="Arial" w:cs="Arial" w:eastAsia="Arial" w:hAnsi="Arial"/>
          <w:sz w:val="17"/>
          <w:szCs w:val="17"/>
          <w:color w:val="auto"/>
        </w:rPr>
      </w:pPr>
      <w:r>
        <w:rPr>
          <w:rFonts w:ascii="Arial" w:cs="Arial" w:eastAsia="Arial" w:hAnsi="Arial"/>
          <w:sz w:val="17"/>
          <w:szCs w:val="17"/>
          <w:color w:val="auto"/>
        </w:rPr>
        <w:t>of any reclassification of the Common Stock of the Corporation (other than a subdivision or combination of its outstanding shares of Common Stock or a stock dividend or stock distribution thereon), or of any consolidation or merger of the Corporation into or with another corporation, or of the sale of all or substantially all of the assets of the Corporation; or</w:t>
      </w:r>
    </w:p>
    <w:p>
      <w:pPr>
        <w:spacing w:after="0" w:line="112" w:lineRule="exact"/>
        <w:rPr>
          <w:rFonts w:ascii="Arial" w:cs="Arial" w:eastAsia="Arial" w:hAnsi="Arial"/>
          <w:sz w:val="17"/>
          <w:szCs w:val="17"/>
          <w:color w:val="auto"/>
        </w:rPr>
      </w:pPr>
    </w:p>
    <w:p>
      <w:pPr>
        <w:ind w:left="5040" w:hanging="97"/>
        <w:spacing w:after="0"/>
        <w:tabs>
          <w:tab w:leader="none" w:pos="5040" w:val="left"/>
        </w:tabs>
        <w:numPr>
          <w:ilvl w:val="2"/>
          <w:numId w:val="247"/>
        </w:numPr>
        <w:rPr>
          <w:rFonts w:ascii="Arial" w:cs="Arial" w:eastAsia="Arial" w:hAnsi="Arial"/>
          <w:sz w:val="17"/>
          <w:szCs w:val="17"/>
          <w:color w:val="auto"/>
        </w:rPr>
      </w:pPr>
      <w:r>
        <w:rPr>
          <w:rFonts w:ascii="Arial" w:cs="Arial" w:eastAsia="Arial" w:hAnsi="Arial"/>
          <w:sz w:val="17"/>
          <w:szCs w:val="17"/>
          <w:color w:val="auto"/>
        </w:rPr>
        <w:t>24 -</w:t>
      </w:r>
    </w:p>
    <w:p>
      <w:pPr>
        <w:sectPr>
          <w:pgSz w:w="11900" w:h="16838" w:orient="portrait"/>
          <w:cols w:equalWidth="0" w:num="1">
            <w:col w:w="10220"/>
          </w:cols>
          <w:pgMar w:left="820" w:top="265" w:right="859" w:bottom="1440" w:gutter="0" w:footer="0" w:header="0"/>
        </w:sectPr>
      </w:pPr>
    </w:p>
    <w:bookmarkStart w:id="303" w:name="page304"/>
    <w:bookmarkEnd w:id="303"/>
    <w:p>
      <w:pPr>
        <w:ind w:left="1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(iv) of the involuntary or voluntary dissolution, liquidation or winding up of the Corporation;</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then the Corporation shall use reasonable efforts to cause to be filed at its principal office or at the office of the transfer agent of the Preferred Stock, and shall cause to be mailed to the holders of the Preferred Stock or such transfer agent, at least ten (10) days prior to the date specified in (A) below or twenty (20) days before the date specified in (B) below, a notice stating</w:t>
      </w:r>
    </w:p>
    <w:p>
      <w:pPr>
        <w:spacing w:after="0" w:line="175" w:lineRule="exact"/>
        <w:rPr>
          <w:sz w:val="20"/>
          <w:szCs w:val="20"/>
          <w:color w:val="auto"/>
        </w:rPr>
      </w:pPr>
    </w:p>
    <w:p>
      <w:pPr>
        <w:ind w:right="60" w:firstLine="1846"/>
        <w:spacing w:after="0" w:line="335" w:lineRule="auto"/>
        <w:tabs>
          <w:tab w:leader="none" w:pos="2118" w:val="left"/>
        </w:tabs>
        <w:numPr>
          <w:ilvl w:val="2"/>
          <w:numId w:val="248"/>
        </w:numPr>
        <w:rPr>
          <w:rFonts w:ascii="Arial" w:cs="Arial" w:eastAsia="Arial" w:hAnsi="Arial"/>
          <w:sz w:val="15"/>
          <w:szCs w:val="15"/>
          <w:color w:val="auto"/>
        </w:rPr>
      </w:pPr>
      <w:r>
        <w:rPr>
          <w:rFonts w:ascii="Arial" w:cs="Arial" w:eastAsia="Arial" w:hAnsi="Arial"/>
          <w:sz w:val="15"/>
          <w:szCs w:val="15"/>
          <w:color w:val="auto"/>
        </w:rPr>
        <w:t>the record date of such dividend, distribution, subdivision or combination, or, if a record is not to be taken, the date as of which the holders of Common Stock of record to be entitled to such dividend, distribution, subdivision or combination are to be determined, or</w:t>
      </w:r>
    </w:p>
    <w:p>
      <w:pPr>
        <w:spacing w:after="0" w:line="121" w:lineRule="exact"/>
        <w:rPr>
          <w:rFonts w:ascii="Arial" w:cs="Arial" w:eastAsia="Arial" w:hAnsi="Arial"/>
          <w:sz w:val="15"/>
          <w:szCs w:val="15"/>
          <w:color w:val="auto"/>
        </w:rPr>
      </w:pPr>
    </w:p>
    <w:p>
      <w:pPr>
        <w:jc w:val="both"/>
        <w:ind w:right="100" w:firstLine="1846"/>
        <w:spacing w:after="0" w:line="251" w:lineRule="auto"/>
        <w:tabs>
          <w:tab w:leader="none" w:pos="2108" w:val="left"/>
        </w:tabs>
        <w:numPr>
          <w:ilvl w:val="2"/>
          <w:numId w:val="248"/>
        </w:numPr>
        <w:rPr>
          <w:rFonts w:ascii="Arial" w:cs="Arial" w:eastAsia="Arial" w:hAnsi="Arial"/>
          <w:sz w:val="17"/>
          <w:szCs w:val="17"/>
          <w:color w:val="auto"/>
        </w:rPr>
      </w:pPr>
      <w:r>
        <w:rPr>
          <w:rFonts w:ascii="Arial" w:cs="Arial" w:eastAsia="Arial" w:hAnsi="Arial"/>
          <w:sz w:val="17"/>
          <w:szCs w:val="17"/>
          <w:color w:val="auto"/>
        </w:rPr>
        <w:t xml:space="preserve">the date on which such reclassification, consolidation, merger, sale, dissolution, liquidation or winding up is expected to become effective, and the date as of which it is expected that holders of Common Stock of record shall be entitled to exchange their shares of Common Stock for securities or other property deliverable upon such reclassification, consolidation, merger, sale, dissolution or winding 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Corporation’s failure to provide any notice required under this Section 4(1) after using reasonable efforts shall not be deemed a default, breach or violation of this Section 4(1).</w:t>
      </w:r>
    </w:p>
    <w:p>
      <w:pPr>
        <w:spacing w:after="0" w:line="182" w:lineRule="exact"/>
        <w:rPr>
          <w:rFonts w:ascii="Arial" w:cs="Arial" w:eastAsia="Arial" w:hAnsi="Arial"/>
          <w:sz w:val="17"/>
          <w:szCs w:val="17"/>
          <w:color w:val="auto"/>
        </w:rPr>
      </w:pPr>
    </w:p>
    <w:p>
      <w:pPr>
        <w:ind w:left="580" w:hanging="168"/>
        <w:spacing w:after="0"/>
        <w:tabs>
          <w:tab w:leader="none" w:pos="580"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Mandatory Conversion.</w:t>
      </w:r>
    </w:p>
    <w:p>
      <w:pPr>
        <w:spacing w:after="0" w:line="206" w:lineRule="exact"/>
        <w:rPr>
          <w:rFonts w:ascii="Arial" w:cs="Arial" w:eastAsia="Arial" w:hAnsi="Arial"/>
          <w:sz w:val="17"/>
          <w:szCs w:val="17"/>
          <w:color w:val="auto"/>
        </w:rPr>
      </w:pPr>
    </w:p>
    <w:p>
      <w:pPr>
        <w:ind w:right="40" w:firstLine="924"/>
        <w:spacing w:after="0" w:line="271" w:lineRule="auto"/>
        <w:tabs>
          <w:tab w:leader="none" w:pos="1149" w:val="left"/>
        </w:tabs>
        <w:numPr>
          <w:ilvl w:val="1"/>
          <w:numId w:val="249"/>
        </w:numPr>
        <w:rPr>
          <w:rFonts w:ascii="Arial" w:cs="Arial" w:eastAsia="Arial" w:hAnsi="Arial"/>
          <w:sz w:val="16"/>
          <w:szCs w:val="16"/>
          <w:color w:val="auto"/>
        </w:rPr>
      </w:pPr>
      <w:r>
        <w:rPr>
          <w:rFonts w:ascii="Arial" w:cs="Arial" w:eastAsia="Arial" w:hAnsi="Arial"/>
          <w:sz w:val="16"/>
          <w:szCs w:val="16"/>
          <w:color w:val="auto"/>
        </w:rPr>
        <w:t>Upon the earlier of (i) the closing of the sale of shares of Common Stock in a firm underwritten public offering pursuant to an effective registration statement under the Securities Act of 1933, as amended, resulting in at least Forty Million Dollars ($40,000,000) (net of any underwriting discount and commissions) to the Corporation or (ii) a date agreed to in writing by a vote of the holders of a majority of the then outstanding shares of Preferred Stock, voting together as a separate class on an as-converted basis (each a “</w:t>
      </w:r>
      <w:r>
        <w:rPr>
          <w:rFonts w:ascii="Arial" w:cs="Arial" w:eastAsia="Arial" w:hAnsi="Arial"/>
          <w:sz w:val="16"/>
          <w:szCs w:val="16"/>
          <w:u w:val="single" w:color="auto"/>
          <w:color w:val="auto"/>
        </w:rPr>
        <w:t>Mandatory Conversion Event</w:t>
      </w:r>
      <w:r>
        <w:rPr>
          <w:rFonts w:ascii="Arial" w:cs="Arial" w:eastAsia="Arial" w:hAnsi="Arial"/>
          <w:sz w:val="16"/>
          <w:szCs w:val="16"/>
          <w:color w:val="auto"/>
        </w:rPr>
        <w:t>”), all outstanding shares of Preferred Stock shall automatically be converted into shares of Common Stock, at the then effective conversion rate.</w:t>
      </w:r>
    </w:p>
    <w:p>
      <w:pPr>
        <w:spacing w:after="0" w:line="166" w:lineRule="exact"/>
        <w:rPr>
          <w:rFonts w:ascii="Arial" w:cs="Arial" w:eastAsia="Arial" w:hAnsi="Arial"/>
          <w:sz w:val="16"/>
          <w:szCs w:val="16"/>
          <w:color w:val="auto"/>
        </w:rPr>
      </w:pPr>
    </w:p>
    <w:p>
      <w:pPr>
        <w:ind w:firstLine="924"/>
        <w:spacing w:after="0" w:line="285" w:lineRule="auto"/>
        <w:tabs>
          <w:tab w:leader="none" w:pos="1159" w:val="left"/>
        </w:tabs>
        <w:numPr>
          <w:ilvl w:val="1"/>
          <w:numId w:val="249"/>
        </w:numPr>
        <w:rPr>
          <w:rFonts w:ascii="Arial" w:cs="Arial" w:eastAsia="Arial" w:hAnsi="Arial"/>
          <w:sz w:val="15"/>
          <w:szCs w:val="15"/>
          <w:color w:val="auto"/>
        </w:rPr>
      </w:pPr>
      <w:r>
        <w:rPr>
          <w:rFonts w:ascii="Arial" w:cs="Arial" w:eastAsia="Arial" w:hAnsi="Arial"/>
          <w:sz w:val="15"/>
          <w:szCs w:val="15"/>
          <w:color w:val="auto"/>
        </w:rPr>
        <w:t>All holders of record of shares of Preferred Stock shall be given written notice of the Mandatory Conversion Event and the place and date (the “</w:t>
      </w:r>
      <w:r>
        <w:rPr>
          <w:rFonts w:ascii="Arial" w:cs="Arial" w:eastAsia="Arial" w:hAnsi="Arial"/>
          <w:sz w:val="15"/>
          <w:szCs w:val="15"/>
          <w:u w:val="single" w:color="auto"/>
          <w:color w:val="auto"/>
        </w:rPr>
        <w:t>Mandatory Conversion Date</w:t>
      </w:r>
      <w:r>
        <w:rPr>
          <w:rFonts w:ascii="Arial" w:cs="Arial" w:eastAsia="Arial" w:hAnsi="Arial"/>
          <w:sz w:val="15"/>
          <w:szCs w:val="15"/>
          <w:color w:val="auto"/>
        </w:rPr>
        <w:t>”) designated for mandatory conversion of all such shares of Preferred Stock pursuant to this Section 5. Such notice need not be given in advance of the occurrence of the Mandatory Conversion Event. Such notice shall be sent by first class or registered mail, postage prepaid, or given by electronic communication in compliance with the provisions of the General Corporation Law, to each record holder of Preferred Stock. Upon receipt of such notice, each holder of shares of Preferred Stock shall surrender his or its certificate or certificates for all such shares to the Corporation at the place designated in such notice, and shall thereafter receive certificates for the number of shares of Common Stock to which such holder is entitled pursuant to this Section 5. On the Mandatory Conversion Date, all outstanding shares of Preferred Stock shall be deemed to have been converted into shares of Common Stock, which shall be deemed to be outstanding of record, and all rights with respect to the Preferred Stock so converted, including the rights, if any, to receive notices and vote (other than as a holder of Common Stock) will terminate, except only the rights of the holders thereof, upon surrender of their certificate or certificates therefor, to</w:t>
      </w:r>
    </w:p>
    <w:p>
      <w:pPr>
        <w:spacing w:after="0" w:line="98" w:lineRule="exact"/>
        <w:rPr>
          <w:rFonts w:ascii="Arial" w:cs="Arial" w:eastAsia="Arial" w:hAnsi="Arial"/>
          <w:sz w:val="15"/>
          <w:szCs w:val="15"/>
          <w:color w:val="auto"/>
        </w:rPr>
      </w:pPr>
    </w:p>
    <w:p>
      <w:pPr>
        <w:ind w:left="5040" w:hanging="97"/>
        <w:spacing w:after="0"/>
        <w:tabs>
          <w:tab w:leader="none" w:pos="5040" w:val="left"/>
        </w:tabs>
        <w:numPr>
          <w:ilvl w:val="3"/>
          <w:numId w:val="249"/>
        </w:numPr>
        <w:rPr>
          <w:rFonts w:ascii="Arial" w:cs="Arial" w:eastAsia="Arial" w:hAnsi="Arial"/>
          <w:sz w:val="17"/>
          <w:szCs w:val="17"/>
          <w:color w:val="auto"/>
        </w:rPr>
      </w:pPr>
      <w:r>
        <w:rPr>
          <w:rFonts w:ascii="Arial" w:cs="Arial" w:eastAsia="Arial" w:hAnsi="Arial"/>
          <w:sz w:val="17"/>
          <w:szCs w:val="17"/>
          <w:color w:val="auto"/>
        </w:rPr>
        <w:t>25 -</w:t>
      </w:r>
    </w:p>
    <w:p>
      <w:pPr>
        <w:sectPr>
          <w:pgSz w:w="11900" w:h="16838" w:orient="portrait"/>
          <w:cols w:equalWidth="0" w:num="1">
            <w:col w:w="10240"/>
          </w:cols>
          <w:pgMar w:left="820" w:top="265" w:right="839" w:bottom="1440" w:gutter="0" w:footer="0" w:header="0"/>
        </w:sectPr>
      </w:pPr>
    </w:p>
    <w:bookmarkStart w:id="304" w:name="page305"/>
    <w:bookmarkEnd w:id="304"/>
    <w:p>
      <w:pPr>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receive certificates for the number of shares of Common Stock into which such Preferred Stock has been converted, and payment of any declared but unpaid dividends thereon. If so required by the Corporation, certificates surrendered for conversion shall be endorsed or accompanied by written instrument or instruments of transfer, in form satisfactory to the Corporation, duly executed by the registered holder or by his or its attorney duly authorized in writing. As soon as practicable after the Mandatory Conversion Date and the surrender of the certificate or certificates for Preferred Stock, the Corporation shall cause to be issued and delivered to such holder, or on his or its written order, a certificate or certificates for the number of full shares of Common Stock issuable on such conversion in accordance with the provisions hereof and cash as provided in Subsection 4(b) in respect of any fraction of a share of Common Stock otherwise issuable upon such conversion.</w:t>
      </w:r>
    </w:p>
    <w:p>
      <w:pPr>
        <w:spacing w:after="0" w:line="169" w:lineRule="exact"/>
        <w:rPr>
          <w:sz w:val="20"/>
          <w:szCs w:val="20"/>
          <w:color w:val="auto"/>
        </w:rPr>
      </w:pPr>
    </w:p>
    <w:p>
      <w:pPr>
        <w:ind w:right="80" w:firstLine="924"/>
        <w:spacing w:after="0" w:line="293" w:lineRule="auto"/>
        <w:tabs>
          <w:tab w:leader="none" w:pos="1149" w:val="left"/>
        </w:tabs>
        <w:numPr>
          <w:ilvl w:val="1"/>
          <w:numId w:val="250"/>
        </w:numPr>
        <w:rPr>
          <w:rFonts w:ascii="Arial" w:cs="Arial" w:eastAsia="Arial" w:hAnsi="Arial"/>
          <w:sz w:val="15"/>
          <w:szCs w:val="15"/>
          <w:color w:val="auto"/>
        </w:rPr>
      </w:pPr>
      <w:r>
        <w:rPr>
          <w:rFonts w:ascii="Arial" w:cs="Arial" w:eastAsia="Arial" w:hAnsi="Arial"/>
          <w:sz w:val="15"/>
          <w:szCs w:val="15"/>
          <w:color w:val="auto"/>
        </w:rPr>
        <w:t>All certificates evidencing shares of Preferred Stock which are required to be surrendered for conversion in accordance with the provisions hereof shall, from and after the Mandatory Conversion Date, be deemed to have been retired and cancelled and the shares of Preferred Stock represented thereby converted into Common Stock for all purposes, notwithstanding the failure of the holder or holders thereof to surrender such certificates on or prior to such date. Such converted Preferred Stock may not be reissued, and the Corporation may thereafter take such appropriate action (without the need for stockholder action) as may be necessary to reduce the authorized number of shares of Preferred Stock accordingly.</w:t>
      </w:r>
    </w:p>
    <w:p>
      <w:pPr>
        <w:spacing w:after="0" w:line="152" w:lineRule="exact"/>
        <w:rPr>
          <w:rFonts w:ascii="Arial" w:cs="Arial" w:eastAsia="Arial" w:hAnsi="Arial"/>
          <w:sz w:val="15"/>
          <w:szCs w:val="15"/>
          <w:color w:val="auto"/>
        </w:rPr>
      </w:pPr>
    </w:p>
    <w:p>
      <w:pPr>
        <w:ind w:left="580" w:hanging="168"/>
        <w:spacing w:after="0"/>
        <w:tabs>
          <w:tab w:leader="none" w:pos="580"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Redemption.</w:t>
      </w:r>
    </w:p>
    <w:p>
      <w:pPr>
        <w:spacing w:after="0" w:line="206" w:lineRule="exact"/>
        <w:rPr>
          <w:rFonts w:ascii="Arial" w:cs="Arial" w:eastAsia="Arial" w:hAnsi="Arial"/>
          <w:sz w:val="17"/>
          <w:szCs w:val="17"/>
          <w:color w:val="auto"/>
        </w:rPr>
      </w:pPr>
    </w:p>
    <w:p>
      <w:pPr>
        <w:ind w:right="80" w:firstLine="924"/>
        <w:spacing w:after="0" w:line="264" w:lineRule="auto"/>
        <w:tabs>
          <w:tab w:leader="none" w:pos="114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Unless prohibited by Delaware law governing distributions to stockholders, the Preferred Stock shall, if required as set forth below, be redeemed by the Corporation at a price per share equal to the applicable Redemption Price (as defined below). As used in this Amended and Restated Certificate of Incorporation, “</w:t>
      </w:r>
      <w:r>
        <w:rPr>
          <w:rFonts w:ascii="Arial" w:cs="Arial" w:eastAsia="Arial" w:hAnsi="Arial"/>
          <w:sz w:val="16"/>
          <w:szCs w:val="16"/>
          <w:u w:val="single" w:color="auto"/>
          <w:color w:val="auto"/>
        </w:rPr>
        <w:t>Redemption Price</w:t>
      </w:r>
      <w:r>
        <w:rPr>
          <w:rFonts w:ascii="Arial" w:cs="Arial" w:eastAsia="Arial" w:hAnsi="Arial"/>
          <w:sz w:val="16"/>
          <w:szCs w:val="16"/>
          <w:color w:val="auto"/>
        </w:rPr>
        <w:t>” means in the case of the Series A-l Preferred Stock, $0.4162 per share (subject to appropriate adjustment in the event of any stock dividend, stock split, combination or other similar recapitalization occurring after the date hereof and affecting the number of issued and outstanding shares of Series A-l Preferred Stock) plus all declared but unpaid dividends, in the case of the Series A-2 Preferred Stock, $0.3397 per share (subject to appropriate adjustment in the event of any stock dividend, stock split, combination or other similar recapitalization occurring after the date hereof and affecting the number of issued and outstanding shares of Series A-2 Preferred Stock) plus all declared but unpaid dividends, in the case of the Series A-3 Preferred Stock, $0.6245 per share (subject to appropriate adjustment in the event of any stock dividend, stock split, combination or other similar recapitalization occurring after the date hereof and affecting the number of issued and outstanding shares of Series A-3 Preferred Stock) plus all declared but unpaid dividends, in the case of the Series A-4 Preferred Stock, $0.30 per share (subject to appropriate adjustment in the event of any stock dividend, stock split, combination or other similar recapitalization occurring after the date hereof and affecting the number of issued and outstanding shares of Series A-4 Preferred Stock) plus all declared but unpaid dividends, in the case of the Series B Preferred Stock, $0.30 per share (subject to appropriate adjustment in the event of any stock dividend, stock split, combination or other similar recapitalization occurring after the date hereof and affecting the number of issued and outstanding shares of Series B Preferred Stock) plus all declared but unpaid dividends, and in the case of the Series C Preferred Stock, $0.38811 per share (subject to appropriate adjustment in the event of any stock dividend, stock split,</w:t>
      </w:r>
    </w:p>
    <w:p>
      <w:pPr>
        <w:spacing w:after="0" w:line="113" w:lineRule="exact"/>
        <w:rPr>
          <w:rFonts w:ascii="Arial" w:cs="Arial" w:eastAsia="Arial" w:hAnsi="Arial"/>
          <w:sz w:val="16"/>
          <w:szCs w:val="16"/>
          <w:color w:val="auto"/>
        </w:rPr>
      </w:pPr>
    </w:p>
    <w:p>
      <w:pPr>
        <w:ind w:left="5040" w:hanging="97"/>
        <w:spacing w:after="0"/>
        <w:tabs>
          <w:tab w:leader="none" w:pos="5040" w:val="left"/>
        </w:tabs>
        <w:numPr>
          <w:ilvl w:val="2"/>
          <w:numId w:val="251"/>
        </w:numPr>
        <w:rPr>
          <w:rFonts w:ascii="Arial" w:cs="Arial" w:eastAsia="Arial" w:hAnsi="Arial"/>
          <w:sz w:val="17"/>
          <w:szCs w:val="17"/>
          <w:color w:val="auto"/>
        </w:rPr>
      </w:pPr>
      <w:r>
        <w:rPr>
          <w:rFonts w:ascii="Arial" w:cs="Arial" w:eastAsia="Arial" w:hAnsi="Arial"/>
          <w:sz w:val="17"/>
          <w:szCs w:val="17"/>
          <w:color w:val="auto"/>
        </w:rPr>
        <w:t>26 -</w:t>
      </w:r>
    </w:p>
    <w:p>
      <w:pPr>
        <w:sectPr>
          <w:pgSz w:w="11900" w:h="16838" w:orient="portrait"/>
          <w:cols w:equalWidth="0" w:num="1">
            <w:col w:w="10220"/>
          </w:cols>
          <w:pgMar w:left="820" w:top="265" w:right="859" w:bottom="1440" w:gutter="0" w:footer="0" w:header="0"/>
        </w:sectPr>
      </w:pPr>
    </w:p>
    <w:bookmarkStart w:id="305" w:name="page306"/>
    <w:bookmarkEnd w:id="305"/>
    <w:p>
      <w:pPr>
        <w:ind w:right="4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combination or other similar recapitalization occurring after the date hereof and affecting the number of issued and outstanding shares of Series C Preferred Stock) plus all declared but unpaid dividends. Such redemption shall occur in three annual equal installments commencing sixty (60) days after receipt by the Corporation, at any time on or after the fifth anniversary of the Series C Original Issue Date, of written notice requesting redemption of all shares of Preferred Stock from the holders of a majority of the then outstanding shares of Preferred Stock, as follows (which must include at least 50% of the then outstanding shares of Series B Preferred Stock and 50% of the then-outstanding shares of Series C Preferred Stock):</w:t>
      </w:r>
    </w:p>
    <w:p>
      <w:pPr>
        <w:spacing w:after="0" w:line="52" w:lineRule="exact"/>
        <w:rPr>
          <w:sz w:val="20"/>
          <w:szCs w:val="20"/>
          <w:color w:val="auto"/>
        </w:rPr>
      </w:pPr>
    </w:p>
    <w:p>
      <w:pPr>
        <w:ind w:right="260" w:firstLine="1334"/>
        <w:spacing w:after="0" w:line="268" w:lineRule="auto"/>
        <w:tabs>
          <w:tab w:leader="none" w:pos="153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on the sixtieth (60th) day after receipt by the Corporation of the written notice described in Section 6(a), the Corporation shall redeem one-third of the shares of Preferred Stock then outstanding;</w:t>
      </w:r>
    </w:p>
    <w:p>
      <w:pPr>
        <w:spacing w:after="0" w:line="165" w:lineRule="exact"/>
        <w:rPr>
          <w:rFonts w:ascii="Arial" w:cs="Arial" w:eastAsia="Arial" w:hAnsi="Arial"/>
          <w:sz w:val="17"/>
          <w:szCs w:val="17"/>
          <w:color w:val="auto"/>
        </w:rPr>
      </w:pPr>
    </w:p>
    <w:p>
      <w:pPr>
        <w:ind w:firstLine="1334"/>
        <w:spacing w:after="0" w:line="268" w:lineRule="auto"/>
        <w:tabs>
          <w:tab w:leader="none" w:pos="157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on the one-year anniversary of the redemption made pursuant to Section 6(a)(i) above, the Corporation shall redeem fifty percent (50%) of the shares of Preferred Stock then outstanding; and</w:t>
      </w:r>
    </w:p>
    <w:p>
      <w:pPr>
        <w:spacing w:after="0" w:line="165" w:lineRule="exact"/>
        <w:rPr>
          <w:rFonts w:ascii="Arial" w:cs="Arial" w:eastAsia="Arial" w:hAnsi="Arial"/>
          <w:sz w:val="17"/>
          <w:szCs w:val="17"/>
          <w:color w:val="auto"/>
        </w:rPr>
      </w:pPr>
    </w:p>
    <w:p>
      <w:pPr>
        <w:ind w:right="140" w:firstLine="1334"/>
        <w:spacing w:after="0" w:line="268" w:lineRule="auto"/>
        <w:tabs>
          <w:tab w:leader="none" w:pos="162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on the one-year anniversary of the redemption made pursuant to Section 6(a)(ii) above, the Corporation shall redeem all of the shares of Preferred Stock then outstanding.</w:t>
      </w:r>
    </w:p>
    <w:p>
      <w:pPr>
        <w:spacing w:after="0" w:line="166"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The date of each redemption pursuant to Section 6(a) is referred to as a “</w:t>
      </w:r>
      <w:r>
        <w:rPr>
          <w:rFonts w:ascii="Arial" w:cs="Arial" w:eastAsia="Arial" w:hAnsi="Arial"/>
          <w:sz w:val="15"/>
          <w:szCs w:val="15"/>
          <w:u w:val="single" w:color="auto"/>
          <w:color w:val="auto"/>
        </w:rPr>
        <w:t>Redemption Date</w:t>
      </w:r>
      <w:r>
        <w:rPr>
          <w:rFonts w:ascii="Arial" w:cs="Arial" w:eastAsia="Arial" w:hAnsi="Arial"/>
          <w:sz w:val="15"/>
          <w:szCs w:val="15"/>
          <w:color w:val="auto"/>
        </w:rPr>
        <w:t>”. On each Redemption Date, the Corporation shall redeem the number of shares of Preferred Stock determined as set forth in this Section 6(a) on a pro rata basis in accordance with the number of shares of Preferred Stock owned by each holder of Preferred Stock. Upon receipt of a redemption request, the Company shall apply all of its assets to any such redemption, and to no other corporate purpose, except to the extent prohibited by Delaware law governing distributions to stockholders. If on any Redemption Date Delaware law governing distributions to stockholders prevents the Corporation from redeeming all of the Preferred Stock to be redeemed on any Redemption Date, the Corporation shall redeem a pro rata portion of each holder’s shares of Preferred Stock, based on the respective amounts which would otherwise be payable in respect of the shares to be redeemed if the Corporation were able to redeem all such shares under such law and shall redeem the remaining shares to have been redeemed as soon as it may lawfully do so under such law.</w:t>
      </w:r>
    </w:p>
    <w:p>
      <w:pPr>
        <w:spacing w:after="0" w:line="157" w:lineRule="exact"/>
        <w:rPr>
          <w:sz w:val="20"/>
          <w:szCs w:val="20"/>
          <w:color w:val="auto"/>
        </w:rPr>
      </w:pPr>
    </w:p>
    <w:p>
      <w:pPr>
        <w:ind w:right="200" w:firstLine="924"/>
        <w:spacing w:after="0" w:line="299" w:lineRule="auto"/>
        <w:tabs>
          <w:tab w:leader="none" w:pos="115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Written notice of the mandatory redemption (the “</w:t>
      </w:r>
      <w:r>
        <w:rPr>
          <w:rFonts w:ascii="Arial" w:cs="Arial" w:eastAsia="Arial" w:hAnsi="Arial"/>
          <w:sz w:val="16"/>
          <w:szCs w:val="16"/>
          <w:u w:val="single" w:color="auto"/>
          <w:color w:val="auto"/>
        </w:rPr>
        <w:t>Redemption Notice</w:t>
      </w:r>
      <w:r>
        <w:rPr>
          <w:rFonts w:ascii="Arial" w:cs="Arial" w:eastAsia="Arial" w:hAnsi="Arial"/>
          <w:sz w:val="16"/>
          <w:szCs w:val="16"/>
          <w:color w:val="auto"/>
        </w:rPr>
        <w:t>”) shall be mailed, postage prepaid, to each holder of record of Preferred Stock, not less than thirty (30) days prior to each Redemption Date. Each Redemption Notice shall state:</w:t>
      </w:r>
    </w:p>
    <w:p>
      <w:pPr>
        <w:spacing w:after="0" w:line="43" w:lineRule="exact"/>
        <w:rPr>
          <w:rFonts w:ascii="Arial" w:cs="Arial" w:eastAsia="Arial" w:hAnsi="Arial"/>
          <w:sz w:val="16"/>
          <w:szCs w:val="16"/>
          <w:color w:val="auto"/>
        </w:rPr>
      </w:pPr>
    </w:p>
    <w:p>
      <w:pPr>
        <w:ind w:right="280" w:firstLine="1334"/>
        <w:spacing w:after="0" w:line="268" w:lineRule="auto"/>
        <w:tabs>
          <w:tab w:leader="none" w:pos="1531"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number of shares of each class of Preferred Stock held by the holder that the Corporation shall redeem on the Redemption Date specified in the Redemption Notice;</w:t>
      </w:r>
    </w:p>
    <w:p>
      <w:pPr>
        <w:spacing w:after="0" w:line="65" w:lineRule="exact"/>
        <w:rPr>
          <w:rFonts w:ascii="Arial" w:cs="Arial" w:eastAsia="Arial" w:hAnsi="Arial"/>
          <w:sz w:val="17"/>
          <w:szCs w:val="17"/>
          <w:color w:val="auto"/>
        </w:rPr>
      </w:pPr>
    </w:p>
    <w:p>
      <w:pPr>
        <w:ind w:left="1580" w:hanging="246"/>
        <w:spacing w:after="0"/>
        <w:tabs>
          <w:tab w:leader="none" w:pos="158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Redemption Date and the Redemption Price;</w:t>
      </w:r>
    </w:p>
    <w:p>
      <w:pPr>
        <w:spacing w:after="0" w:line="206" w:lineRule="exact"/>
        <w:rPr>
          <w:rFonts w:ascii="Arial" w:cs="Arial" w:eastAsia="Arial" w:hAnsi="Arial"/>
          <w:sz w:val="17"/>
          <w:szCs w:val="17"/>
          <w:color w:val="auto"/>
        </w:rPr>
      </w:pPr>
    </w:p>
    <w:p>
      <w:pPr>
        <w:ind w:left="1620" w:hanging="286"/>
        <w:spacing w:after="0"/>
        <w:tabs>
          <w:tab w:leader="none" w:pos="1620" w:val="left"/>
        </w:tabs>
        <w:numPr>
          <w:ilvl w:val="1"/>
          <w:numId w:val="253"/>
        </w:numPr>
        <w:rPr>
          <w:rFonts w:ascii="Arial" w:cs="Arial" w:eastAsia="Arial" w:hAnsi="Arial"/>
          <w:sz w:val="15"/>
          <w:szCs w:val="15"/>
          <w:color w:val="auto"/>
        </w:rPr>
      </w:pPr>
      <w:r>
        <w:rPr>
          <w:rFonts w:ascii="Arial" w:cs="Arial" w:eastAsia="Arial" w:hAnsi="Arial"/>
          <w:sz w:val="15"/>
          <w:szCs w:val="15"/>
          <w:color w:val="auto"/>
        </w:rPr>
        <w:t>the date upon which the holder’s right to convert such shares terminates (as determined in accordance with Section 4(a)); and</w:t>
      </w:r>
    </w:p>
    <w:p>
      <w:pPr>
        <w:spacing w:after="0" w:line="166" w:lineRule="exact"/>
        <w:rPr>
          <w:rFonts w:ascii="Arial" w:cs="Arial" w:eastAsia="Arial" w:hAnsi="Arial"/>
          <w:sz w:val="15"/>
          <w:szCs w:val="15"/>
          <w:color w:val="auto"/>
        </w:rPr>
      </w:pPr>
    </w:p>
    <w:p>
      <w:pPr>
        <w:ind w:left="5040" w:hanging="97"/>
        <w:spacing w:after="0"/>
        <w:tabs>
          <w:tab w:leader="none" w:pos="5040" w:val="left"/>
        </w:tabs>
        <w:numPr>
          <w:ilvl w:val="2"/>
          <w:numId w:val="253"/>
        </w:numPr>
        <w:rPr>
          <w:rFonts w:ascii="Arial" w:cs="Arial" w:eastAsia="Arial" w:hAnsi="Arial"/>
          <w:sz w:val="17"/>
          <w:szCs w:val="17"/>
          <w:color w:val="auto"/>
        </w:rPr>
      </w:pPr>
      <w:r>
        <w:rPr>
          <w:rFonts w:ascii="Arial" w:cs="Arial" w:eastAsia="Arial" w:hAnsi="Arial"/>
          <w:sz w:val="17"/>
          <w:szCs w:val="17"/>
          <w:color w:val="auto"/>
        </w:rPr>
        <w:t>27 -</w:t>
      </w:r>
    </w:p>
    <w:p>
      <w:pPr>
        <w:sectPr>
          <w:pgSz w:w="11900" w:h="16838" w:orient="portrait"/>
          <w:cols w:equalWidth="0" w:num="1">
            <w:col w:w="10220"/>
          </w:cols>
          <w:pgMar w:left="820" w:top="265" w:right="859" w:bottom="1440" w:gutter="0" w:footer="0" w:header="0"/>
        </w:sectPr>
      </w:pPr>
    </w:p>
    <w:bookmarkStart w:id="306" w:name="page307"/>
    <w:bookmarkEnd w:id="306"/>
    <w:p>
      <w:pPr>
        <w:ind w:left="-40" w:right="580" w:firstLine="1334"/>
        <w:spacing w:after="0" w:line="268" w:lineRule="auto"/>
        <w:tabs>
          <w:tab w:leader="none" w:pos="1575" w:val="left"/>
        </w:tabs>
        <w:numPr>
          <w:ilvl w:val="2"/>
          <w:numId w:val="2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that the holder is to surrender to the Corporation, in the manner and at the place designated, his certificate or certificates representing the shares of Preferred Stock to be redeemed.</w:t>
      </w:r>
    </w:p>
    <w:p>
      <w:pPr>
        <w:spacing w:after="0" w:line="165" w:lineRule="exact"/>
        <w:rPr>
          <w:rFonts w:ascii="Arial" w:cs="Arial" w:eastAsia="Arial" w:hAnsi="Arial"/>
          <w:sz w:val="17"/>
          <w:szCs w:val="17"/>
          <w:color w:val="auto"/>
        </w:rPr>
      </w:pPr>
    </w:p>
    <w:p>
      <w:pPr>
        <w:ind w:left="-40" w:firstLine="924"/>
        <w:spacing w:after="0" w:line="266" w:lineRule="auto"/>
        <w:tabs>
          <w:tab w:leader="none" w:pos="1109"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Surrender of Certificates; Payment</w:t>
      </w:r>
      <w:r>
        <w:rPr>
          <w:rFonts w:ascii="Arial" w:cs="Arial" w:eastAsia="Arial" w:hAnsi="Arial"/>
          <w:sz w:val="16"/>
          <w:szCs w:val="16"/>
          <w:color w:val="auto"/>
        </w:rPr>
        <w:t>. On or before the applicable Redemption Date, each holder of shares of Preferred Stock to be redeemed on such Redemption Date, unless such holder has exercised his right to convert such shares as provided in Section 4 hereof, shall surrender the certificate or certificates representing such shares to the Corporation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in the manner and at the place designated in the Redemption Notice, and thereupon the Redemption Price for such shares shall be payable to the order of the person whose name appears on such certificate or certificates as the owner thereof, and each surrendered certificate shall be canceled and retired. In the event less than all of the shares of Preferred Stock represented by a certificate are redeemed, a new certificate representing the unredeemed shares of Preferred Stock shall promptly be issued to such holder.</w:t>
      </w:r>
    </w:p>
    <w:p>
      <w:pPr>
        <w:spacing w:after="0" w:line="173" w:lineRule="exact"/>
        <w:rPr>
          <w:rFonts w:ascii="Arial" w:cs="Arial" w:eastAsia="Arial" w:hAnsi="Arial"/>
          <w:sz w:val="16"/>
          <w:szCs w:val="16"/>
          <w:color w:val="auto"/>
        </w:rPr>
      </w:pPr>
    </w:p>
    <w:p>
      <w:pPr>
        <w:ind w:left="-40" w:right="40" w:firstLine="924"/>
        <w:spacing w:after="0" w:line="269" w:lineRule="auto"/>
        <w:tabs>
          <w:tab w:leader="none" w:pos="1118"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Rights Subsequent to Redemption</w:t>
      </w:r>
      <w:r>
        <w:rPr>
          <w:rFonts w:ascii="Arial" w:cs="Arial" w:eastAsia="Arial" w:hAnsi="Arial"/>
          <w:sz w:val="16"/>
          <w:szCs w:val="16"/>
          <w:color w:val="auto"/>
        </w:rPr>
        <w:t>. If the Redemption Notice shall have been duly given, and if on the applicable Redemption Date the Redemption Price payable upon redemption of the shares of Preferred Stock to be redeemed on such Redemption Date is paid or tendered for payment, then whether or not the certificates evidencing any of the shares of Preferred Stock so called for redemption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their certificate or certificates (or lost certificate affidavit and agreement) therefor.</w:t>
      </w:r>
    </w:p>
    <w:p>
      <w:pPr>
        <w:spacing w:after="0" w:line="168" w:lineRule="exact"/>
        <w:rPr>
          <w:rFonts w:ascii="Arial" w:cs="Arial" w:eastAsia="Arial" w:hAnsi="Arial"/>
          <w:sz w:val="16"/>
          <w:szCs w:val="16"/>
          <w:color w:val="auto"/>
        </w:rPr>
      </w:pPr>
    </w:p>
    <w:p>
      <w:pPr>
        <w:ind w:left="-40" w:right="80" w:firstLine="924"/>
        <w:spacing w:after="0" w:line="257" w:lineRule="auto"/>
        <w:tabs>
          <w:tab w:leader="none" w:pos="1109"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Any shares of Preferred Stock redeemed pursuant to this Section 6 will be cancelled and will not under any circumstances be reissued, sold or transferred and the Corporation may from time to time take such appropriate action as may be necessary to reduce the authorized shares of Preferred Stock accordingly.</w:t>
      </w:r>
    </w:p>
    <w:p>
      <w:pPr>
        <w:spacing w:after="0" w:line="175" w:lineRule="exact"/>
        <w:rPr>
          <w:rFonts w:ascii="Arial" w:cs="Arial" w:eastAsia="Arial" w:hAnsi="Arial"/>
          <w:sz w:val="17"/>
          <w:szCs w:val="17"/>
          <w:color w:val="auto"/>
        </w:rPr>
      </w:pPr>
    </w:p>
    <w:p>
      <w:pPr>
        <w:ind w:left="-40" w:right="180" w:firstLine="412"/>
        <w:spacing w:after="0" w:line="307" w:lineRule="auto"/>
        <w:tabs>
          <w:tab w:leader="none" w:pos="537" w:val="left"/>
        </w:tabs>
        <w:numPr>
          <w:ilvl w:val="0"/>
          <w:numId w:val="256"/>
        </w:numPr>
        <w:rPr>
          <w:rFonts w:ascii="Arial" w:cs="Arial" w:eastAsia="Arial" w:hAnsi="Arial"/>
          <w:sz w:val="15"/>
          <w:szCs w:val="15"/>
          <w:color w:val="auto"/>
        </w:rPr>
      </w:pPr>
      <w:r>
        <w:rPr>
          <w:rFonts w:ascii="Arial" w:cs="Arial" w:eastAsia="Arial" w:hAnsi="Arial"/>
          <w:sz w:val="15"/>
          <w:szCs w:val="15"/>
          <w:u w:val="single" w:color="auto"/>
          <w:color w:val="auto"/>
        </w:rPr>
        <w:t>Waiver</w:t>
      </w:r>
      <w:r>
        <w:rPr>
          <w:rFonts w:ascii="Arial" w:cs="Arial" w:eastAsia="Arial" w:hAnsi="Arial"/>
          <w:sz w:val="15"/>
          <w:szCs w:val="15"/>
          <w:color w:val="auto"/>
        </w:rPr>
        <w:t>. Except where a different vote is specified in the Certificate of Incorporation or required by the General Corporation Law, any of the rights, powers, preferences and other terms of a series of Preferred Stock set forth herein may be waived on behalf of all holders of such series of Preferred Stock by the affirmative written consent or vote of the holders of a majority of the shares of such series of Preferred Stock then outstanding.</w:t>
      </w:r>
    </w:p>
    <w:p>
      <w:pPr>
        <w:spacing w:after="0" w:line="141" w:lineRule="exact"/>
        <w:rPr>
          <w:rFonts w:ascii="Arial" w:cs="Arial" w:eastAsia="Arial" w:hAnsi="Arial"/>
          <w:sz w:val="15"/>
          <w:szCs w:val="15"/>
          <w:color w:val="auto"/>
        </w:rPr>
      </w:pPr>
    </w:p>
    <w:p>
      <w:pPr>
        <w:jc w:val="both"/>
        <w:ind w:left="-40" w:right="20" w:firstLine="412"/>
        <w:spacing w:after="0" w:line="257" w:lineRule="auto"/>
        <w:tabs>
          <w:tab w:leader="none" w:pos="537"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by the provisions hereof to be given to a holder of shares of Preferred Stock shall be deemed sent to such holder if deposited in the United States mail, postage prepaid, and addressed to such holder at his, her or its address appearing on the books of the Corporation or given by electronic communication in compliance with the provisions of General Corporation Law.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180"/>
          </w:cols>
          <w:pgMar w:left="860" w:top="265" w:right="859" w:bottom="1440" w:gutter="0" w:footer="0" w:header="0"/>
        </w:sectPr>
      </w:pPr>
    </w:p>
    <w:bookmarkStart w:id="307" w:name="page308"/>
    <w:bookmarkEnd w:id="307"/>
    <w:p>
      <w:pPr>
        <w:ind w:left="4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FIFTH</w:t>
      </w:r>
      <w:r>
        <w:rPr>
          <w:rFonts w:ascii="Arial" w:cs="Arial" w:eastAsia="Arial" w:hAnsi="Arial"/>
          <w:sz w:val="17"/>
          <w:szCs w:val="17"/>
          <w:color w:val="auto"/>
        </w:rPr>
        <w:t>: The Corporation is to have perpetual existence.</w:t>
      </w:r>
    </w:p>
    <w:p>
      <w:pPr>
        <w:spacing w:after="0" w:line="206" w:lineRule="exact"/>
        <w:rPr>
          <w:sz w:val="20"/>
          <w:szCs w:val="20"/>
          <w:color w:val="auto"/>
        </w:rPr>
      </w:pPr>
    </w:p>
    <w:p>
      <w:pPr>
        <w:jc w:val="both"/>
        <w:ind w:right="80" w:firstLine="409"/>
        <w:spacing w:after="0" w:line="307" w:lineRule="auto"/>
        <w:rPr>
          <w:sz w:val="20"/>
          <w:szCs w:val="20"/>
          <w:color w:val="auto"/>
        </w:rPr>
      </w:pPr>
      <w:r>
        <w:rPr>
          <w:rFonts w:ascii="Arial" w:cs="Arial" w:eastAsia="Arial" w:hAnsi="Arial"/>
          <w:sz w:val="15"/>
          <w:szCs w:val="15"/>
          <w:u w:val="single" w:color="auto"/>
          <w:color w:val="auto"/>
        </w:rPr>
        <w:t>SIXTH</w:t>
      </w:r>
      <w:r>
        <w:rPr>
          <w:rFonts w:ascii="Arial" w:cs="Arial" w:eastAsia="Arial" w:hAnsi="Arial"/>
          <w:sz w:val="15"/>
          <w:szCs w:val="15"/>
          <w:color w:val="auto"/>
        </w:rPr>
        <w:t>: Meetings of shareholders may be held within or without the State of Delaware, as the bylaws provide. The books of the Corporation may be kept outside the State of Delaware at the main office of the Corporation or such place or places as may be designated from time to time by the Board of Directors or in the bylaws of the Corporation. Elections of directors need not be by written ballot unless the bylaws of the Corporation so provide.</w:t>
      </w:r>
    </w:p>
    <w:p>
      <w:pPr>
        <w:spacing w:after="0" w:line="141"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u w:val="single" w:color="auto"/>
          <w:color w:val="auto"/>
        </w:rPr>
        <w:t>SEVENTH</w:t>
      </w:r>
      <w:r>
        <w:rPr>
          <w:rFonts w:ascii="Arial" w:cs="Arial" w:eastAsia="Arial" w:hAnsi="Arial"/>
          <w:sz w:val="17"/>
          <w:szCs w:val="17"/>
          <w:color w:val="auto"/>
        </w:rPr>
        <w:t>: The Board of Directors of the Corporation is expressly authorized to exercise all powers granted to the directors by law except insofar as such powers are limited or denied herein or in the bylaws of the Corporation. In furtherance of such powers, the Board of Directors is expressly authorized to adopt, amend or repeal the bylaws of the Corporation.</w:t>
      </w:r>
    </w:p>
    <w:p>
      <w:pPr>
        <w:spacing w:after="0" w:line="175" w:lineRule="exact"/>
        <w:rPr>
          <w:sz w:val="20"/>
          <w:szCs w:val="20"/>
          <w:color w:val="auto"/>
        </w:rPr>
      </w:pPr>
    </w:p>
    <w:p>
      <w:pPr>
        <w:ind w:right="220" w:firstLine="409"/>
        <w:spacing w:after="0" w:line="287" w:lineRule="auto"/>
        <w:rPr>
          <w:sz w:val="20"/>
          <w:szCs w:val="20"/>
          <w:color w:val="auto"/>
        </w:rPr>
      </w:pPr>
      <w:r>
        <w:rPr>
          <w:rFonts w:ascii="Arial" w:cs="Arial" w:eastAsia="Arial" w:hAnsi="Arial"/>
          <w:sz w:val="15"/>
          <w:szCs w:val="15"/>
          <w:u w:val="single" w:color="auto"/>
          <w:color w:val="auto"/>
        </w:rPr>
        <w:t>EIGHTH</w:t>
      </w:r>
      <w:r>
        <w:rPr>
          <w:rFonts w:ascii="Arial" w:cs="Arial" w:eastAsia="Arial" w:hAnsi="Arial"/>
          <w:sz w:val="15"/>
          <w:szCs w:val="15"/>
          <w:color w:val="auto"/>
        </w:rPr>
        <w: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or (iv) for any transaction from which the director derived any improper personal benefit. If the General Corporation Law is amended after the effective date of this Amended and Restated Certificate of Incorporation to authorize corporate action further eliminating or limiting the personal liability of directors, then the liability of a director of the Corporation shall be eliminated or limited to the fullest extent permitted by the General Corporation Law. No amendment, modification or repeal of this Article shall adversely affect the rights and protection afforded to a director of the Corporation under this Article for acts or omissions occurring prior to such amendment modification or repeal.</w:t>
      </w:r>
    </w:p>
    <w:p>
      <w:pPr>
        <w:spacing w:after="0" w:line="157" w:lineRule="exact"/>
        <w:rPr>
          <w:sz w:val="20"/>
          <w:szCs w:val="20"/>
          <w:color w:val="auto"/>
        </w:rPr>
      </w:pPr>
    </w:p>
    <w:p>
      <w:pPr>
        <w:ind w:right="60" w:firstLine="409"/>
        <w:spacing w:after="0" w:line="290" w:lineRule="auto"/>
        <w:rPr>
          <w:sz w:val="20"/>
          <w:szCs w:val="20"/>
          <w:color w:val="auto"/>
        </w:rPr>
      </w:pPr>
      <w:r>
        <w:rPr>
          <w:rFonts w:ascii="Arial" w:cs="Arial" w:eastAsia="Arial" w:hAnsi="Arial"/>
          <w:sz w:val="15"/>
          <w:szCs w:val="15"/>
          <w:u w:val="single" w:color="auto"/>
          <w:color w:val="auto"/>
        </w:rPr>
        <w:t>NINTH</w:t>
      </w:r>
      <w:r>
        <w:rPr>
          <w:rFonts w:ascii="Arial" w:cs="Arial" w:eastAsia="Arial" w:hAnsi="Arial"/>
          <w:sz w:val="15"/>
          <w:szCs w:val="15"/>
          <w:color w:val="auto"/>
        </w:rPr>
        <w:t>: The Corporation shall, to the fullest extent permitted by the General Corporation Law, as amended from time to time, indemnify each person who was or is a party or is threatened to be made a party to any threatened, pending or completed action, suit or proceeding, whether civil, criminal, administrative or investigative, by reason of the fact that he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against expenses (including attorneys’ fees), judgments, fines and amounts paid in settlement actually and reasonably incurred by him or on his behalf in connection with such action, suit or proceeding and any appeal therefrom.</w:t>
      </w:r>
    </w:p>
    <w:p>
      <w:pPr>
        <w:spacing w:after="0" w:line="155" w:lineRule="exact"/>
        <w:rPr>
          <w:sz w:val="20"/>
          <w:szCs w:val="20"/>
          <w:color w:val="auto"/>
        </w:rPr>
      </w:pPr>
    </w:p>
    <w:p>
      <w:pPr>
        <w:ind w:right="60" w:firstLine="1331"/>
        <w:spacing w:after="0" w:line="253" w:lineRule="auto"/>
        <w:rPr>
          <w:sz w:val="20"/>
          <w:szCs w:val="20"/>
          <w:color w:val="auto"/>
        </w:rPr>
      </w:pPr>
      <w:r>
        <w:rPr>
          <w:rFonts w:ascii="Arial" w:cs="Arial" w:eastAsia="Arial" w:hAnsi="Arial"/>
          <w:sz w:val="17"/>
          <w:szCs w:val="17"/>
          <w:color w:val="auto"/>
        </w:rPr>
        <w:t>Indemnification may include payment by the Corporation in defending an action or proceeding in advance of the final disposition of such action or proceeding upon receipt of any undertaking by the person indemnified to repay such payment if it is ultimately determined that such person is not entitled to indemnification under this Article, which undertaking may be accepted without reference to the financial ability of such person to make such repayments.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240"/>
          </w:cols>
          <w:pgMar w:left="820" w:top="265" w:right="839" w:bottom="1440" w:gutter="0" w:footer="0" w:header="0"/>
        </w:sectPr>
      </w:pPr>
    </w:p>
    <w:bookmarkStart w:id="308" w:name="page309"/>
    <w:bookmarkEnd w:id="308"/>
    <w:p>
      <w:pPr>
        <w:ind w:right="380" w:firstLine="133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Corporation shall not indemnify any such person seeking indemnification in connection with a proceeding (or part thereof) initiated by such person unless the initiation thereof was approved by the Board of Directors.</w:t>
      </w:r>
    </w:p>
    <w:p>
      <w:pPr>
        <w:spacing w:after="0" w:line="166" w:lineRule="exact"/>
        <w:rPr>
          <w:sz w:val="20"/>
          <w:szCs w:val="20"/>
          <w:color w:val="auto"/>
        </w:rPr>
      </w:pPr>
    </w:p>
    <w:p>
      <w:pPr>
        <w:ind w:firstLine="1331"/>
        <w:spacing w:after="0" w:line="251" w:lineRule="auto"/>
        <w:rPr>
          <w:sz w:val="20"/>
          <w:szCs w:val="20"/>
          <w:color w:val="auto"/>
        </w:rPr>
      </w:pPr>
      <w:r>
        <w:rPr>
          <w:rFonts w:ascii="Arial" w:cs="Arial" w:eastAsia="Arial" w:hAnsi="Arial"/>
          <w:sz w:val="17"/>
          <w:szCs w:val="17"/>
          <w:color w:val="auto"/>
        </w:rPr>
        <w:t>The indemnifications rights provided in this Article (A) shall not be deemed exclusive of any other rights to which those indemnified may be entitled under any law, agreement or vote of stockholders or disinterested directors or otherwise, and (B) shall inure to the benefit of the heirs, executors and administrators of such persons.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w:t>
      </w:r>
    </w:p>
    <w:p>
      <w:pPr>
        <w:spacing w:after="0" w:line="183" w:lineRule="exact"/>
        <w:rPr>
          <w:sz w:val="20"/>
          <w:szCs w:val="20"/>
          <w:color w:val="auto"/>
        </w:rPr>
      </w:pPr>
    </w:p>
    <w:p>
      <w:pPr>
        <w:ind w:right="520" w:firstLine="1331"/>
        <w:spacing w:after="0" w:line="268" w:lineRule="auto"/>
        <w:rPr>
          <w:sz w:val="20"/>
          <w:szCs w:val="20"/>
          <w:color w:val="auto"/>
        </w:rPr>
      </w:pPr>
      <w:r>
        <w:rPr>
          <w:rFonts w:ascii="Arial" w:cs="Arial" w:eastAsia="Arial" w:hAnsi="Arial"/>
          <w:sz w:val="17"/>
          <w:szCs w:val="17"/>
          <w:color w:val="auto"/>
        </w:rPr>
        <w:t>Any person seeking indemnification under this Article shall be deemed to have met the standard of conduct required for such indemnification unless the contrary shall be established.</w:t>
      </w:r>
    </w:p>
    <w:p>
      <w:pPr>
        <w:spacing w:after="0" w:line="166" w:lineRule="exact"/>
        <w:rPr>
          <w:sz w:val="20"/>
          <w:szCs w:val="20"/>
          <w:color w:val="auto"/>
        </w:rPr>
      </w:pPr>
    </w:p>
    <w:p>
      <w:pPr>
        <w:ind w:right="60" w:firstLine="1331"/>
        <w:spacing w:after="0" w:line="268" w:lineRule="auto"/>
        <w:rPr>
          <w:sz w:val="20"/>
          <w:szCs w:val="20"/>
          <w:color w:val="auto"/>
        </w:rPr>
      </w:pPr>
      <w:r>
        <w:rPr>
          <w:rFonts w:ascii="Arial" w:cs="Arial" w:eastAsia="Arial" w:hAnsi="Arial"/>
          <w:sz w:val="17"/>
          <w:szCs w:val="17"/>
          <w:color w:val="auto"/>
        </w:rPr>
        <w:t>Any amendment or repeal of the provisions of this Article shall not adversely affect any right or protection of a director or officer of this Corporation with respect to any act or omission of such director or officer occurring prior to such amendment or appeal.</w:t>
      </w:r>
    </w:p>
    <w:p>
      <w:pPr>
        <w:spacing w:after="0" w:line="166" w:lineRule="exact"/>
        <w:rPr>
          <w:sz w:val="20"/>
          <w:szCs w:val="20"/>
          <w:color w:val="auto"/>
        </w:rPr>
      </w:pPr>
    </w:p>
    <w:p>
      <w:pPr>
        <w:ind w:firstLine="409"/>
        <w:spacing w:after="0" w:line="285" w:lineRule="auto"/>
        <w:rPr>
          <w:sz w:val="20"/>
          <w:szCs w:val="20"/>
          <w:color w:val="auto"/>
        </w:rPr>
      </w:pPr>
      <w:r>
        <w:rPr>
          <w:rFonts w:ascii="Arial" w:cs="Arial" w:eastAsia="Arial" w:hAnsi="Arial"/>
          <w:sz w:val="15"/>
          <w:szCs w:val="15"/>
          <w:u w:val="single" w:color="auto"/>
          <w:color w:val="auto"/>
        </w:rPr>
        <w:t>TENTH</w:t>
      </w:r>
      <w:r>
        <w:rPr>
          <w:rFonts w:ascii="Arial" w:cs="Arial" w:eastAsia="Arial" w:hAnsi="Arial"/>
          <w:sz w:val="15"/>
          <w:szCs w:val="15"/>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(i) any director of the Corporation who is not an employee of the Corporation or any of its subsidiaries, or</w:t>
      </w:r>
    </w:p>
    <w:p>
      <w:pPr>
        <w:jc w:val="both"/>
        <w:ind w:right="120" w:firstLine="3"/>
        <w:spacing w:after="0" w:line="248" w:lineRule="auto"/>
        <w:tabs>
          <w:tab w:leader="none" w:pos="246"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7"/>
          <w:szCs w:val="17"/>
          <w:u w:val="single" w:color="auto"/>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4" w:lineRule="exact"/>
        <w:rPr>
          <w:sz w:val="20"/>
          <w:szCs w:val="20"/>
          <w:color w:val="auto"/>
        </w:rPr>
      </w:pPr>
    </w:p>
    <w:p>
      <w:pPr>
        <w:ind w:right="40" w:firstLine="409"/>
        <w:spacing w:after="0" w:line="271" w:lineRule="auto"/>
        <w:rPr>
          <w:sz w:val="20"/>
          <w:szCs w:val="20"/>
          <w:color w:val="auto"/>
        </w:rPr>
      </w:pPr>
      <w:r>
        <w:rPr>
          <w:rFonts w:ascii="Arial" w:cs="Arial" w:eastAsia="Arial" w:hAnsi="Arial"/>
          <w:sz w:val="16"/>
          <w:szCs w:val="16"/>
          <w:u w:val="single" w:color="auto"/>
          <w:color w:val="auto"/>
        </w:rPr>
        <w:t>ELEVENTH</w:t>
      </w:r>
      <w:r>
        <w:rPr>
          <w:rFonts w:ascii="Arial" w:cs="Arial" w:eastAsia="Arial" w:hAnsi="Arial"/>
          <w:sz w:val="16"/>
          <w:szCs w:val="16"/>
          <w:color w:val="auto"/>
        </w:rPr>
        <w:t>: The Corporation reserves the right at any time, and from time to time, to amend, alter, change or repeal any provision contained in this Amended and Restated Certificate of Incorporation, and to add or insert other provisions authorized by the laws of the State of Delaware at the time in force, in the manner now or hereafter prescribe by law; and all rights, preferences and privileges of whatsoever nature conferred upon stockholders, directors or any other persons whomsoever by and pursuant to this Amended and Restated Certificate of Incorporation in its present form or as hereafter amended are granted subject to the rights reserved in this Article.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240"/>
          </w:cols>
          <w:pgMar w:left="820" w:top="265" w:right="839" w:bottom="1440" w:gutter="0" w:footer="0" w:header="0"/>
        </w:sectPr>
      </w:pPr>
    </w:p>
    <w:bookmarkStart w:id="309" w:name="page310"/>
    <w:bookmarkEnd w:id="309"/>
    <w:p>
      <w:pPr>
        <w:ind w:firstLine="40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WITNESS WHEREOF, the Corporation has caused this Amended and Restated Certificate of Incorporation to be signed by its President and Chief Executive Officer on this 10</w:t>
      </w:r>
      <w:r>
        <w:rPr>
          <w:rFonts w:ascii="Arial" w:cs="Arial" w:eastAsia="Arial" w:hAnsi="Arial"/>
          <w:sz w:val="14"/>
          <w:szCs w:val="14"/>
          <w:color w:val="auto"/>
        </w:rPr>
        <w:t>th</w:t>
      </w:r>
      <w:r>
        <w:rPr>
          <w:rFonts w:ascii="Arial" w:cs="Arial" w:eastAsia="Arial" w:hAnsi="Arial"/>
          <w:sz w:val="17"/>
          <w:szCs w:val="17"/>
          <w:color w:val="auto"/>
        </w:rPr>
        <w:t xml:space="preserve"> day of January, 2020.</w:t>
      </w:r>
    </w:p>
    <w:p>
      <w:pPr>
        <w:spacing w:after="0" w:line="19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/s/ Maria Palasis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11430</wp:posOffset>
            </wp:positionV>
            <wp:extent cx="25984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 Maria Palasis</w:t>
      </w:r>
    </w:p>
    <w:p>
      <w:pPr>
        <w:spacing w:after="0" w:line="18" w:lineRule="exact"/>
        <w:rPr>
          <w:sz w:val="20"/>
          <w:szCs w:val="20"/>
          <w:color w:val="auto"/>
        </w:rPr>
      </w:pPr>
    </w:p>
    <w:p>
      <w:pPr>
        <w:ind w:left="6160"/>
        <w:spacing w:after="0"/>
        <w:tabs>
          <w:tab w:leader="none" w:pos="6680" w:val="left"/>
        </w:tabs>
        <w:rPr>
          <w:sz w:val="20"/>
          <w:szCs w:val="20"/>
          <w:color w:val="auto"/>
        </w:rPr>
      </w:pPr>
      <w:r>
        <w:rPr>
          <w:rFonts w:ascii="Arial" w:cs="Arial" w:eastAsia="Arial" w:hAnsi="Arial"/>
          <w:sz w:val="17"/>
          <w:szCs w:val="17"/>
          <w:color w:val="auto"/>
        </w:rPr>
        <w:t>Title:</w:t>
        <w:tab/>
        <w:t>President and Chief Executive Officer,</w:t>
      </w:r>
    </w:p>
    <w:p>
      <w:pPr>
        <w:spacing w:after="0" w:line="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Lyra Therapeutics, Inc.</w:t>
      </w:r>
    </w:p>
    <w:p>
      <w:pPr>
        <w:sectPr>
          <w:pgSz w:w="11900" w:h="16838" w:orient="portrait"/>
          <w:cols w:equalWidth="0" w:num="1">
            <w:col w:w="10060"/>
          </w:cols>
          <w:pgMar w:left="820" w:top="265" w:right="1019" w:bottom="1440" w:gutter="0" w:footer="0" w:header="0"/>
        </w:sectPr>
      </w:pPr>
    </w:p>
    <w:bookmarkStart w:id="310" w:name="page311"/>
    <w:bookmarkEnd w:id="310"/>
    <w:p>
      <w:pPr>
        <w:jc w:val="center"/>
        <w:ind w:right="6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State of Delaware</w:t>
      </w:r>
    </w:p>
    <w:p>
      <w:pPr>
        <w:spacing w:after="0" w:line="18" w:lineRule="exact"/>
        <w:rPr>
          <w:sz w:val="20"/>
          <w:szCs w:val="20"/>
          <w:color w:val="auto"/>
        </w:rPr>
      </w:pPr>
    </w:p>
    <w:p>
      <w:pPr>
        <w:jc w:val="center"/>
        <w:ind w:right="6640"/>
        <w:spacing w:after="0"/>
        <w:rPr>
          <w:sz w:val="20"/>
          <w:szCs w:val="20"/>
          <w:color w:val="auto"/>
        </w:rPr>
      </w:pPr>
      <w:r>
        <w:rPr>
          <w:rFonts w:ascii="Arial" w:cs="Arial" w:eastAsia="Arial" w:hAnsi="Arial"/>
          <w:sz w:val="17"/>
          <w:szCs w:val="17"/>
          <w:color w:val="auto"/>
        </w:rPr>
        <w:t>Secretary of State</w:t>
      </w:r>
    </w:p>
    <w:p>
      <w:pPr>
        <w:spacing w:after="0" w:line="5" w:lineRule="exact"/>
        <w:rPr>
          <w:sz w:val="20"/>
          <w:szCs w:val="20"/>
          <w:color w:val="auto"/>
        </w:rPr>
      </w:pPr>
    </w:p>
    <w:p>
      <w:pPr>
        <w:jc w:val="center"/>
        <w:ind w:right="6640"/>
        <w:spacing w:after="0"/>
        <w:rPr>
          <w:sz w:val="20"/>
          <w:szCs w:val="20"/>
          <w:color w:val="auto"/>
        </w:rPr>
      </w:pPr>
      <w:r>
        <w:rPr>
          <w:rFonts w:ascii="Arial" w:cs="Arial" w:eastAsia="Arial" w:hAnsi="Arial"/>
          <w:sz w:val="17"/>
          <w:szCs w:val="17"/>
          <w:color w:val="auto"/>
        </w:rPr>
        <w:t>Division of Corporation</w:t>
      </w:r>
    </w:p>
    <w:p>
      <w:pPr>
        <w:spacing w:after="0" w:line="5" w:lineRule="exact"/>
        <w:rPr>
          <w:sz w:val="20"/>
          <w:szCs w:val="20"/>
          <w:color w:val="auto"/>
        </w:rPr>
      </w:pPr>
    </w:p>
    <w:p>
      <w:pPr>
        <w:jc w:val="center"/>
        <w:ind w:right="6640"/>
        <w:spacing w:after="0"/>
        <w:rPr>
          <w:sz w:val="20"/>
          <w:szCs w:val="20"/>
          <w:color w:val="auto"/>
        </w:rPr>
      </w:pPr>
      <w:r>
        <w:rPr>
          <w:rFonts w:ascii="Arial" w:cs="Arial" w:eastAsia="Arial" w:hAnsi="Arial"/>
          <w:sz w:val="17"/>
          <w:szCs w:val="17"/>
          <w:color w:val="auto"/>
        </w:rPr>
        <w:t>Delivered 11:55 AM 02/10/2020</w:t>
      </w:r>
    </w:p>
    <w:p>
      <w:pPr>
        <w:spacing w:after="0" w:line="5" w:lineRule="exact"/>
        <w:rPr>
          <w:sz w:val="20"/>
          <w:szCs w:val="20"/>
          <w:color w:val="auto"/>
        </w:rPr>
      </w:pPr>
    </w:p>
    <w:p>
      <w:pPr>
        <w:jc w:val="center"/>
        <w:ind w:right="6640"/>
        <w:spacing w:after="0"/>
        <w:rPr>
          <w:sz w:val="20"/>
          <w:szCs w:val="20"/>
          <w:color w:val="auto"/>
        </w:rPr>
      </w:pPr>
      <w:r>
        <w:rPr>
          <w:rFonts w:ascii="Arial" w:cs="Arial" w:eastAsia="Arial" w:hAnsi="Arial"/>
          <w:sz w:val="17"/>
          <w:szCs w:val="17"/>
          <w:color w:val="auto"/>
        </w:rPr>
        <w:t>FILED 11:55 AM 02/10/2020</w:t>
      </w:r>
    </w:p>
    <w:p>
      <w:pPr>
        <w:spacing w:after="0" w:line="5" w:lineRule="exact"/>
        <w:rPr>
          <w:sz w:val="20"/>
          <w:szCs w:val="20"/>
          <w:color w:val="auto"/>
        </w:rPr>
      </w:pPr>
    </w:p>
    <w:p>
      <w:pPr>
        <w:jc w:val="center"/>
        <w:ind w:right="6640"/>
        <w:spacing w:after="0"/>
        <w:rPr>
          <w:sz w:val="20"/>
          <w:szCs w:val="20"/>
          <w:color w:val="auto"/>
        </w:rPr>
      </w:pPr>
      <w:r>
        <w:rPr>
          <w:rFonts w:ascii="Arial" w:cs="Arial" w:eastAsia="Arial" w:hAnsi="Arial"/>
          <w:sz w:val="17"/>
          <w:szCs w:val="17"/>
          <w:color w:val="auto"/>
        </w:rPr>
        <w:t>SR 20201614973 - File Number 4064768</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VALIDATION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LYRA THERAPEUTICS,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Pursuant to Section 204 of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General Corporation Law of the State of Delaware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Lyra Therapeutics, Inc., a corporation existing under the laws of the State of Delaware (the “Corporation”), certifies that:</w:t>
      </w:r>
    </w:p>
    <w:p>
      <w:pPr>
        <w:spacing w:after="0" w:line="106" w:lineRule="exact"/>
        <w:rPr>
          <w:sz w:val="20"/>
          <w:szCs w:val="20"/>
          <w:color w:val="auto"/>
        </w:rPr>
      </w:pPr>
    </w:p>
    <w:p>
      <w:pPr>
        <w:ind w:right="100" w:firstLine="412"/>
        <w:spacing w:after="0" w:line="335" w:lineRule="auto"/>
        <w:tabs>
          <w:tab w:leader="none" w:pos="577" w:val="left"/>
        </w:tabs>
        <w:numPr>
          <w:ilvl w:val="0"/>
          <w:numId w:val="258"/>
        </w:numPr>
        <w:rPr>
          <w:rFonts w:ascii="Arial" w:cs="Arial" w:eastAsia="Arial" w:hAnsi="Arial"/>
          <w:sz w:val="15"/>
          <w:szCs w:val="15"/>
          <w:color w:val="auto"/>
        </w:rPr>
      </w:pPr>
      <w:r>
        <w:rPr>
          <w:rFonts w:ascii="Arial" w:cs="Arial" w:eastAsia="Arial" w:hAnsi="Arial"/>
          <w:sz w:val="15"/>
          <w:szCs w:val="15"/>
          <w:color w:val="auto"/>
        </w:rPr>
        <w:t>The defective corporate act that is the subject of this Certificate of Validation is the filing and effectiveness of the Certificate of Amendment of the Corporation, as filed with the Secretary of State of the State of Delaware on November 16, 2011 (the “Certificate of Amendment”).</w:t>
      </w:r>
    </w:p>
    <w:p>
      <w:pPr>
        <w:spacing w:after="0" w:line="20" w:lineRule="exact"/>
        <w:rPr>
          <w:rFonts w:ascii="Arial" w:cs="Arial" w:eastAsia="Arial" w:hAnsi="Arial"/>
          <w:sz w:val="15"/>
          <w:szCs w:val="15"/>
          <w:color w:val="auto"/>
        </w:rPr>
      </w:pPr>
    </w:p>
    <w:p>
      <w:pPr>
        <w:ind w:right="240" w:firstLine="412"/>
        <w:spacing w:after="0" w:line="280" w:lineRule="auto"/>
        <w:tabs>
          <w:tab w:leader="none" w:pos="57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nature of the failure of authorization in respect of the filing and effectiveness of the Certificate of Amendment was the failure of the Certificate of Amendment to have been duly adopted by the Board of Directors of the Corporation and the stockholders of the Corporation entitled to vote thereon in accordance with Section 242 of the General Corporation Law of the State of Delaware (the “DGCL”).</w:t>
      </w:r>
    </w:p>
    <w:p>
      <w:pPr>
        <w:spacing w:after="0" w:line="58" w:lineRule="exact"/>
        <w:rPr>
          <w:rFonts w:ascii="Arial" w:cs="Arial" w:eastAsia="Arial" w:hAnsi="Arial"/>
          <w:sz w:val="16"/>
          <w:szCs w:val="16"/>
          <w:color w:val="auto"/>
        </w:rPr>
      </w:pPr>
    </w:p>
    <w:p>
      <w:pPr>
        <w:ind w:left="580" w:hanging="168"/>
        <w:spacing w:after="0"/>
        <w:tabs>
          <w:tab w:leader="none" w:pos="5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filing and effectiveness of the Certificate of Amendment was duly ratified in accordance with Section 204 of the DGCL pursuant to</w:t>
      </w:r>
    </w:p>
    <w:p>
      <w:pPr>
        <w:spacing w:after="0" w:line="29" w:lineRule="exact"/>
        <w:rPr>
          <w:rFonts w:ascii="Arial" w:cs="Arial" w:eastAsia="Arial" w:hAnsi="Arial"/>
          <w:sz w:val="16"/>
          <w:szCs w:val="16"/>
          <w:color w:val="auto"/>
        </w:rPr>
      </w:pPr>
    </w:p>
    <w:p>
      <w:pPr>
        <w:spacing w:after="0" w:line="283" w:lineRule="auto"/>
        <w:rPr>
          <w:rFonts w:ascii="Arial" w:cs="Arial" w:eastAsia="Arial" w:hAnsi="Arial"/>
          <w:sz w:val="16"/>
          <w:szCs w:val="16"/>
          <w:color w:val="auto"/>
        </w:rPr>
      </w:pPr>
      <w:r>
        <w:rPr>
          <w:rFonts w:ascii="Arial" w:cs="Arial" w:eastAsia="Arial" w:hAnsi="Arial"/>
          <w:sz w:val="16"/>
          <w:szCs w:val="16"/>
          <w:color w:val="auto"/>
        </w:rPr>
        <w:t>resolutions of the (i) Board of Directors of the Corporation adopted at a meeting on January 10, 2020 and (ii) stockholders of the Corporation adopted on January 10, 2020, with the stockholders acting by written consent in lieu of a meeting in accordance with Section 228 of the DGCL.</w:t>
      </w:r>
    </w:p>
    <w:p>
      <w:pPr>
        <w:spacing w:after="0" w:line="55" w:lineRule="exact"/>
        <w:rPr>
          <w:rFonts w:ascii="Arial" w:cs="Arial" w:eastAsia="Arial" w:hAnsi="Arial"/>
          <w:sz w:val="16"/>
          <w:szCs w:val="16"/>
          <w:color w:val="auto"/>
        </w:rPr>
      </w:pPr>
    </w:p>
    <w:p>
      <w:pPr>
        <w:ind w:right="40" w:firstLine="412"/>
        <w:spacing w:after="0" w:line="257" w:lineRule="auto"/>
        <w:tabs>
          <w:tab w:leader="none" w:pos="577"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The Certificate of Amendment was previously filed under Section 103 of the DGCL on November 16, 2011 and no changes are required to give effect to the defective corporate acts that are the subject of this Certificate of Validation. A copy of the Certificate of Amendment as previously filed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75" w:lineRule="exact"/>
        <w:rPr>
          <w:sz w:val="20"/>
          <w:szCs w:val="20"/>
          <w:color w:val="auto"/>
        </w:rPr>
      </w:pPr>
    </w:p>
    <w:p>
      <w:pPr>
        <w:ind w:right="660" w:firstLine="922"/>
        <w:spacing w:after="0" w:line="268" w:lineRule="auto"/>
        <w:rPr>
          <w:sz w:val="20"/>
          <w:szCs w:val="20"/>
          <w:color w:val="auto"/>
        </w:rPr>
      </w:pPr>
      <w:r>
        <w:rPr>
          <w:rFonts w:ascii="Arial" w:cs="Arial" w:eastAsia="Arial" w:hAnsi="Arial"/>
          <w:sz w:val="17"/>
          <w:szCs w:val="17"/>
          <w:color w:val="auto"/>
        </w:rPr>
        <w:t>In witness whereof, Lyra Therapeutics, Inc. has caused this Certificate of Validation to be signed by its duly authorized officer on January 14, 2020.</w:t>
      </w:r>
    </w:p>
    <w:p>
      <w:pPr>
        <w:spacing w:after="0" w:line="187"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/s/ Maria Palasis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11430</wp:posOffset>
            </wp:positionV>
            <wp:extent cx="23831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 Maria Palasis</w:t>
      </w:r>
    </w:p>
    <w:p>
      <w:pPr>
        <w:spacing w:after="0" w:line="18" w:lineRule="exact"/>
        <w:rPr>
          <w:sz w:val="20"/>
          <w:szCs w:val="20"/>
          <w:color w:val="auto"/>
        </w:rPr>
      </w:pPr>
    </w:p>
    <w:p>
      <w:pPr>
        <w:ind w:left="6160"/>
        <w:spacing w:after="0"/>
        <w:tabs>
          <w:tab w:leader="none" w:pos="6680" w:val="left"/>
        </w:tabs>
        <w:rPr>
          <w:sz w:val="20"/>
          <w:szCs w:val="20"/>
          <w:color w:val="auto"/>
        </w:rPr>
      </w:pPr>
      <w:r>
        <w:rPr>
          <w:rFonts w:ascii="Arial" w:cs="Arial" w:eastAsia="Arial" w:hAnsi="Arial"/>
          <w:sz w:val="17"/>
          <w:szCs w:val="17"/>
          <w:color w:val="auto"/>
        </w:rPr>
        <w:t>Title:</w:t>
        <w:tab/>
        <w:t>Chief Executive Officer</w:t>
      </w:r>
    </w:p>
    <w:p>
      <w:pPr>
        <w:sectPr>
          <w:pgSz w:w="11900" w:h="16838" w:orient="portrait"/>
          <w:cols w:equalWidth="0" w:num="1">
            <w:col w:w="10240"/>
          </w:cols>
          <w:pgMar w:left="820" w:top="265" w:right="8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AMENDMENT</w:t>
      </w:r>
    </w:p>
    <w:p>
      <w:pPr>
        <w:sectPr>
          <w:pgSz w:w="11900" w:h="16838" w:orient="portrait"/>
          <w:cols w:equalWidth="0" w:num="1">
            <w:col w:w="9019"/>
          </w:cols>
          <w:pgMar w:left="1440" w:top="261" w:right="1440" w:bottom="1440" w:gutter="0" w:footer="0" w:header="0"/>
        </w:sectPr>
      </w:pPr>
    </w:p>
    <w:bookmarkStart w:id="312" w:name="page313"/>
    <w:bookmarkEnd w:id="312"/>
    <w:p>
      <w:pPr>
        <w:jc w:val="center"/>
        <w:ind w:left="706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State of Delaware</w:t>
      </w:r>
    </w:p>
    <w:p>
      <w:pPr>
        <w:spacing w:after="0" w:line="18" w:lineRule="exact"/>
        <w:rPr>
          <w:sz w:val="20"/>
          <w:szCs w:val="20"/>
          <w:color w:val="auto"/>
        </w:rPr>
      </w:pPr>
    </w:p>
    <w:p>
      <w:pPr>
        <w:jc w:val="center"/>
        <w:ind w:left="7060"/>
        <w:spacing w:after="0"/>
        <w:rPr>
          <w:sz w:val="20"/>
          <w:szCs w:val="20"/>
          <w:color w:val="auto"/>
        </w:rPr>
      </w:pPr>
      <w:r>
        <w:rPr>
          <w:rFonts w:ascii="Arial" w:cs="Arial" w:eastAsia="Arial" w:hAnsi="Arial"/>
          <w:sz w:val="17"/>
          <w:szCs w:val="17"/>
          <w:i w:val="1"/>
          <w:iCs w:val="1"/>
          <w:color w:val="auto"/>
        </w:rPr>
        <w:t>Secretary of State</w:t>
      </w:r>
    </w:p>
    <w:p>
      <w:pPr>
        <w:spacing w:after="0" w:line="5" w:lineRule="exact"/>
        <w:rPr>
          <w:sz w:val="20"/>
          <w:szCs w:val="20"/>
          <w:color w:val="auto"/>
        </w:rPr>
      </w:pPr>
    </w:p>
    <w:p>
      <w:pPr>
        <w:jc w:val="center"/>
        <w:ind w:left="7060"/>
        <w:spacing w:after="0"/>
        <w:rPr>
          <w:sz w:val="20"/>
          <w:szCs w:val="20"/>
          <w:color w:val="auto"/>
        </w:rPr>
      </w:pPr>
      <w:r>
        <w:rPr>
          <w:rFonts w:ascii="Arial" w:cs="Arial" w:eastAsia="Arial" w:hAnsi="Arial"/>
          <w:sz w:val="17"/>
          <w:szCs w:val="17"/>
          <w:i w:val="1"/>
          <w:iCs w:val="1"/>
          <w:color w:val="auto"/>
        </w:rPr>
        <w:t>Division of Corporations</w:t>
      </w:r>
    </w:p>
    <w:p>
      <w:pPr>
        <w:spacing w:after="0" w:line="5" w:lineRule="exact"/>
        <w:rPr>
          <w:sz w:val="20"/>
          <w:szCs w:val="20"/>
          <w:color w:val="auto"/>
        </w:rPr>
      </w:pPr>
    </w:p>
    <w:p>
      <w:pPr>
        <w:jc w:val="center"/>
        <w:ind w:left="7060"/>
        <w:spacing w:after="0"/>
        <w:rPr>
          <w:sz w:val="20"/>
          <w:szCs w:val="20"/>
          <w:color w:val="auto"/>
        </w:rPr>
      </w:pPr>
      <w:r>
        <w:rPr>
          <w:rFonts w:ascii="Arial" w:cs="Arial" w:eastAsia="Arial" w:hAnsi="Arial"/>
          <w:sz w:val="17"/>
          <w:szCs w:val="17"/>
          <w:i w:val="1"/>
          <w:iCs w:val="1"/>
          <w:color w:val="auto"/>
        </w:rPr>
        <w:t>Delivered 09:23 AM 11/16/2011</w:t>
      </w:r>
    </w:p>
    <w:p>
      <w:pPr>
        <w:spacing w:after="0" w:line="5" w:lineRule="exact"/>
        <w:rPr>
          <w:sz w:val="20"/>
          <w:szCs w:val="20"/>
          <w:color w:val="auto"/>
        </w:rPr>
      </w:pPr>
    </w:p>
    <w:p>
      <w:pPr>
        <w:jc w:val="center"/>
        <w:ind w:left="7060"/>
        <w:spacing w:after="0"/>
        <w:rPr>
          <w:sz w:val="20"/>
          <w:szCs w:val="20"/>
          <w:color w:val="auto"/>
        </w:rPr>
      </w:pPr>
      <w:r>
        <w:rPr>
          <w:rFonts w:ascii="Arial" w:cs="Arial" w:eastAsia="Arial" w:hAnsi="Arial"/>
          <w:sz w:val="17"/>
          <w:szCs w:val="17"/>
          <w:i w:val="1"/>
          <w:iCs w:val="1"/>
          <w:color w:val="auto"/>
        </w:rPr>
        <w:t>FILED 09:10 AM 11/16/2011</w:t>
      </w:r>
    </w:p>
    <w:p>
      <w:pPr>
        <w:spacing w:after="0" w:line="5" w:lineRule="exact"/>
        <w:rPr>
          <w:sz w:val="20"/>
          <w:szCs w:val="20"/>
          <w:color w:val="auto"/>
        </w:rPr>
      </w:pPr>
    </w:p>
    <w:p>
      <w:pPr>
        <w:jc w:val="center"/>
        <w:ind w:left="7060"/>
        <w:spacing w:after="0"/>
        <w:rPr>
          <w:sz w:val="20"/>
          <w:szCs w:val="20"/>
          <w:color w:val="auto"/>
        </w:rPr>
      </w:pPr>
      <w:r>
        <w:rPr>
          <w:rFonts w:ascii="Arial" w:cs="Arial" w:eastAsia="Arial" w:hAnsi="Arial"/>
          <w:sz w:val="17"/>
          <w:szCs w:val="17"/>
          <w:i w:val="1"/>
          <w:iCs w:val="1"/>
          <w:color w:val="auto"/>
        </w:rPr>
        <w:t>SRV 111201289 – 4064768 FILE</w:t>
      </w:r>
    </w:p>
    <w:p>
      <w:pPr>
        <w:spacing w:after="0" w:line="203"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CERTIFICATE OF AMENDMENT</w:t>
      </w:r>
    </w:p>
    <w:p>
      <w:pPr>
        <w:spacing w:after="0" w:line="106"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TO THE</w:t>
      </w:r>
    </w:p>
    <w:p>
      <w:pPr>
        <w:spacing w:after="0" w:line="106"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AMENDED AND RESTATED CERTIFICATE OF INCORPORATION</w:t>
      </w:r>
    </w:p>
    <w:p>
      <w:pPr>
        <w:spacing w:after="0" w:line="106"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OF</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ARSENAL VASCULAR, INC.</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Arsenal Vascular, Inc. (hereinafter called the (“Corporation”), organized and existing under and by virtue of the General Corporation Law of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State of Delaware, does hereby certify as follows:</w:t>
      </w:r>
    </w:p>
    <w:p>
      <w:pPr>
        <w:spacing w:after="0" w:line="194" w:lineRule="exact"/>
        <w:rPr>
          <w:sz w:val="20"/>
          <w:szCs w:val="20"/>
          <w:color w:val="auto"/>
        </w:rPr>
      </w:pPr>
    </w:p>
    <w:p>
      <w:pPr>
        <w:ind w:firstLine="409"/>
        <w:spacing w:after="0" w:line="298" w:lineRule="auto"/>
        <w:rPr>
          <w:sz w:val="20"/>
          <w:szCs w:val="20"/>
          <w:color w:val="auto"/>
        </w:rPr>
      </w:pPr>
      <w:r>
        <w:rPr>
          <w:rFonts w:ascii="Arial" w:cs="Arial" w:eastAsia="Arial" w:hAnsi="Arial"/>
          <w:sz w:val="15"/>
          <w:szCs w:val="15"/>
          <w:color w:val="auto"/>
        </w:rPr>
        <w:t>The Board of Directors of the Corporation duly adopted by written consent a resolution, pursuant to Section 141(f) of the General Corporation Law of the State of Delaware, setting forth an amendment to the Amended and Restated Certificate of Incorporation of the Corporation, and declaring said amendment to be advisable. The stockholders of the Corporation duly approved said proposed amendment in accordance with Sections 228 and 242 of the General Corporation Law of the State of Delaware by written consent. The resolution setting forth the amendment is as follows: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RESOLVED: That the Amended and Restated Certificate of Incorporation of the Corporation (the “Certificate”) be amended as follows: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Article FIRST of the Certificate is amended and restated in its entirety to read as follows:</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w:t>
      </w:r>
      <w:r>
        <w:rPr>
          <w:rFonts w:ascii="Arial" w:cs="Arial" w:eastAsia="Arial" w:hAnsi="Arial"/>
          <w:sz w:val="17"/>
          <w:szCs w:val="17"/>
          <w:color w:val="auto"/>
        </w:rPr>
        <w:t>” The name of the Corporation is 480 Biomedical, Inc. (the “corporation”).</w:t>
      </w:r>
    </w:p>
    <w:p>
      <w:pPr>
        <w:sectPr>
          <w:pgSz w:w="11900" w:h="16838" w:orient="portrait"/>
          <w:cols w:equalWidth="0" w:num="1">
            <w:col w:w="10220"/>
          </w:cols>
          <w:pgMar w:left="820" w:top="265" w:right="859" w:bottom="1440" w:gutter="0" w:footer="0" w:header="0"/>
        </w:sectPr>
      </w:pPr>
    </w:p>
    <w:bookmarkStart w:id="313" w:name="page314"/>
    <w:bookmarkEnd w:id="313"/>
    <w:p>
      <w:pPr>
        <w:ind w:firstLine="40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the Corporation has caused this amendment to its Amended and Restated Certificate of Incorporation to be signed of this 16</w:t>
      </w:r>
      <w:r>
        <w:rPr>
          <w:rFonts w:ascii="Arial" w:cs="Arial" w:eastAsia="Arial" w:hAnsi="Arial"/>
          <w:sz w:val="14"/>
          <w:szCs w:val="14"/>
          <w:color w:val="auto"/>
        </w:rPr>
        <w:t>th</w:t>
      </w:r>
      <w:r>
        <w:rPr>
          <w:rFonts w:ascii="Arial" w:cs="Arial" w:eastAsia="Arial" w:hAnsi="Arial"/>
          <w:sz w:val="17"/>
          <w:szCs w:val="17"/>
          <w:color w:val="auto"/>
        </w:rPr>
        <w:t xml:space="preserve"> day on November, 2011.</w:t>
      </w:r>
    </w:p>
    <w:p>
      <w:pPr>
        <w:spacing w:after="0" w:line="187"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ARSENAL VASCULAR, INC.</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/s/ Earl M. Collier,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11430</wp:posOffset>
            </wp:positionV>
            <wp:extent cx="23831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 Earl M. Collier, Jr.</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Title: President</w:t>
      </w:r>
    </w:p>
    <w:p>
      <w:pPr>
        <w:sectPr>
          <w:pgSz w:w="11900" w:h="16838" w:orient="portrait"/>
          <w:cols w:equalWidth="0" w:num="1">
            <w:col w:w="10080"/>
          </w:cols>
          <w:pgMar w:left="820" w:top="265" w:right="999" w:bottom="1440" w:gutter="0" w:footer="0" w:header="0"/>
        </w:sectPr>
      </w:pPr>
    </w:p>
    <w:bookmarkStart w:id="314" w:name="page315"/>
    <w:bookmarkEnd w:id="314"/>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CERTIFICATE OF AMENDMENT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TO</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AMENDED AND RESTATED CERTIFICATE OF INCORPORATION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ind w:right="200" w:firstLine="409"/>
        <w:spacing w:after="0" w:line="268" w:lineRule="auto"/>
        <w:rPr>
          <w:sz w:val="20"/>
          <w:szCs w:val="20"/>
          <w:color w:val="auto"/>
        </w:rPr>
      </w:pPr>
      <w:r>
        <w:rPr>
          <w:rFonts w:ascii="Arial" w:cs="Arial" w:eastAsia="Arial" w:hAnsi="Arial"/>
          <w:sz w:val="17"/>
          <w:szCs w:val="17"/>
          <w:color w:val="auto"/>
        </w:rPr>
        <w:t>Lyra Therapeutics, Inc., a corporation organized and existing under and by virtue of the General Corporation Law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w:t>
      </w:r>
    </w:p>
    <w:p>
      <w:pPr>
        <w:spacing w:after="0" w:line="191" w:lineRule="exact"/>
        <w:rPr>
          <w:sz w:val="20"/>
          <w:szCs w:val="20"/>
          <w:color w:val="auto"/>
        </w:rPr>
      </w:pPr>
    </w:p>
    <w:p>
      <w:pPr>
        <w:ind w:left="820" w:right="500" w:hanging="815"/>
        <w:spacing w:after="0" w:line="257" w:lineRule="auto"/>
        <w:tabs>
          <w:tab w:leader="none" w:pos="800" w:val="left"/>
        </w:tabs>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That the Board of Directors of the Corporation duly adopted resolutions at a meeting recommending and declaring advisable that the Amended and Restated Certificate of Incorporation of the Corporation be amended and that such amendments be submitted to the stockholders of the Corporation for their consideration, as follows:</w:t>
      </w:r>
    </w:p>
    <w:p>
      <w:pPr>
        <w:spacing w:after="0" w:line="71" w:lineRule="exact"/>
        <w:rPr>
          <w:sz w:val="20"/>
          <w:szCs w:val="20"/>
          <w:color w:val="auto"/>
        </w:rPr>
      </w:pPr>
    </w:p>
    <w:p>
      <w:pPr>
        <w:ind w:left="820" w:right="160" w:firstLine="377"/>
        <w:spacing w:after="0" w:line="273"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first and second paragraphs of Article FOURTH of the Amended and Restated Certificate of Incorporation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be amended and restated in their entirety to read as follows:</w:t>
      </w:r>
    </w:p>
    <w:p>
      <w:pPr>
        <w:spacing w:after="0" w:line="61" w:lineRule="exact"/>
        <w:rPr>
          <w:sz w:val="20"/>
          <w:szCs w:val="20"/>
          <w:color w:val="auto"/>
        </w:rPr>
      </w:pPr>
    </w:p>
    <w:p>
      <w:pPr>
        <w:ind w:left="1240"/>
        <w:spacing w:after="0" w:line="264" w:lineRule="auto"/>
        <w:rPr>
          <w:sz w:val="20"/>
          <w:szCs w:val="20"/>
          <w:color w:val="auto"/>
        </w:rPr>
      </w:pPr>
      <w:r>
        <w:rPr>
          <w:rFonts w:ascii="Arial" w:cs="Arial" w:eastAsia="Arial" w:hAnsi="Arial"/>
          <w:sz w:val="16"/>
          <w:szCs w:val="16"/>
          <w:color w:val="auto"/>
        </w:rPr>
        <w:t>“Effective on the filing of this Certificate of Amendment to Amended and Restated Certificate of Incorporation with the Secretary of State of the State of Delaware (the “</w:t>
      </w:r>
      <w:r>
        <w:rPr>
          <w:rFonts w:ascii="Arial" w:cs="Arial" w:eastAsia="Arial" w:hAnsi="Arial"/>
          <w:sz w:val="16"/>
          <w:szCs w:val="16"/>
          <w:b w:val="1"/>
          <w:bCs w:val="1"/>
          <w:color w:val="auto"/>
        </w:rPr>
        <w:t>Amendment Effective Time</w:t>
      </w:r>
      <w:r>
        <w:rPr>
          <w:rFonts w:ascii="Arial" w:cs="Arial" w:eastAsia="Arial" w:hAnsi="Arial"/>
          <w:sz w:val="16"/>
          <w:szCs w:val="16"/>
          <w:color w:val="auto"/>
        </w:rPr>
        <w:t>”), a one-for-34.483 reverse split of the Corporation’s Common Stock shall become effective, pursuant to which each 34.483 shares of Common Stock outstanding and held of record by each stockholder of the Corporation (including treasury shares) immediately prior to the Amendment Effective Time shall be reclassified and combined into one validly issued, fully-paid and nonassessable share of Common Stock automatically and without any action by the holder thereof upon the Amendment Effective Time and shall represent one share of Common Stock from and after the Amendment Effective Time (such reclassification and combination of shares, the “</w:t>
      </w:r>
      <w:r>
        <w:rPr>
          <w:rFonts w:ascii="Arial" w:cs="Arial" w:eastAsia="Arial" w:hAnsi="Arial"/>
          <w:sz w:val="16"/>
          <w:szCs w:val="16"/>
          <w:b w:val="1"/>
          <w:bCs w:val="1"/>
          <w:color w:val="auto"/>
        </w:rPr>
        <w:t>Reverse Stock Split</w:t>
      </w:r>
      <w:r>
        <w:rPr>
          <w:rFonts w:ascii="Arial" w:cs="Arial" w:eastAsia="Arial" w:hAnsi="Arial"/>
          <w:sz w:val="16"/>
          <w:szCs w:val="16"/>
          <w:color w:val="auto"/>
        </w:rPr>
        <w:t>”). The par value of the Common Stock and the Preferred Stock following the Reverse Stock Split shall remain at $0.001 per share. No fractional shares of Common Stock shall be issued as a result of the Reverse Stock Split and, in lieu thereof, upon surrender after the Amendment Effective Time of a certificate which formerly represented shares of Common Stock that were issued and outstanding immediately prior to the Amendment Effective Time, any person who would otherwise be entitled to a fractional share of Common Stock as a result of the Reverse Stock Split, following the Amendment Effective Time, shall be entitled to receive a cash payment equal to the fraction of which such holder would otherwise be entitled multiplied by the fair market value per share as determined in good faith by the Board of Directors.</w:t>
      </w:r>
    </w:p>
    <w:p>
      <w:pPr>
        <w:sectPr>
          <w:pgSz w:w="11900" w:h="16838" w:orient="portrait"/>
          <w:cols w:equalWidth="0" w:num="1">
            <w:col w:w="10200"/>
          </w:cols>
          <w:pgMar w:left="820" w:top="260" w:right="879" w:bottom="1440" w:gutter="0" w:footer="0" w:header="0"/>
        </w:sectPr>
      </w:pPr>
    </w:p>
    <w:bookmarkStart w:id="315" w:name="page316"/>
    <w:bookmarkEnd w:id="315"/>
    <w:p>
      <w:pPr>
        <w:ind w:left="620"/>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Each stock certificate that, immediately prior to the Amendment Effective Time, represented shares of Common Stock that were issued and outstanding immediately prior to the Amendment Effective Time shall, from and after the Amendment Effective Time, automatically and without the necessity of presenting the same for exchange, represent that number of whole shares of Common Stock after the Amendment Effective Time into which the shares formerly represented by such certificate have been reclassified (as well as the right to receive cash in lieu of fractional shares of Common Stock after the Amendment Effective Time); provided, however, that each person of record holding a certificate that represented shares of Common Stock that were issued and outstanding immediately prior to the Amendment Effective Time shall receive, upon surrender of such certificate, a new certificate evidencing and representing the number of whole shares of Common Stock after the Amendment Effective Time into which the shares of Common Stock formerly represented by such certificate shall have been reclassified; and provided further, however, that whether or not fractional shares would be issuable as a result of the Reverse Stock Split shall be determined on the basis of (i) the total number of shares of Common Stock that were issued and outstanding immediately prior to the Amendment Effective Time formerly represented by certificates that the holder is at the time surrendering for a new certificate evidencing and representing the number of whole shares of Common Stock after the Amendment Effective Time and (ii) the aggregate number of shares of Common Stock after the Amendment Effective Time into which the shares of Common Stock formerly represented by such certificates shall have been reclassified.</w:t>
      </w:r>
    </w:p>
    <w:p>
      <w:pPr>
        <w:spacing w:after="0" w:line="165" w:lineRule="exact"/>
        <w:rPr>
          <w:sz w:val="20"/>
          <w:szCs w:val="20"/>
          <w:color w:val="auto"/>
        </w:rPr>
      </w:pPr>
    </w:p>
    <w:p>
      <w:pPr>
        <w:ind w:left="620" w:right="40"/>
        <w:spacing w:after="0" w:line="265" w:lineRule="auto"/>
        <w:rPr>
          <w:sz w:val="20"/>
          <w:szCs w:val="20"/>
          <w:color w:val="auto"/>
        </w:rPr>
      </w:pPr>
      <w:r>
        <w:rPr>
          <w:rFonts w:ascii="Arial" w:cs="Arial" w:eastAsia="Arial" w:hAnsi="Arial"/>
          <w:sz w:val="16"/>
          <w:szCs w:val="16"/>
          <w:color w:val="auto"/>
        </w:rPr>
        <w:t>The total number of shares of all classes of stock which the Corporation shall have authority to issue is Four Hundred Ninety Nine Million Three Hundred Thousand Two Hundred Eighty Eight (499,300,288), of which (a) Two Hundred Million (200,000,000) shares shall be Common Stock, $0.001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(b) Two Hundred Ninety-Nine Million Three Hundred Thousand Two Hundred Eighty-Eight (299,300,288) shares shall be Preferred Stock, $0.001 par value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Seven Million Five Hundred Fifty-Four Thousand Six Hundred Fifty-Four (7,554,654) of which shall be designated Series A-l/A Convertible Preferred Stock (“</w:t>
      </w:r>
      <w:r>
        <w:rPr>
          <w:rFonts w:ascii="Arial" w:cs="Arial" w:eastAsia="Arial" w:hAnsi="Arial"/>
          <w:sz w:val="16"/>
          <w:szCs w:val="16"/>
          <w:u w:val="single" w:color="auto"/>
          <w:color w:val="auto"/>
        </w:rPr>
        <w:t>Series A-1/A Preferred Stock</w:t>
      </w:r>
      <w:r>
        <w:rPr>
          <w:rFonts w:ascii="Arial" w:cs="Arial" w:eastAsia="Arial" w:hAnsi="Arial"/>
          <w:sz w:val="16"/>
          <w:szCs w:val="16"/>
          <w:color w:val="auto"/>
        </w:rPr>
        <w:t>”), Ten Million Five Thousand Six Hundred Seventy-Seven (10,005,677) of which shall be designated Series A-1/B Convertible Preferred Stock (“</w:t>
      </w:r>
      <w:r>
        <w:rPr>
          <w:rFonts w:ascii="Arial" w:cs="Arial" w:eastAsia="Arial" w:hAnsi="Arial"/>
          <w:sz w:val="16"/>
          <w:szCs w:val="16"/>
          <w:u w:val="single" w:color="auto"/>
          <w:color w:val="auto"/>
        </w:rPr>
        <w:t>Series A-1/B Preferred Stock</w:t>
      </w:r>
      <w:r>
        <w:rPr>
          <w:rFonts w:ascii="Arial" w:cs="Arial" w:eastAsia="Arial" w:hAnsi="Arial"/>
          <w:sz w:val="16"/>
          <w:szCs w:val="16"/>
          <w:color w:val="auto"/>
        </w:rPr>
        <w:t>”), Sixteen Million Four Hundred Fifty-Six Thousand Seven Hundred Two (16,456,702) of which shall be designated Series A-1/C Convertible Preferred Stock (“</w:t>
      </w:r>
      <w:r>
        <w:rPr>
          <w:rFonts w:ascii="Arial" w:cs="Arial" w:eastAsia="Arial" w:hAnsi="Arial"/>
          <w:sz w:val="16"/>
          <w:szCs w:val="16"/>
          <w:u w:val="single" w:color="auto"/>
          <w:color w:val="auto"/>
        </w:rPr>
        <w:t>Series A-1/C Preferred Stock</w:t>
      </w:r>
      <w:r>
        <w:rPr>
          <w:rFonts w:ascii="Arial" w:cs="Arial" w:eastAsia="Arial" w:hAnsi="Arial"/>
          <w:sz w:val="16"/>
          <w:szCs w:val="16"/>
          <w:color w:val="auto"/>
        </w:rPr>
        <w:t>” and, together with the Series A-1/A Preferred Stock and the Series A-1/B Preferred Stock, the “</w:t>
      </w: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Twenty-Six Million Six Hundred Eighty Thousand Two Hundred Two (26,680,202) of which shall be designated Series A-2 Convertible Preferred Stock (“</w:t>
      </w:r>
      <w:r>
        <w:rPr>
          <w:rFonts w:ascii="Arial" w:cs="Arial" w:eastAsia="Arial" w:hAnsi="Arial"/>
          <w:sz w:val="16"/>
          <w:szCs w:val="16"/>
          <w:u w:val="single" w:color="auto"/>
          <w:color w:val="auto"/>
        </w:rPr>
        <w:t>Series A-2 Preferred Stock</w:t>
      </w:r>
      <w:r>
        <w:rPr>
          <w:rFonts w:ascii="Arial" w:cs="Arial" w:eastAsia="Arial" w:hAnsi="Arial"/>
          <w:sz w:val="16"/>
          <w:szCs w:val="16"/>
          <w:color w:val="auto"/>
        </w:rPr>
        <w:t>”), Thirty Million Seventy Thousand Four Hundred Eighty-Seven (30,070,487) of which shall be</w:t>
      </w:r>
    </w:p>
    <w:p>
      <w:pPr>
        <w:spacing w:after="0" w:line="11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620"/>
          </w:cols>
          <w:pgMar w:left="1440" w:top="264" w:right="839" w:bottom="1440" w:gutter="0" w:footer="0" w:header="0"/>
        </w:sectPr>
      </w:pPr>
    </w:p>
    <w:bookmarkStart w:id="316" w:name="page317"/>
    <w:bookmarkEnd w:id="316"/>
    <w:p>
      <w:pPr>
        <w:ind w:left="1220" w:right="4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designated Series A-3 Convertible Preferred Stock (“</w:t>
      </w:r>
      <w:r>
        <w:rPr>
          <w:rFonts w:ascii="Arial" w:cs="Arial" w:eastAsia="Arial" w:hAnsi="Arial"/>
          <w:sz w:val="15"/>
          <w:szCs w:val="15"/>
          <w:u w:val="single" w:color="auto"/>
          <w:color w:val="auto"/>
        </w:rPr>
        <w:t>Series A-3 Preferred Stock</w:t>
      </w:r>
      <w:r>
        <w:rPr>
          <w:rFonts w:ascii="Arial" w:cs="Arial" w:eastAsia="Arial" w:hAnsi="Arial"/>
          <w:sz w:val="15"/>
          <w:szCs w:val="15"/>
          <w:color w:val="auto"/>
        </w:rPr>
        <w:t>”), Nineteen Million Nine Hundred Ninety-Nine Thousand Nine Hundred Ninety-Nine (19,999,999) of which shall be designated Series A-4 Convertible Preferred Stock (“</w:t>
      </w:r>
      <w:r>
        <w:rPr>
          <w:rFonts w:ascii="Arial" w:cs="Arial" w:eastAsia="Arial" w:hAnsi="Arial"/>
          <w:sz w:val="15"/>
          <w:szCs w:val="15"/>
          <w:u w:val="single" w:color="auto"/>
          <w:color w:val="auto"/>
        </w:rPr>
        <w:t>Series A-4</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 Stock</w:t>
      </w:r>
      <w:r>
        <w:rPr>
          <w:rFonts w:ascii="Arial" w:cs="Arial" w:eastAsia="Arial" w:hAnsi="Arial"/>
          <w:sz w:val="15"/>
          <w:szCs w:val="15"/>
          <w:color w:val="auto"/>
        </w:rPr>
        <w:t>”), Ninety-Eight Million Three Hundred Fifty-One Thousand Nine Hundred Fifty-Three (98,351,953) of which shall be designated Series B Convertible Preferred Stock (“</w:t>
      </w:r>
      <w:r>
        <w:rPr>
          <w:rFonts w:ascii="Arial" w:cs="Arial" w:eastAsia="Arial" w:hAnsi="Arial"/>
          <w:sz w:val="15"/>
          <w:szCs w:val="15"/>
          <w:u w:val="single" w:color="auto"/>
          <w:color w:val="auto"/>
        </w:rPr>
        <w:t>Series B Preferred Stock</w:t>
      </w:r>
      <w:r>
        <w:rPr>
          <w:rFonts w:ascii="Arial" w:cs="Arial" w:eastAsia="Arial" w:hAnsi="Arial"/>
          <w:sz w:val="15"/>
          <w:szCs w:val="15"/>
          <w:color w:val="auto"/>
        </w:rPr>
        <w:t>”), and Ninety Million One Hundred Eighty Thousand Six Hundred Fourteen (90,180,614) of which shall be designated Series C Convertible Preferred Stock (“</w:t>
      </w:r>
      <w:r>
        <w:rPr>
          <w:rFonts w:ascii="Arial" w:cs="Arial" w:eastAsia="Arial" w:hAnsi="Arial"/>
          <w:sz w:val="15"/>
          <w:szCs w:val="15"/>
          <w:u w:val="single" w:color="auto"/>
          <w:color w:val="auto"/>
        </w:rPr>
        <w:t>Series C Preferred Stock</w:t>
      </w:r>
      <w:r>
        <w:rPr>
          <w:rFonts w:ascii="Arial" w:cs="Arial" w:eastAsia="Arial" w:hAnsi="Arial"/>
          <w:sz w:val="15"/>
          <w:szCs w:val="15"/>
          <w:color w:val="auto"/>
        </w:rPr>
        <w:t>”).”</w:t>
      </w:r>
    </w:p>
    <w:p>
      <w:pPr>
        <w:spacing w:after="0" w:line="4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Subsection 4(b) of Part B of Article FOURTH of the Amended and Restated Certificate of Incorporation of the</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Corporation be amended and restated in its entirety to read as follows:</w:t>
      </w:r>
    </w:p>
    <w:p>
      <w:pPr>
        <w:spacing w:after="0" w:line="94" w:lineRule="exact"/>
        <w:rPr>
          <w:sz w:val="20"/>
          <w:szCs w:val="20"/>
          <w:color w:val="auto"/>
        </w:rPr>
      </w:pPr>
    </w:p>
    <w:p>
      <w:pPr>
        <w:ind w:left="1220" w:right="10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Subsection 5(a) of Part B of Article FOURTH of the Amended and Restated Certificate of Incorporation of the</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Corporation be amended and restated in its entirety to read as follows:</w:t>
      </w:r>
    </w:p>
    <w:p>
      <w:pPr>
        <w:spacing w:after="0" w:line="94" w:lineRule="exact"/>
        <w:rPr>
          <w:sz w:val="20"/>
          <w:szCs w:val="20"/>
          <w:color w:val="auto"/>
        </w:rPr>
      </w:pPr>
    </w:p>
    <w:p>
      <w:pPr>
        <w:ind w:left="1220"/>
        <w:spacing w:after="0" w:line="268" w:lineRule="auto"/>
        <w:rPr>
          <w:sz w:val="20"/>
          <w:szCs w:val="20"/>
          <w:color w:val="auto"/>
        </w:rPr>
      </w:pPr>
      <w:r>
        <w:rPr>
          <w:rFonts w:ascii="Arial" w:cs="Arial" w:eastAsia="Arial" w:hAnsi="Arial"/>
          <w:sz w:val="16"/>
          <w:szCs w:val="16"/>
          <w:color w:val="auto"/>
        </w:rPr>
        <w:t>“Upon the earlier of (i) the closing of the sale of shares of Common Stock in a firm underwritten public offering pursuant to an effective registration statement under the Securities Act of 1933, as amended, resulting in at least Forty Million Dollars ($40,000,000) (net of any underwriting discount and commissions) to the Corporation, (ii) the closing of the sale of shares of Common Stock to the public pursuant to the Corporation’s Registration Statement on Form S-1 (Reg. No. 333-236962), or (iii) a date agreed to in writing by a vote of the holders of a majority of the then outstanding shares of Preferred Stock, voting together as a separate class on an as-converted basis (each a “</w:t>
      </w:r>
      <w:r>
        <w:rPr>
          <w:rFonts w:ascii="Arial" w:cs="Arial" w:eastAsia="Arial" w:hAnsi="Arial"/>
          <w:sz w:val="16"/>
          <w:szCs w:val="16"/>
          <w:u w:val="single" w:color="auto"/>
          <w:color w:val="auto"/>
        </w:rPr>
        <w:t>Mandatory Conversion Event</w:t>
      </w:r>
      <w:r>
        <w:rPr>
          <w:rFonts w:ascii="Arial" w:cs="Arial" w:eastAsia="Arial" w:hAnsi="Arial"/>
          <w:sz w:val="16"/>
          <w:szCs w:val="16"/>
          <w:color w:val="auto"/>
        </w:rPr>
        <w:t>”), all outstanding shares of Preferred Stock shall automatically be converted into shares of Common Stock, at the then effective conversion rate.”</w:t>
      </w:r>
    </w:p>
    <w:p>
      <w:pPr>
        <w:spacing w:after="0" w:line="81" w:lineRule="exact"/>
        <w:rPr>
          <w:sz w:val="20"/>
          <w:szCs w:val="20"/>
          <w:color w:val="auto"/>
        </w:rPr>
      </w:pPr>
    </w:p>
    <w:p>
      <w:pPr>
        <w:ind w:left="800" w:right="140" w:hanging="815"/>
        <w:spacing w:after="0" w:line="268"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That in lieu of a meeting and vote of stockholders, the stockholders have given written consent to said amendments in accordance with the provisions of Section 228 of the General Corporation Law of the State of Delaware.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00"/>
          </w:cols>
          <w:pgMar w:left="840" w:top="265" w:right="859" w:bottom="1440" w:gutter="0" w:footer="0" w:header="0"/>
        </w:sectPr>
      </w:pPr>
    </w:p>
    <w:bookmarkStart w:id="317" w:name="page318"/>
    <w:bookmarkEnd w:id="317"/>
    <w:p>
      <w:pPr>
        <w:ind w:left="640" w:hanging="815"/>
        <w:spacing w:after="0" w:line="268" w:lineRule="auto"/>
        <w:tabs>
          <w:tab w:leader="none" w:pos="620" w:val="left"/>
        </w:tabs>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THIRD</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That the aforesaid amendments were duly adopted in accordance with the applicable provisions of Section 242 of the General Corporation Law of the State of Delaware.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265" w:right="999" w:bottom="1440" w:gutter="0" w:footer="0" w:header="0"/>
        </w:sectPr>
      </w:pPr>
    </w:p>
    <w:bookmarkStart w:id="318" w:name="page319"/>
    <w:bookmarkEnd w:id="318"/>
    <w:p>
      <w:pPr>
        <w:ind w:firstLine="40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the Corporation has caused this Certificate of Amendment to be signed by Maria Palasis, the President and Chief Executive Officer of the Corporation, this 27</w:t>
      </w:r>
      <w:r>
        <w:rPr>
          <w:rFonts w:ascii="Arial" w:cs="Arial" w:eastAsia="Arial" w:hAnsi="Arial"/>
          <w:sz w:val="14"/>
          <w:szCs w:val="14"/>
          <w:color w:val="auto"/>
        </w:rPr>
        <w:t>th</w:t>
      </w:r>
      <w:r>
        <w:rPr>
          <w:rFonts w:ascii="Arial" w:cs="Arial" w:eastAsia="Arial" w:hAnsi="Arial"/>
          <w:sz w:val="17"/>
          <w:szCs w:val="17"/>
          <w:color w:val="auto"/>
        </w:rPr>
        <w:t xml:space="preserve"> day of April, 2020.</w:t>
      </w:r>
    </w:p>
    <w:p>
      <w:pPr>
        <w:spacing w:after="0" w:line="187"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/s/ Maria Palasis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11430</wp:posOffset>
            </wp:positionV>
            <wp:extent cx="23831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Maria Palasis</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9840"/>
          </w:cols>
          <w:pgMar w:left="820" w:top="265" w:right="1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7"/>
          <w:szCs w:val="17"/>
          <w:b w:val="1"/>
          <w:bCs w:val="1"/>
          <w:color w:val="auto"/>
        </w:rPr>
        <w:t>Exhibit 3.3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RESTATED CERTIFICATE OF INCORPORATION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LYRA THERAPEUTICS, INC.</w:t>
      </w:r>
    </w:p>
    <w:p>
      <w:pPr>
        <w:spacing w:after="0" w:line="206" w:lineRule="exact"/>
        <w:rPr>
          <w:sz w:val="20"/>
          <w:szCs w:val="20"/>
          <w:color w:val="auto"/>
        </w:rPr>
      </w:pPr>
    </w:p>
    <w:p>
      <w:pPr>
        <w:ind w:right="20" w:firstLine="409"/>
        <w:spacing w:after="0" w:line="290" w:lineRule="auto"/>
        <w:rPr>
          <w:sz w:val="20"/>
          <w:szCs w:val="20"/>
          <w:color w:val="auto"/>
        </w:rPr>
      </w:pPr>
      <w:r>
        <w:rPr>
          <w:rFonts w:ascii="Arial" w:cs="Arial" w:eastAsia="Arial" w:hAnsi="Arial"/>
          <w:sz w:val="15"/>
          <w:szCs w:val="15"/>
          <w:color w:val="auto"/>
        </w:rPr>
        <w:t>The name of the corporation is Lyra Therapeutics, Inc. The corporation was originally incorporated by the filing of its original Certificate of Incorporation with the Secretary of State of the State of Delaware on November 21, 2005 under the corporate name WMR Biomedical, Inc. This Restated Certificate of Incorporation of the corporation, which restates and integrates and also further amends the provisions of the corporation’s Certificate of Incorporation, was duly adopted in accordance with the provisions of Sections 242 and 245 of the General Corporation Law of the State of Delaware and by the written consent of its stockholders in accordance with Section 228 of the General Corporation Law of the State of Delaware. The Certificate of Incorporation of the corporation is hereby amended, integrated and restated to read in its entirety as follows: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FIRST: The name of the Corporation is Lyra Therapeutics, Inc. (the “Corporation”).</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SECOND: The address of the Corporation’s registered office in the State of Delaware is 1209 Orange Street, in the City of Wilmington, County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New Castle, State of Delaware, Zip Code 19808. The name of its registered agent at that address is: The Corporation Trust Company.</w:t>
      </w:r>
    </w:p>
    <w:p>
      <w:pPr>
        <w:spacing w:after="0" w:line="194" w:lineRule="exact"/>
        <w:rPr>
          <w:sz w:val="20"/>
          <w:szCs w:val="20"/>
          <w:color w:val="auto"/>
        </w:rPr>
      </w:pPr>
    </w:p>
    <w:p>
      <w:pPr>
        <w:ind w:right="420" w:firstLine="409"/>
        <w:spacing w:after="0" w:line="268" w:lineRule="auto"/>
        <w:rPr>
          <w:sz w:val="20"/>
          <w:szCs w:val="20"/>
          <w:color w:val="auto"/>
        </w:rPr>
      </w:pPr>
      <w:r>
        <w:rPr>
          <w:rFonts w:ascii="Arial" w:cs="Arial" w:eastAsia="Arial" w:hAnsi="Arial"/>
          <w:sz w:val="17"/>
          <w:szCs w:val="17"/>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66" w:lineRule="exact"/>
        <w:rPr>
          <w:sz w:val="20"/>
          <w:szCs w:val="20"/>
          <w:color w:val="auto"/>
        </w:rPr>
      </w:pPr>
    </w:p>
    <w:p>
      <w:pPr>
        <w:jc w:val="both"/>
        <w:ind w:right="100" w:firstLine="409"/>
        <w:spacing w:after="0" w:line="257" w:lineRule="auto"/>
        <w:rPr>
          <w:sz w:val="20"/>
          <w:szCs w:val="20"/>
          <w:color w:val="auto"/>
        </w:rPr>
      </w:pPr>
      <w:r>
        <w:rPr>
          <w:rFonts w:ascii="Arial" w:cs="Arial" w:eastAsia="Arial" w:hAnsi="Arial"/>
          <w:sz w:val="17"/>
          <w:szCs w:val="17"/>
          <w:color w:val="auto"/>
        </w:rPr>
        <w:t>FOURTH: The total number of shares of all classes of stock which the Corporation shall have authority to issue is 210,000,000 shares, consisting of (a) 200,000,000 shares of Common Stock, $0.001 par value per share (“Common Stock”), and (b) 10,000,000 shares of Preferred Stock, $0.001 par value per share (“Preferred Stock”).</w:t>
      </w:r>
    </w:p>
    <w:p>
      <w:pPr>
        <w:spacing w:after="0" w:line="175" w:lineRule="exact"/>
        <w:rPr>
          <w:sz w:val="20"/>
          <w:szCs w:val="20"/>
          <w:color w:val="auto"/>
        </w:rPr>
      </w:pPr>
    </w:p>
    <w:p>
      <w:pPr>
        <w:ind w:right="140" w:firstLine="409"/>
        <w:spacing w:after="0" w:line="268" w:lineRule="auto"/>
        <w:rPr>
          <w:sz w:val="20"/>
          <w:szCs w:val="20"/>
          <w:color w:val="auto"/>
        </w:rPr>
      </w:pPr>
      <w:r>
        <w:rPr>
          <w:rFonts w:ascii="Arial" w:cs="Arial" w:eastAsia="Arial" w:hAnsi="Arial"/>
          <w:sz w:val="17"/>
          <w:szCs w:val="17"/>
          <w:color w:val="auto"/>
        </w:rPr>
        <w:t>The following is a statement of the designations and the powers, privileges and rights, and the qualifications, limitations or restrictions thereof in respect of each class of capital stock of the Corporation.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106" w:lineRule="exact"/>
        <w:rPr>
          <w:sz w:val="20"/>
          <w:szCs w:val="20"/>
          <w:color w:val="auto"/>
        </w:rPr>
      </w:pPr>
    </w:p>
    <w:p>
      <w:pPr>
        <w:ind w:firstLine="412"/>
        <w:spacing w:after="0" w:line="257" w:lineRule="auto"/>
        <w:tabs>
          <w:tab w:leader="none" w:pos="577"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voting, dividend and liquidation rights of the holders of the Common Stock are subject to and qualified by the rights of the holders of the Preferred Stock of any series as may be designated by the Board of Directors of the Corporation (the “Board of Directors”) upon any issuance of the Preferred Stock of any series.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40"/>
          </w:cols>
          <w:pgMar w:left="820" w:top="122" w:right="839" w:bottom="1440" w:gutter="0" w:footer="0" w:header="0"/>
        </w:sectPr>
      </w:pPr>
    </w:p>
    <w:bookmarkStart w:id="320" w:name="page321"/>
    <w:bookmarkEnd w:id="320"/>
    <w:p>
      <w:pPr>
        <w:ind w:right="80" w:firstLine="412"/>
        <w:spacing w:after="0" w:line="268" w:lineRule="auto"/>
        <w:tabs>
          <w:tab w:leader="none" w:pos="574"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Voting</w:t>
      </w:r>
      <w:r>
        <w:rPr>
          <w:rFonts w:ascii="Arial" w:cs="Arial" w:eastAsia="Arial" w:hAnsi="Arial"/>
          <w:sz w:val="16"/>
          <w:szCs w:val="16"/>
          <w:color w:val="auto"/>
        </w:rPr>
        <w:t xml:space="preserve">. The holders of the Common Stock shall have voting rights at all meetings of stockholders, each such holder being entitled to one vote for each share thereof held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shall not be entitled to vote on any amendment to this Restated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or the General Corporation Law of the State of Delaware. There shall be no cumulative voting.</w:t>
      </w:r>
    </w:p>
    <w:p>
      <w:pPr>
        <w:spacing w:after="0" w:line="169" w:lineRule="exact"/>
        <w:rPr>
          <w:sz w:val="20"/>
          <w:szCs w:val="20"/>
          <w:color w:val="auto"/>
        </w:rPr>
      </w:pPr>
    </w:p>
    <w:p>
      <w:pPr>
        <w:jc w:val="both"/>
        <w:ind w:right="80" w:firstLine="409"/>
        <w:spacing w:after="0" w:line="257" w:lineRule="auto"/>
        <w:rPr>
          <w:sz w:val="20"/>
          <w:szCs w:val="20"/>
          <w:color w:val="auto"/>
        </w:rPr>
      </w:pPr>
      <w:r>
        <w:rPr>
          <w:rFonts w:ascii="Arial" w:cs="Arial" w:eastAsia="Arial" w:hAnsi="Arial"/>
          <w:sz w:val="17"/>
          <w:szCs w:val="17"/>
          <w:color w:val="auto"/>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75" w:lineRule="exact"/>
        <w:rPr>
          <w:sz w:val="20"/>
          <w:szCs w:val="20"/>
          <w:color w:val="auto"/>
        </w:rPr>
      </w:pPr>
    </w:p>
    <w:p>
      <w:pPr>
        <w:ind w:right="340" w:firstLine="412"/>
        <w:spacing w:after="0" w:line="299" w:lineRule="auto"/>
        <w:tabs>
          <w:tab w:leader="none" w:pos="577"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Dividends may be declared and paid on the Common Stock if, as and when determined by the Board of Directors subject to any preferential dividend or other rights of any then outstanding Preferred Stock and to the requirements of applicable law.</w:t>
      </w:r>
    </w:p>
    <w:p>
      <w:pPr>
        <w:spacing w:after="0" w:line="43" w:lineRule="exact"/>
        <w:rPr>
          <w:rFonts w:ascii="Arial" w:cs="Arial" w:eastAsia="Arial" w:hAnsi="Arial"/>
          <w:sz w:val="16"/>
          <w:szCs w:val="16"/>
          <w:color w:val="auto"/>
        </w:rPr>
      </w:pPr>
    </w:p>
    <w:p>
      <w:pPr>
        <w:ind w:firstLine="412"/>
        <w:spacing w:after="0" w:line="257" w:lineRule="auto"/>
        <w:tabs>
          <w:tab w:leader="none" w:pos="577"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Upon the dissolution or liquidation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106" w:lineRule="exact"/>
        <w:rPr>
          <w:sz w:val="20"/>
          <w:szCs w:val="20"/>
          <w:color w:val="auto"/>
        </w:rPr>
      </w:pPr>
    </w:p>
    <w:p>
      <w:pPr>
        <w:ind w:right="80" w:firstLine="409"/>
        <w:spacing w:after="0" w:line="299" w:lineRule="auto"/>
        <w:rPr>
          <w:sz w:val="20"/>
          <w:szCs w:val="20"/>
          <w:color w:val="auto"/>
        </w:rPr>
      </w:pPr>
      <w:r>
        <w:rPr>
          <w:rFonts w:ascii="Arial" w:cs="Arial" w:eastAsia="Arial" w:hAnsi="Arial"/>
          <w:sz w:val="16"/>
          <w:szCs w:val="16"/>
          <w:color w:val="auto"/>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w:t>
      </w:r>
    </w:p>
    <w:p>
      <w:pPr>
        <w:spacing w:after="0" w:line="144" w:lineRule="exact"/>
        <w:rPr>
          <w:sz w:val="20"/>
          <w:szCs w:val="20"/>
          <w:color w:val="auto"/>
        </w:rPr>
      </w:pPr>
    </w:p>
    <w:p>
      <w:pPr>
        <w:ind w:firstLine="409"/>
        <w:spacing w:after="0" w:line="285" w:lineRule="auto"/>
        <w:rPr>
          <w:sz w:val="20"/>
          <w:szCs w:val="20"/>
          <w:color w:val="auto"/>
        </w:rPr>
      </w:pPr>
      <w:r>
        <w:rPr>
          <w:rFonts w:ascii="Arial" w:cs="Arial" w:eastAsia="Arial" w:hAnsi="Arial"/>
          <w:sz w:val="15"/>
          <w:szCs w:val="15"/>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fullest extent now or hereafter permitted by the General Corporation Law of the State of Delaware.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4" w:right="839" w:bottom="1440" w:gutter="0" w:footer="0" w:header="0"/>
        </w:sectPr>
      </w:pPr>
    </w:p>
    <w:bookmarkStart w:id="321" w:name="page322"/>
    <w:bookmarkEnd w:id="321"/>
    <w:p>
      <w:pPr>
        <w:ind w:right="80" w:firstLine="409"/>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Subject to the rights of the holders of any series of Preferred Stock pursuant to the terms of this Restated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183" w:lineRule="exact"/>
        <w:rPr>
          <w:sz w:val="20"/>
          <w:szCs w:val="20"/>
          <w:color w:val="auto"/>
        </w:rPr>
      </w:pPr>
    </w:p>
    <w:p>
      <w:pPr>
        <w:jc w:val="both"/>
        <w:ind w:right="160" w:firstLine="409"/>
        <w:spacing w:after="0" w:line="280" w:lineRule="auto"/>
        <w:rPr>
          <w:sz w:val="20"/>
          <w:szCs w:val="20"/>
          <w:color w:val="auto"/>
        </w:rPr>
      </w:pPr>
      <w:r>
        <w:rPr>
          <w:rFonts w:ascii="Arial" w:cs="Arial" w:eastAsia="Arial" w:hAnsi="Arial"/>
          <w:sz w:val="16"/>
          <w:szCs w:val="16"/>
          <w:color w:val="auto"/>
        </w:rPr>
        <w:t>FIFTH: Except as otherwise provided herein, the Corporation reserves the right to amend, alter, change or repeal any provision contained in this Restated Certificate of Incorporation, in the manner now or hereafter prescribed by statute and this Restated Certificate of Incorporation, and all rights conferred upon stockholders, directors or any other persons herein are granted subject to this reservation.</w:t>
      </w:r>
    </w:p>
    <w:p>
      <w:pPr>
        <w:spacing w:after="0" w:line="159" w:lineRule="exact"/>
        <w:rPr>
          <w:sz w:val="20"/>
          <w:szCs w:val="20"/>
          <w:color w:val="auto"/>
        </w:rPr>
      </w:pPr>
    </w:p>
    <w:p>
      <w:pPr>
        <w:ind w:firstLine="409"/>
        <w:spacing w:after="0" w:line="287" w:lineRule="auto"/>
        <w:rPr>
          <w:sz w:val="20"/>
          <w:szCs w:val="20"/>
          <w:color w:val="auto"/>
        </w:rPr>
      </w:pPr>
      <w:r>
        <w:rPr>
          <w:rFonts w:ascii="Arial" w:cs="Arial" w:eastAsia="Arial" w:hAnsi="Arial"/>
          <w:sz w:val="15"/>
          <w:szCs w:val="15"/>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this Restated Certificate of Incorporation, by the affirmative vote of the holders of at least two-thirds in voting power of the outstanding shares of capital stock of the Corporation entitled to vote thereon. Notwithstanding any other provisions of law, this 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SIXTH.</w:t>
      </w:r>
    </w:p>
    <w:p>
      <w:pPr>
        <w:spacing w:after="0" w:line="157" w:lineRule="exact"/>
        <w:rPr>
          <w:sz w:val="20"/>
          <w:szCs w:val="20"/>
          <w:color w:val="auto"/>
        </w:rPr>
      </w:pPr>
    </w:p>
    <w:p>
      <w:pPr>
        <w:ind w:right="80" w:firstLine="409"/>
        <w:spacing w:after="0" w:line="268" w:lineRule="auto"/>
        <w:rPr>
          <w:sz w:val="20"/>
          <w:szCs w:val="20"/>
          <w:color w:val="auto"/>
        </w:rPr>
      </w:pPr>
      <w:r>
        <w:rPr>
          <w:rFonts w:ascii="Arial" w:cs="Arial" w:eastAsia="Arial" w:hAnsi="Arial"/>
          <w:sz w:val="16"/>
          <w:szCs w:val="16"/>
          <w:color w:val="auto"/>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EIGHTH: This Article EIGHTH is inserted for the management of the business and for the conduct of the affairs of the Corporation.</w:t>
      </w:r>
    </w:p>
    <w:p>
      <w:pPr>
        <w:spacing w:after="0" w:line="14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20"/>
          </w:cols>
          <w:pgMar w:left="820" w:top="265" w:right="859" w:bottom="1440" w:gutter="0" w:footer="0" w:header="0"/>
        </w:sectPr>
      </w:pPr>
    </w:p>
    <w:bookmarkStart w:id="322" w:name="page323"/>
    <w:bookmarkEnd w:id="322"/>
    <w:p>
      <w:pPr>
        <w:ind w:left="560" w:hanging="168"/>
        <w:spacing w:after="0"/>
        <w:tabs>
          <w:tab w:leader="none" w:pos="56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General Powers</w:t>
      </w:r>
      <w:r>
        <w:rPr>
          <w:rFonts w:ascii="Arial" w:cs="Arial" w:eastAsia="Arial" w:hAnsi="Arial"/>
          <w:sz w:val="16"/>
          <w:szCs w:val="16"/>
          <w:color w:val="auto"/>
        </w:rPr>
        <w:t>. The business and affairs of the Corporation shall be managed by or under the direction of the Board of Directors.</w:t>
      </w:r>
    </w:p>
    <w:p>
      <w:pPr>
        <w:spacing w:after="0" w:line="117" w:lineRule="exact"/>
        <w:rPr>
          <w:rFonts w:ascii="Arial" w:cs="Arial" w:eastAsia="Arial" w:hAnsi="Arial"/>
          <w:sz w:val="16"/>
          <w:szCs w:val="16"/>
          <w:color w:val="auto"/>
        </w:rPr>
      </w:pPr>
    </w:p>
    <w:p>
      <w:pPr>
        <w:ind w:left="-20" w:right="120" w:firstLine="412"/>
        <w:spacing w:after="0" w:line="257" w:lineRule="auto"/>
        <w:tabs>
          <w:tab w:leader="none" w:pos="557"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Number of Directors; Election of Directors</w:t>
      </w:r>
      <w:r>
        <w:rPr>
          <w:rFonts w:ascii="Arial" w:cs="Arial" w:eastAsia="Arial" w:hAnsi="Arial"/>
          <w:sz w:val="17"/>
          <w:szCs w:val="17"/>
          <w:color w:val="auto"/>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spacing w:after="0" w:line="74" w:lineRule="exact"/>
        <w:rPr>
          <w:rFonts w:ascii="Arial" w:cs="Arial" w:eastAsia="Arial" w:hAnsi="Arial"/>
          <w:sz w:val="17"/>
          <w:szCs w:val="17"/>
          <w:color w:val="auto"/>
        </w:rPr>
      </w:pPr>
    </w:p>
    <w:p>
      <w:pPr>
        <w:jc w:val="both"/>
        <w:ind w:left="-20" w:right="260" w:firstLine="412"/>
        <w:spacing w:after="0" w:line="253" w:lineRule="auto"/>
        <w:tabs>
          <w:tab w:leader="none" w:pos="557"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Classes of Directors</w:t>
      </w:r>
      <w:r>
        <w:rPr>
          <w:rFonts w:ascii="Arial" w:cs="Arial" w:eastAsia="Arial" w:hAnsi="Arial"/>
          <w:sz w:val="17"/>
          <w:szCs w:val="17"/>
          <w:color w:val="auto"/>
        </w:rPr>
        <w:t>. Subject to the rights of holders of any series of Preferred Stock to elect directors, the Board of Directors shall be and is divided into three classes, designated as Class I, Class II and Class III. Each class shall consist, as nearly as may be possible, of one-third of the total number of directors constituting the entire Board of Directors. The Board of Directors is authorized to assign members of the Board of Directors to Class I, Class II or Class III.</w:t>
      </w:r>
    </w:p>
    <w:p>
      <w:pPr>
        <w:spacing w:after="0" w:line="79" w:lineRule="exact"/>
        <w:rPr>
          <w:rFonts w:ascii="Arial" w:cs="Arial" w:eastAsia="Arial" w:hAnsi="Arial"/>
          <w:sz w:val="17"/>
          <w:szCs w:val="17"/>
          <w:color w:val="auto"/>
        </w:rPr>
      </w:pPr>
    </w:p>
    <w:p>
      <w:pPr>
        <w:ind w:left="-20" w:right="20" w:firstLine="412"/>
        <w:spacing w:after="0" w:line="267" w:lineRule="auto"/>
        <w:tabs>
          <w:tab w:leader="none" w:pos="557"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Terms of Office</w:t>
      </w:r>
      <w:r>
        <w:rPr>
          <w:rFonts w:ascii="Arial" w:cs="Arial" w:eastAsia="Arial" w:hAnsi="Arial"/>
          <w:sz w:val="16"/>
          <w:szCs w:val="16"/>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director initially assigned to Class I shall serve for a term expiring at the Corporation’s first annual meeting of stockholders held after the effectiveness of this Restated Certificate of Incorporation; each director initially assigned to Class II shall serve for a term expiring at the Corporation’s second annual meeting of stockholders held after the effectiveness of this Restated Certificate of Incorporation; and each director initially assigned to Class III shall serve for a term expiring at the Corporation’s third annual meeting of stockholders held after the effectiveness of this Restated Certificate of Incorporation;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term of each director shall continue until the election and qualification of his or her successor and be subject to his or her earlier death, resignation or removal.</w:t>
      </w:r>
    </w:p>
    <w:p>
      <w:pPr>
        <w:spacing w:after="0" w:line="69" w:lineRule="exact"/>
        <w:rPr>
          <w:rFonts w:ascii="Arial" w:cs="Arial" w:eastAsia="Arial" w:hAnsi="Arial"/>
          <w:sz w:val="16"/>
          <w:szCs w:val="16"/>
          <w:color w:val="auto"/>
        </w:rPr>
      </w:pPr>
    </w:p>
    <w:p>
      <w:pPr>
        <w:ind w:left="-20" w:firstLine="412"/>
        <w:spacing w:after="0" w:line="253" w:lineRule="auto"/>
        <w:tabs>
          <w:tab w:leader="none" w:pos="557"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Quorum</w:t>
      </w:r>
      <w:r>
        <w:rPr>
          <w:rFonts w:ascii="Arial" w:cs="Arial" w:eastAsia="Arial" w:hAnsi="Arial"/>
          <w:sz w:val="17"/>
          <w:szCs w:val="17"/>
          <w:color w:val="auto"/>
        </w:rPr>
        <w:t>. The greater of (a) a majority of the directors at any time in office and (b) one-third of the number of directors fixed pursuant to Section 2 of this Article EIGHTH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79" w:lineRule="exact"/>
        <w:rPr>
          <w:rFonts w:ascii="Arial" w:cs="Arial" w:eastAsia="Arial" w:hAnsi="Arial"/>
          <w:sz w:val="17"/>
          <w:szCs w:val="17"/>
          <w:color w:val="auto"/>
        </w:rPr>
      </w:pPr>
    </w:p>
    <w:p>
      <w:pPr>
        <w:ind w:left="-20" w:right="60" w:firstLine="412"/>
        <w:spacing w:after="0" w:line="335" w:lineRule="auto"/>
        <w:tabs>
          <w:tab w:leader="none" w:pos="557" w:val="left"/>
        </w:tabs>
        <w:numPr>
          <w:ilvl w:val="0"/>
          <w:numId w:val="262"/>
        </w:numPr>
        <w:rPr>
          <w:rFonts w:ascii="Arial" w:cs="Arial" w:eastAsia="Arial" w:hAnsi="Arial"/>
          <w:sz w:val="15"/>
          <w:szCs w:val="15"/>
          <w:color w:val="auto"/>
        </w:rPr>
      </w:pPr>
      <w:r>
        <w:rPr>
          <w:rFonts w:ascii="Arial" w:cs="Arial" w:eastAsia="Arial" w:hAnsi="Arial"/>
          <w:sz w:val="15"/>
          <w:szCs w:val="15"/>
          <w:u w:val="single" w:color="auto"/>
          <w:color w:val="auto"/>
        </w:rPr>
        <w:t>Action at Meeting</w:t>
      </w:r>
      <w:r>
        <w:rPr>
          <w:rFonts w:ascii="Arial" w:cs="Arial" w:eastAsia="Arial" w:hAnsi="Arial"/>
          <w:sz w:val="15"/>
          <w:szCs w:val="15"/>
          <w:color w:val="auto"/>
        </w:rPr>
        <w:t>. Every act or decision done or made by a majority of the directors present at a meeting duly held at which a quorum is present shall be regarded as the act of the Board of Directors unless a greater number is required by law or by this Restated Certificate of Incorporation.</w:t>
      </w:r>
    </w:p>
    <w:p>
      <w:pPr>
        <w:spacing w:after="0" w:line="20" w:lineRule="exact"/>
        <w:rPr>
          <w:rFonts w:ascii="Arial" w:cs="Arial" w:eastAsia="Arial" w:hAnsi="Arial"/>
          <w:sz w:val="15"/>
          <w:szCs w:val="15"/>
          <w:color w:val="auto"/>
        </w:rPr>
      </w:pPr>
    </w:p>
    <w:p>
      <w:pPr>
        <w:jc w:val="both"/>
        <w:ind w:left="-20" w:right="100" w:firstLine="412"/>
        <w:spacing w:after="0" w:line="257" w:lineRule="auto"/>
        <w:tabs>
          <w:tab w:leader="none" w:pos="557"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Removal</w:t>
      </w:r>
      <w:r>
        <w:rPr>
          <w:rFonts w:ascii="Arial" w:cs="Arial" w:eastAsia="Arial" w:hAnsi="Arial"/>
          <w:sz w:val="17"/>
          <w:szCs w:val="17"/>
          <w:color w:val="auto"/>
        </w:rPr>
        <w:t>. Subject to the rights of holders of any series of Preferred Stock, directors of the Corporation may be removed but only for cause and only by the affirmative vote of the holders of at least two-thirds in voting power of the outstanding shares of capital stock of the Corporation entitled to vote at an election of directors.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00"/>
          </w:cols>
          <w:pgMar w:left="840" w:top="265" w:right="859" w:bottom="1440" w:gutter="0" w:footer="0" w:header="0"/>
        </w:sectPr>
      </w:pPr>
    </w:p>
    <w:bookmarkStart w:id="323" w:name="page324"/>
    <w:bookmarkEnd w:id="323"/>
    <w:p>
      <w:pPr>
        <w:ind w:right="20" w:firstLine="412"/>
        <w:spacing w:after="0" w:line="293" w:lineRule="auto"/>
        <w:tabs>
          <w:tab w:leader="none" w:pos="577" w:val="left"/>
        </w:tabs>
        <w:numPr>
          <w:ilvl w:val="0"/>
          <w:numId w:val="26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Vacancies</w:t>
      </w:r>
      <w:r>
        <w:rPr>
          <w:rFonts w:ascii="Arial" w:cs="Arial" w:eastAsia="Arial" w:hAnsi="Arial"/>
          <w:sz w:val="15"/>
          <w:szCs w:val="15"/>
          <w:color w:val="auto"/>
        </w:rPr>
        <w:t>.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unless the Board of Directors determines by resolution that any such vacancy or newly created directorship shall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spacing w:after="0" w:line="51" w:lineRule="exact"/>
        <w:rPr>
          <w:rFonts w:ascii="Arial" w:cs="Arial" w:eastAsia="Arial" w:hAnsi="Arial"/>
          <w:sz w:val="15"/>
          <w:szCs w:val="15"/>
          <w:color w:val="auto"/>
        </w:rPr>
      </w:pPr>
    </w:p>
    <w:p>
      <w:pPr>
        <w:ind w:right="400" w:firstLine="412"/>
        <w:spacing w:after="0" w:line="335" w:lineRule="auto"/>
        <w:tabs>
          <w:tab w:leader="none" w:pos="577" w:val="left"/>
        </w:tabs>
        <w:numPr>
          <w:ilvl w:val="0"/>
          <w:numId w:val="263"/>
        </w:numPr>
        <w:rPr>
          <w:rFonts w:ascii="Arial" w:cs="Arial" w:eastAsia="Arial" w:hAnsi="Arial"/>
          <w:sz w:val="15"/>
          <w:szCs w:val="15"/>
          <w:color w:val="auto"/>
        </w:rPr>
      </w:pPr>
      <w:r>
        <w:rPr>
          <w:rFonts w:ascii="Arial" w:cs="Arial" w:eastAsia="Arial" w:hAnsi="Arial"/>
          <w:sz w:val="15"/>
          <w:szCs w:val="15"/>
          <w:u w:val="single" w:color="auto"/>
          <w:color w:val="auto"/>
        </w:rPr>
        <w:t>Stockholder Nominations and Introduction of Business, Etc</w:t>
      </w:r>
      <w:r>
        <w:rPr>
          <w:rFonts w:ascii="Arial" w:cs="Arial" w:eastAsia="Arial" w:hAnsi="Arial"/>
          <w:sz w:val="15"/>
          <w:szCs w:val="15"/>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20" w:lineRule="exact"/>
        <w:rPr>
          <w:rFonts w:ascii="Arial" w:cs="Arial" w:eastAsia="Arial" w:hAnsi="Arial"/>
          <w:sz w:val="15"/>
          <w:szCs w:val="15"/>
          <w:color w:val="auto"/>
        </w:rPr>
      </w:pPr>
    </w:p>
    <w:p>
      <w:pPr>
        <w:ind w:right="160" w:firstLine="412"/>
        <w:spacing w:after="0" w:line="253" w:lineRule="auto"/>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Amendments to Article</w:t>
      </w:r>
      <w:r>
        <w:rPr>
          <w:rFonts w:ascii="Arial" w:cs="Arial" w:eastAsia="Arial" w:hAnsi="Arial"/>
          <w:sz w:val="17"/>
          <w:szCs w:val="17"/>
          <w:color w:val="auto"/>
        </w:rPr>
        <w:t>. Notwithstanding any other provisions of law, this 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EIGHTH.</w:t>
      </w:r>
    </w:p>
    <w:p>
      <w:pPr>
        <w:spacing w:after="0" w:line="180" w:lineRule="exact"/>
        <w:rPr>
          <w:sz w:val="20"/>
          <w:szCs w:val="20"/>
          <w:color w:val="auto"/>
        </w:rPr>
      </w:pPr>
    </w:p>
    <w:p>
      <w:pPr>
        <w:ind w:right="40" w:firstLine="409"/>
        <w:spacing w:after="0" w:line="251" w:lineRule="auto"/>
        <w:rPr>
          <w:sz w:val="20"/>
          <w:szCs w:val="20"/>
          <w:color w:val="auto"/>
        </w:rPr>
      </w:pPr>
      <w:r>
        <w:rPr>
          <w:rFonts w:ascii="Arial" w:cs="Arial" w:eastAsia="Arial" w:hAnsi="Arial"/>
          <w:sz w:val="17"/>
          <w:szCs w:val="17"/>
          <w:color w:val="auto"/>
        </w:rPr>
        <w:t>NINTH: No action that is required or permitted to be taken by the stockholders of the Corporation at any annual or special meeting of stockholders may be effected by written consent of stockholders in lieu of a meeting. Notwithstanding any other provisions of law, this 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NINTH.</w:t>
      </w:r>
    </w:p>
    <w:p>
      <w:pPr>
        <w:spacing w:after="0" w:line="183" w:lineRule="exact"/>
        <w:rPr>
          <w:sz w:val="20"/>
          <w:szCs w:val="20"/>
          <w:color w:val="auto"/>
        </w:rPr>
      </w:pPr>
    </w:p>
    <w:p>
      <w:pPr>
        <w:ind w:firstLine="409"/>
        <w:spacing w:after="0" w:line="250" w:lineRule="auto"/>
        <w:rPr>
          <w:sz w:val="20"/>
          <w:szCs w:val="20"/>
          <w:color w:val="auto"/>
        </w:rPr>
      </w:pPr>
      <w:r>
        <w:rPr>
          <w:rFonts w:ascii="Arial" w:cs="Arial" w:eastAsia="Arial" w:hAnsi="Arial"/>
          <w:sz w:val="17"/>
          <w:szCs w:val="17"/>
          <w:color w:val="auto"/>
        </w:rPr>
        <w:t>TENTH: Special meetings of stockholders for any purpose or purposes may be called at any time only by the Board of Directors, the chairperson of the Board of Directors, the chief executive officer or the president (in the absence of a chief executive officer) of the Corporation, and may not be called by any other person or persons. Business transacted at any special meeting of stockholders shall be limited to the purpose or purposes stated in the notice of meeting. Notwithstanding any other provisions of law, this 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TENTH.</w:t>
      </w:r>
    </w:p>
    <w:p>
      <w:pPr>
        <w:spacing w:after="0" w:line="181" w:lineRule="exact"/>
        <w:rPr>
          <w:sz w:val="20"/>
          <w:szCs w:val="20"/>
          <w:color w:val="auto"/>
        </w:rPr>
      </w:pPr>
    </w:p>
    <w:p>
      <w:pPr>
        <w:ind w:firstLine="409"/>
        <w:spacing w:after="0" w:line="253" w:lineRule="auto"/>
        <w:rPr>
          <w:sz w:val="20"/>
          <w:szCs w:val="20"/>
          <w:color w:val="auto"/>
        </w:rPr>
      </w:pPr>
      <w:r>
        <w:rPr>
          <w:rFonts w:ascii="Arial" w:cs="Arial" w:eastAsia="Arial" w:hAnsi="Arial"/>
          <w:sz w:val="17"/>
          <w:szCs w:val="17"/>
          <w:color w:val="auto"/>
        </w:rPr>
        <w:t>ELEVENTH: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 owed by any director, officer, employee or stockholder of the Corporation to the Corporation 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40"/>
          </w:cols>
          <w:pgMar w:left="820" w:top="265" w:right="839" w:bottom="1440" w:gutter="0" w:footer="0" w:header="0"/>
        </w:sectPr>
      </w:pPr>
    </w:p>
    <w:bookmarkStart w:id="324" w:name="page325"/>
    <w:bookmarkEnd w:id="324"/>
    <w:p>
      <w:pPr>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Corporation’s stockholders, (c) any action asserting a claim arising pursuant to any provision of the General Corporation Law of the State of Delaware or as to which the General Corporation Law of the State of Delaware confers jurisdiction on the Court of Chancery of the State of Delaware or</w:t>
      </w:r>
    </w:p>
    <w:p>
      <w:pPr>
        <w:spacing w:after="0" w:line="1" w:lineRule="exact"/>
        <w:rPr>
          <w:sz w:val="20"/>
          <w:szCs w:val="20"/>
          <w:color w:val="auto"/>
        </w:rPr>
      </w:pPr>
    </w:p>
    <w:p>
      <w:pPr>
        <w:ind w:right="20" w:firstLine="3"/>
        <w:spacing w:after="0" w:line="281" w:lineRule="auto"/>
        <w:tabs>
          <w:tab w:leader="none" w:pos="237" w:val="left"/>
        </w:tabs>
        <w:numPr>
          <w:ilvl w:val="0"/>
          <w:numId w:val="264"/>
        </w:numPr>
        <w:rPr>
          <w:rFonts w:ascii="Arial" w:cs="Arial" w:eastAsia="Arial" w:hAnsi="Arial"/>
          <w:sz w:val="15"/>
          <w:szCs w:val="15"/>
          <w:color w:val="auto"/>
        </w:rPr>
      </w:pPr>
      <w:r>
        <w:rPr>
          <w:rFonts w:ascii="Arial" w:cs="Arial" w:eastAsia="Arial" w:hAnsi="Arial"/>
          <w:sz w:val="15"/>
          <w:szCs w:val="15"/>
          <w:color w:val="auto"/>
        </w:rPr>
        <w:t xml:space="preserve">any action asserting a claim governed by the internal affairs doctrine, in each case subject to said Court of Chancery having personal jurisdiction over the indispensable parties named as defendants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provisions of this sentence will not apply to suits brought to enforce any liability or duty created by the Securities Act of 1933, as amended, or the Securities Exchange Act of 1934,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To the fullest extent permitted by applicable law, any person or entity purchasing or otherwise acquiring or holding any interest in shares of capital stock of the Corporation shall be deemed to have notice of and consented to the provisions of this Article ELEVENTH. Notwithstanding any other provisions of law, this 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40"/>
          </w:cols>
          <w:pgMar w:left="820" w:top="265" w:right="839" w:bottom="1440" w:gutter="0" w:footer="0" w:header="0"/>
        </w:sectPr>
      </w:pPr>
    </w:p>
    <w:bookmarkStart w:id="325" w:name="page326"/>
    <w:bookmarkEnd w:id="325"/>
    <w:p>
      <w:pPr>
        <w:jc w:val="both"/>
        <w:ind w:firstLine="40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this___ day of ____, 2020.</w:t>
      </w:r>
    </w:p>
    <w:p>
      <w:pPr>
        <w:spacing w:after="0" w:line="20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LYRA THERAPEUTICS, INC.</w:t>
      </w:r>
    </w:p>
    <w:p>
      <w:pPr>
        <w:spacing w:after="0" w:line="20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11430</wp:posOffset>
            </wp:positionV>
            <wp:extent cx="23831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 Maria Palasis, Ph.D.</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Title: President and Chief Executive Officer</w:t>
      </w:r>
    </w:p>
    <w:p>
      <w:pPr>
        <w:sectPr>
          <w:pgSz w:w="11900" w:h="16838" w:orient="portrait"/>
          <w:cols w:equalWidth="0" w:num="1">
            <w:col w:w="10140"/>
          </w:cols>
          <w:pgMar w:left="820" w:top="265" w:right="9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7"/>
          <w:szCs w:val="17"/>
          <w:b w:val="1"/>
          <w:bCs w:val="1"/>
          <w:color w:val="auto"/>
        </w:rPr>
        <w:t>Exhibit 3.4</w:t>
      </w: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AMENDED AND RESTATED</w:t>
      </w:r>
    </w:p>
    <w:p>
      <w:pPr>
        <w:spacing w:after="0" w:line="20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BYLAWS</w:t>
      </w:r>
    </w:p>
    <w:p>
      <w:pPr>
        <w:spacing w:after="0" w:line="20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OF</w:t>
      </w:r>
    </w:p>
    <w:p>
      <w:pPr>
        <w:spacing w:after="0" w:line="206"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LYRA THERAPEUTICS, INC.</w:t>
      </w:r>
    </w:p>
    <w:p>
      <w:pPr>
        <w:spacing w:after="0" w:line="218"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(a Delaware corporation)</w:t>
      </w:r>
    </w:p>
    <w:p>
      <w:pPr>
        <w:sectPr>
          <w:pgSz w:w="11900" w:h="16838" w:orient="portrait"/>
          <w:cols w:equalWidth="0" w:num="1">
            <w:col w:w="9620"/>
          </w:cols>
          <w:pgMar w:left="1440" w:top="123" w:right="83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9240" w:type="dxa"/>
            <w:vAlign w:val="bottom"/>
          </w:tcPr>
          <w:p>
            <w:pPr>
              <w:ind w:left="3540"/>
              <w:spacing w:after="0"/>
              <w:rPr>
                <w:sz w:val="20"/>
                <w:szCs w:val="20"/>
                <w:color w:val="auto"/>
              </w:rPr>
            </w:pPr>
            <w:r>
              <w:rPr>
                <w:rFonts w:ascii="Arial" w:cs="Arial" w:eastAsia="Arial" w:hAnsi="Arial"/>
                <w:sz w:val="17"/>
                <w:szCs w:val="17"/>
                <w:b w:val="1"/>
                <w:bCs w:val="1"/>
                <w:color w:val="auto"/>
              </w:rPr>
              <w:t>TABLE OF CONTENTS</w:t>
            </w:r>
          </w:p>
        </w:tc>
        <w:tc>
          <w:tcPr>
            <w:tcW w:w="280" w:type="dxa"/>
            <w:vAlign w:val="bottom"/>
          </w:tcPr>
          <w:p>
            <w:pPr>
              <w:spacing w:after="0"/>
              <w:rPr>
                <w:sz w:val="18"/>
                <w:szCs w:val="18"/>
                <w:color w:val="auto"/>
              </w:rPr>
            </w:pPr>
          </w:p>
        </w:tc>
      </w:tr>
      <w:tr>
        <w:trPr>
          <w:trHeight w:val="364"/>
        </w:trPr>
        <w:tc>
          <w:tcPr>
            <w:tcW w:w="68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Page</w:t>
            </w:r>
          </w:p>
        </w:tc>
      </w:tr>
      <w:tr>
        <w:trPr>
          <w:trHeight w:val="281"/>
        </w:trPr>
        <w:tc>
          <w:tcPr>
            <w:tcW w:w="9920" w:type="dxa"/>
            <w:vAlign w:val="bottom"/>
            <w:gridSpan w:val="2"/>
          </w:tcPr>
          <w:p>
            <w:pPr>
              <w:spacing w:after="0"/>
              <w:rPr>
                <w:sz w:val="20"/>
                <w:szCs w:val="20"/>
                <w:color w:val="auto"/>
              </w:rPr>
            </w:pPr>
            <w:r>
              <w:rPr>
                <w:rFonts w:ascii="Arial" w:cs="Arial" w:eastAsia="Arial" w:hAnsi="Arial"/>
                <w:sz w:val="17"/>
                <w:szCs w:val="17"/>
                <w:color w:val="auto"/>
              </w:rPr>
              <w:t>ARTICLE I - CORPORATE OFFICES</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rPr>
              <w:t>1.1</w:t>
            </w:r>
          </w:p>
        </w:tc>
        <w:tc>
          <w:tcPr>
            <w:tcW w:w="9240" w:type="dxa"/>
            <w:vAlign w:val="bottom"/>
          </w:tcPr>
          <w:p>
            <w:pPr>
              <w:ind w:left="40"/>
              <w:spacing w:after="0"/>
              <w:rPr>
                <w:sz w:val="20"/>
                <w:szCs w:val="20"/>
                <w:color w:val="auto"/>
              </w:rPr>
            </w:pPr>
            <w:r>
              <w:rPr>
                <w:rFonts w:ascii="Arial" w:cs="Arial" w:eastAsia="Arial" w:hAnsi="Arial"/>
                <w:sz w:val="17"/>
                <w:szCs w:val="17"/>
                <w:color w:val="auto"/>
              </w:rPr>
              <w:t>REGISTERED OFFICE</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rPr>
              <w:t>1.2</w:t>
            </w:r>
          </w:p>
        </w:tc>
        <w:tc>
          <w:tcPr>
            <w:tcW w:w="9240" w:type="dxa"/>
            <w:vAlign w:val="bottom"/>
          </w:tcPr>
          <w:p>
            <w:pPr>
              <w:ind w:left="40"/>
              <w:spacing w:after="0"/>
              <w:rPr>
                <w:sz w:val="20"/>
                <w:szCs w:val="20"/>
                <w:color w:val="auto"/>
              </w:rPr>
            </w:pPr>
            <w:r>
              <w:rPr>
                <w:rFonts w:ascii="Arial" w:cs="Arial" w:eastAsia="Arial" w:hAnsi="Arial"/>
                <w:sz w:val="17"/>
                <w:szCs w:val="17"/>
                <w:color w:val="auto"/>
              </w:rPr>
              <w:t>OTHER OFFICES</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1"/>
        </w:trPr>
        <w:tc>
          <w:tcPr>
            <w:tcW w:w="9920" w:type="dxa"/>
            <w:vAlign w:val="bottom"/>
            <w:gridSpan w:val="2"/>
          </w:tcPr>
          <w:p>
            <w:pPr>
              <w:spacing w:after="0"/>
              <w:rPr>
                <w:sz w:val="20"/>
                <w:szCs w:val="20"/>
                <w:color w:val="auto"/>
              </w:rPr>
            </w:pPr>
            <w:r>
              <w:rPr>
                <w:rFonts w:ascii="Arial" w:cs="Arial" w:eastAsia="Arial" w:hAnsi="Arial"/>
                <w:sz w:val="17"/>
                <w:szCs w:val="17"/>
                <w:color w:val="auto"/>
              </w:rPr>
              <w:t>ARTICLE II - MEETINGS OF STOCKHOLDERS</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89"/>
        </w:trPr>
        <w:tc>
          <w:tcPr>
            <w:tcW w:w="680" w:type="dxa"/>
            <w:vAlign w:val="bottom"/>
          </w:tcPr>
          <w:p>
            <w:pPr>
              <w:ind w:left="340"/>
              <w:spacing w:after="0"/>
              <w:rPr>
                <w:sz w:val="20"/>
                <w:szCs w:val="20"/>
                <w:color w:val="auto"/>
              </w:rPr>
            </w:pPr>
            <w:r>
              <w:rPr>
                <w:rFonts w:ascii="Arial" w:cs="Arial" w:eastAsia="Arial" w:hAnsi="Arial"/>
                <w:sz w:val="17"/>
                <w:szCs w:val="17"/>
                <w:color w:val="auto"/>
              </w:rPr>
              <w:t>2.1</w:t>
            </w:r>
          </w:p>
        </w:tc>
        <w:tc>
          <w:tcPr>
            <w:tcW w:w="9240" w:type="dxa"/>
            <w:vAlign w:val="bottom"/>
          </w:tcPr>
          <w:p>
            <w:pPr>
              <w:ind w:left="40"/>
              <w:spacing w:after="0"/>
              <w:rPr>
                <w:sz w:val="20"/>
                <w:szCs w:val="20"/>
                <w:color w:val="auto"/>
              </w:rPr>
            </w:pPr>
            <w:r>
              <w:rPr>
                <w:rFonts w:ascii="Arial" w:cs="Arial" w:eastAsia="Arial" w:hAnsi="Arial"/>
                <w:sz w:val="17"/>
                <w:szCs w:val="17"/>
                <w:color w:val="auto"/>
              </w:rPr>
              <w:t>PLACE OF MEETINGS</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2.2</w:t>
            </w:r>
          </w:p>
        </w:tc>
        <w:tc>
          <w:tcPr>
            <w:tcW w:w="9240" w:type="dxa"/>
            <w:vAlign w:val="bottom"/>
          </w:tcPr>
          <w:p>
            <w:pPr>
              <w:ind w:left="40"/>
              <w:spacing w:after="0"/>
              <w:rPr>
                <w:sz w:val="20"/>
                <w:szCs w:val="20"/>
                <w:color w:val="auto"/>
              </w:rPr>
            </w:pPr>
            <w:r>
              <w:rPr>
                <w:rFonts w:ascii="Arial" w:cs="Arial" w:eastAsia="Arial" w:hAnsi="Arial"/>
                <w:sz w:val="17"/>
                <w:szCs w:val="17"/>
                <w:color w:val="auto"/>
              </w:rPr>
              <w:t>ANNUAL MEETING</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2.3</w:t>
            </w:r>
          </w:p>
        </w:tc>
        <w:tc>
          <w:tcPr>
            <w:tcW w:w="9240" w:type="dxa"/>
            <w:vAlign w:val="bottom"/>
          </w:tcPr>
          <w:p>
            <w:pPr>
              <w:ind w:left="40"/>
              <w:spacing w:after="0"/>
              <w:rPr>
                <w:sz w:val="20"/>
                <w:szCs w:val="20"/>
                <w:color w:val="auto"/>
              </w:rPr>
            </w:pPr>
            <w:r>
              <w:rPr>
                <w:rFonts w:ascii="Arial" w:cs="Arial" w:eastAsia="Arial" w:hAnsi="Arial"/>
                <w:sz w:val="17"/>
                <w:szCs w:val="17"/>
                <w:color w:val="auto"/>
              </w:rPr>
              <w:t>SPECIAL MEETING</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2.4</w:t>
            </w:r>
          </w:p>
        </w:tc>
        <w:tc>
          <w:tcPr>
            <w:tcW w:w="9240" w:type="dxa"/>
            <w:vAlign w:val="bottom"/>
          </w:tcPr>
          <w:p>
            <w:pPr>
              <w:ind w:left="40"/>
              <w:spacing w:after="0"/>
              <w:rPr>
                <w:sz w:val="20"/>
                <w:szCs w:val="20"/>
                <w:color w:val="auto"/>
              </w:rPr>
            </w:pPr>
            <w:r>
              <w:rPr>
                <w:rFonts w:ascii="Arial" w:cs="Arial" w:eastAsia="Arial" w:hAnsi="Arial"/>
                <w:sz w:val="17"/>
                <w:szCs w:val="17"/>
                <w:color w:val="auto"/>
              </w:rPr>
              <w:t>ADVANCE NOTICE PROCEDURES FOR BUSINESS BROUGHT BEFORE A MEETING</w:t>
            </w: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2.5</w:t>
            </w:r>
          </w:p>
        </w:tc>
        <w:tc>
          <w:tcPr>
            <w:tcW w:w="9240" w:type="dxa"/>
            <w:vAlign w:val="bottom"/>
          </w:tcPr>
          <w:p>
            <w:pPr>
              <w:ind w:left="40"/>
              <w:spacing w:after="0"/>
              <w:rPr>
                <w:sz w:val="20"/>
                <w:szCs w:val="20"/>
                <w:color w:val="auto"/>
              </w:rPr>
            </w:pPr>
            <w:r>
              <w:rPr>
                <w:rFonts w:ascii="Arial" w:cs="Arial" w:eastAsia="Arial" w:hAnsi="Arial"/>
                <w:sz w:val="17"/>
                <w:szCs w:val="17"/>
                <w:color w:val="auto"/>
              </w:rPr>
              <w:t>ADVANCE NOTICE PROCEDURES FOR NOMINATIONS OF DIRECTORS</w:t>
            </w:r>
          </w:p>
        </w:tc>
        <w:tc>
          <w:tcPr>
            <w:tcW w:w="2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2.6</w:t>
            </w:r>
          </w:p>
        </w:tc>
        <w:tc>
          <w:tcPr>
            <w:tcW w:w="9240" w:type="dxa"/>
            <w:vAlign w:val="bottom"/>
          </w:tcPr>
          <w:p>
            <w:pPr>
              <w:ind w:left="40"/>
              <w:spacing w:after="0"/>
              <w:rPr>
                <w:sz w:val="20"/>
                <w:szCs w:val="20"/>
                <w:color w:val="auto"/>
              </w:rPr>
            </w:pPr>
            <w:r>
              <w:rPr>
                <w:rFonts w:ascii="Arial" w:cs="Arial" w:eastAsia="Arial" w:hAnsi="Arial"/>
                <w:sz w:val="17"/>
                <w:szCs w:val="17"/>
                <w:color w:val="auto"/>
              </w:rPr>
              <w:t>NOTICE OF STOCKHOLDERS’ MEETINGS</w:t>
            </w:r>
          </w:p>
        </w:tc>
        <w:tc>
          <w:tcPr>
            <w:tcW w:w="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2.7</w:t>
            </w:r>
          </w:p>
        </w:tc>
        <w:tc>
          <w:tcPr>
            <w:tcW w:w="9240" w:type="dxa"/>
            <w:vAlign w:val="bottom"/>
          </w:tcPr>
          <w:p>
            <w:pPr>
              <w:ind w:left="40"/>
              <w:spacing w:after="0"/>
              <w:rPr>
                <w:sz w:val="20"/>
                <w:szCs w:val="20"/>
                <w:color w:val="auto"/>
              </w:rPr>
            </w:pPr>
            <w:r>
              <w:rPr>
                <w:rFonts w:ascii="Arial" w:cs="Arial" w:eastAsia="Arial" w:hAnsi="Arial"/>
                <w:sz w:val="17"/>
                <w:szCs w:val="17"/>
                <w:color w:val="auto"/>
              </w:rPr>
              <w:t>MANNER OF GIVING NOTICE; AFFIDAVIT OF NOTICE</w:t>
            </w:r>
          </w:p>
        </w:tc>
        <w:tc>
          <w:tcPr>
            <w:tcW w:w="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2.8</w:t>
            </w:r>
          </w:p>
        </w:tc>
        <w:tc>
          <w:tcPr>
            <w:tcW w:w="9240" w:type="dxa"/>
            <w:vAlign w:val="bottom"/>
          </w:tcPr>
          <w:p>
            <w:pPr>
              <w:ind w:left="40"/>
              <w:spacing w:after="0"/>
              <w:rPr>
                <w:sz w:val="20"/>
                <w:szCs w:val="20"/>
                <w:color w:val="auto"/>
              </w:rPr>
            </w:pPr>
            <w:r>
              <w:rPr>
                <w:rFonts w:ascii="Arial" w:cs="Arial" w:eastAsia="Arial" w:hAnsi="Arial"/>
                <w:sz w:val="17"/>
                <w:szCs w:val="17"/>
                <w:color w:val="auto"/>
              </w:rPr>
              <w:t>QUORUM</w:t>
            </w:r>
          </w:p>
        </w:tc>
        <w:tc>
          <w:tcPr>
            <w:tcW w:w="2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2.9</w:t>
            </w:r>
          </w:p>
        </w:tc>
        <w:tc>
          <w:tcPr>
            <w:tcW w:w="9240" w:type="dxa"/>
            <w:vAlign w:val="bottom"/>
          </w:tcPr>
          <w:p>
            <w:pPr>
              <w:ind w:left="40"/>
              <w:spacing w:after="0"/>
              <w:rPr>
                <w:sz w:val="20"/>
                <w:szCs w:val="20"/>
                <w:color w:val="auto"/>
              </w:rPr>
            </w:pPr>
            <w:r>
              <w:rPr>
                <w:rFonts w:ascii="Arial" w:cs="Arial" w:eastAsia="Arial" w:hAnsi="Arial"/>
                <w:sz w:val="17"/>
                <w:szCs w:val="17"/>
                <w:color w:val="auto"/>
              </w:rPr>
              <w:t>ADJOURNED MEETING; NOTICE</w:t>
            </w:r>
          </w:p>
        </w:tc>
        <w:tc>
          <w:tcPr>
            <w:tcW w:w="2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2.10</w:t>
            </w:r>
          </w:p>
        </w:tc>
        <w:tc>
          <w:tcPr>
            <w:tcW w:w="9240" w:type="dxa"/>
            <w:vAlign w:val="bottom"/>
          </w:tcPr>
          <w:p>
            <w:pPr>
              <w:ind w:left="40"/>
              <w:spacing w:after="0"/>
              <w:rPr>
                <w:sz w:val="20"/>
                <w:szCs w:val="20"/>
                <w:color w:val="auto"/>
              </w:rPr>
            </w:pPr>
            <w:r>
              <w:rPr>
                <w:rFonts w:ascii="Arial" w:cs="Arial" w:eastAsia="Arial" w:hAnsi="Arial"/>
                <w:sz w:val="17"/>
                <w:szCs w:val="17"/>
                <w:color w:val="auto"/>
              </w:rPr>
              <w:t>CONDUCT OF BUSINESS</w:t>
            </w:r>
          </w:p>
        </w:tc>
        <w:tc>
          <w:tcPr>
            <w:tcW w:w="2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2.11</w:t>
            </w:r>
          </w:p>
        </w:tc>
        <w:tc>
          <w:tcPr>
            <w:tcW w:w="9240" w:type="dxa"/>
            <w:vAlign w:val="bottom"/>
          </w:tcPr>
          <w:p>
            <w:pPr>
              <w:ind w:left="40"/>
              <w:spacing w:after="0"/>
              <w:rPr>
                <w:sz w:val="20"/>
                <w:szCs w:val="20"/>
                <w:color w:val="auto"/>
              </w:rPr>
            </w:pPr>
            <w:r>
              <w:rPr>
                <w:rFonts w:ascii="Arial" w:cs="Arial" w:eastAsia="Arial" w:hAnsi="Arial"/>
                <w:sz w:val="17"/>
                <w:szCs w:val="17"/>
                <w:color w:val="auto"/>
              </w:rPr>
              <w:t>VOTING</w:t>
            </w:r>
          </w:p>
        </w:tc>
        <w:tc>
          <w:tcPr>
            <w:tcW w:w="2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2.12</w:t>
            </w:r>
          </w:p>
        </w:tc>
        <w:tc>
          <w:tcPr>
            <w:tcW w:w="9240" w:type="dxa"/>
            <w:vAlign w:val="bottom"/>
          </w:tcPr>
          <w:p>
            <w:pPr>
              <w:ind w:left="40"/>
              <w:spacing w:after="0"/>
              <w:rPr>
                <w:sz w:val="20"/>
                <w:szCs w:val="20"/>
                <w:color w:val="auto"/>
              </w:rPr>
            </w:pPr>
            <w:r>
              <w:rPr>
                <w:rFonts w:ascii="Arial" w:cs="Arial" w:eastAsia="Arial" w:hAnsi="Arial"/>
                <w:sz w:val="17"/>
                <w:szCs w:val="17"/>
                <w:color w:val="auto"/>
              </w:rPr>
              <w:t>STOCKHOLDER ACTION BY WRITTEN CONSENT WITHOUT A MEETING</w:t>
            </w:r>
          </w:p>
        </w:tc>
        <w:tc>
          <w:tcPr>
            <w:tcW w:w="2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2.13</w:t>
            </w:r>
          </w:p>
        </w:tc>
        <w:tc>
          <w:tcPr>
            <w:tcW w:w="9240" w:type="dxa"/>
            <w:vAlign w:val="bottom"/>
          </w:tcPr>
          <w:p>
            <w:pPr>
              <w:ind w:left="40"/>
              <w:spacing w:after="0"/>
              <w:rPr>
                <w:sz w:val="20"/>
                <w:szCs w:val="20"/>
                <w:color w:val="auto"/>
              </w:rPr>
            </w:pPr>
            <w:r>
              <w:rPr>
                <w:rFonts w:ascii="Arial" w:cs="Arial" w:eastAsia="Arial" w:hAnsi="Arial"/>
                <w:sz w:val="17"/>
                <w:szCs w:val="17"/>
                <w:color w:val="auto"/>
              </w:rPr>
              <w:t>RECORD DATE FOR STOCKHOLDER NOTICE; VOTING</w:t>
            </w:r>
          </w:p>
        </w:tc>
        <w:tc>
          <w:tcPr>
            <w:tcW w:w="2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2.14</w:t>
            </w:r>
          </w:p>
        </w:tc>
        <w:tc>
          <w:tcPr>
            <w:tcW w:w="9240" w:type="dxa"/>
            <w:vAlign w:val="bottom"/>
          </w:tcPr>
          <w:p>
            <w:pPr>
              <w:ind w:left="40"/>
              <w:spacing w:after="0"/>
              <w:rPr>
                <w:sz w:val="20"/>
                <w:szCs w:val="20"/>
                <w:color w:val="auto"/>
              </w:rPr>
            </w:pPr>
            <w:r>
              <w:rPr>
                <w:rFonts w:ascii="Arial" w:cs="Arial" w:eastAsia="Arial" w:hAnsi="Arial"/>
                <w:sz w:val="17"/>
                <w:szCs w:val="17"/>
                <w:color w:val="auto"/>
              </w:rPr>
              <w:t>PROXIES</w:t>
            </w:r>
          </w:p>
        </w:tc>
        <w:tc>
          <w:tcPr>
            <w:tcW w:w="2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2.15</w:t>
            </w:r>
          </w:p>
        </w:tc>
        <w:tc>
          <w:tcPr>
            <w:tcW w:w="9240" w:type="dxa"/>
            <w:vAlign w:val="bottom"/>
          </w:tcPr>
          <w:p>
            <w:pPr>
              <w:ind w:left="40"/>
              <w:spacing w:after="0"/>
              <w:rPr>
                <w:sz w:val="20"/>
                <w:szCs w:val="20"/>
                <w:color w:val="auto"/>
              </w:rPr>
            </w:pPr>
            <w:r>
              <w:rPr>
                <w:rFonts w:ascii="Arial" w:cs="Arial" w:eastAsia="Arial" w:hAnsi="Arial"/>
                <w:sz w:val="17"/>
                <w:szCs w:val="17"/>
                <w:color w:val="auto"/>
              </w:rPr>
              <w:t>LIST OF STOCKHOLDERS ENTITLED TO VOTE</w:t>
            </w:r>
          </w:p>
        </w:tc>
        <w:tc>
          <w:tcPr>
            <w:tcW w:w="2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2.16</w:t>
            </w:r>
          </w:p>
        </w:tc>
        <w:tc>
          <w:tcPr>
            <w:tcW w:w="9240" w:type="dxa"/>
            <w:vAlign w:val="bottom"/>
          </w:tcPr>
          <w:p>
            <w:pPr>
              <w:ind w:left="40"/>
              <w:spacing w:after="0"/>
              <w:rPr>
                <w:sz w:val="20"/>
                <w:szCs w:val="20"/>
                <w:color w:val="auto"/>
              </w:rPr>
            </w:pPr>
            <w:r>
              <w:rPr>
                <w:rFonts w:ascii="Arial" w:cs="Arial" w:eastAsia="Arial" w:hAnsi="Arial"/>
                <w:sz w:val="17"/>
                <w:szCs w:val="17"/>
                <w:color w:val="auto"/>
              </w:rPr>
              <w:t>POSTPONEMENT, ADJOURNMENT AND CANCELLATION OF MEETING.</w:t>
            </w:r>
          </w:p>
        </w:tc>
        <w:tc>
          <w:tcPr>
            <w:tcW w:w="2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3"/>
        </w:trPr>
        <w:tc>
          <w:tcPr>
            <w:tcW w:w="680" w:type="dxa"/>
            <w:vAlign w:val="bottom"/>
          </w:tcPr>
          <w:p>
            <w:pPr>
              <w:ind w:left="340"/>
              <w:spacing w:after="0"/>
              <w:rPr>
                <w:sz w:val="20"/>
                <w:szCs w:val="20"/>
                <w:color w:val="auto"/>
              </w:rPr>
            </w:pPr>
            <w:r>
              <w:rPr>
                <w:rFonts w:ascii="Arial" w:cs="Arial" w:eastAsia="Arial" w:hAnsi="Arial"/>
                <w:sz w:val="17"/>
                <w:szCs w:val="17"/>
                <w:color w:val="auto"/>
                <w:w w:val="96"/>
              </w:rPr>
              <w:t>2.17</w:t>
            </w:r>
          </w:p>
        </w:tc>
        <w:tc>
          <w:tcPr>
            <w:tcW w:w="9240" w:type="dxa"/>
            <w:vAlign w:val="bottom"/>
          </w:tcPr>
          <w:p>
            <w:pPr>
              <w:ind w:left="40"/>
              <w:spacing w:after="0"/>
              <w:rPr>
                <w:sz w:val="20"/>
                <w:szCs w:val="20"/>
                <w:color w:val="auto"/>
              </w:rPr>
            </w:pPr>
            <w:r>
              <w:rPr>
                <w:rFonts w:ascii="Arial" w:cs="Arial" w:eastAsia="Arial" w:hAnsi="Arial"/>
                <w:sz w:val="17"/>
                <w:szCs w:val="17"/>
                <w:color w:val="auto"/>
              </w:rPr>
              <w:t>INSPECTORS OF ELECTION</w:t>
            </w:r>
          </w:p>
        </w:tc>
        <w:tc>
          <w:tcPr>
            <w:tcW w:w="2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01"/>
        </w:trPr>
        <w:tc>
          <w:tcPr>
            <w:tcW w:w="9920" w:type="dxa"/>
            <w:vAlign w:val="bottom"/>
            <w:gridSpan w:val="2"/>
          </w:tcPr>
          <w:p>
            <w:pPr>
              <w:spacing w:after="0"/>
              <w:rPr>
                <w:sz w:val="20"/>
                <w:szCs w:val="20"/>
                <w:color w:val="auto"/>
              </w:rPr>
            </w:pPr>
            <w:r>
              <w:rPr>
                <w:rFonts w:ascii="Arial" w:cs="Arial" w:eastAsia="Arial" w:hAnsi="Arial"/>
                <w:sz w:val="17"/>
                <w:szCs w:val="17"/>
                <w:color w:val="auto"/>
              </w:rPr>
              <w:t>ARTICLE III - DIRECTORS</w:t>
            </w:r>
          </w:p>
        </w:tc>
        <w:tc>
          <w:tcPr>
            <w:tcW w:w="2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89"/>
        </w:trPr>
        <w:tc>
          <w:tcPr>
            <w:tcW w:w="680" w:type="dxa"/>
            <w:vAlign w:val="bottom"/>
          </w:tcPr>
          <w:p>
            <w:pPr>
              <w:ind w:left="340"/>
              <w:spacing w:after="0"/>
              <w:rPr>
                <w:sz w:val="20"/>
                <w:szCs w:val="20"/>
                <w:color w:val="auto"/>
              </w:rPr>
            </w:pPr>
            <w:r>
              <w:rPr>
                <w:rFonts w:ascii="Arial" w:cs="Arial" w:eastAsia="Arial" w:hAnsi="Arial"/>
                <w:sz w:val="17"/>
                <w:szCs w:val="17"/>
                <w:color w:val="auto"/>
              </w:rPr>
              <w:t>3.1</w:t>
            </w:r>
          </w:p>
        </w:tc>
        <w:tc>
          <w:tcPr>
            <w:tcW w:w="9240" w:type="dxa"/>
            <w:vAlign w:val="bottom"/>
          </w:tcPr>
          <w:p>
            <w:pPr>
              <w:ind w:left="40"/>
              <w:spacing w:after="0"/>
              <w:rPr>
                <w:sz w:val="20"/>
                <w:szCs w:val="20"/>
                <w:color w:val="auto"/>
              </w:rPr>
            </w:pPr>
            <w:r>
              <w:rPr>
                <w:rFonts w:ascii="Arial" w:cs="Arial" w:eastAsia="Arial" w:hAnsi="Arial"/>
                <w:sz w:val="17"/>
                <w:szCs w:val="17"/>
                <w:color w:val="auto"/>
              </w:rPr>
              <w:t>POWERS</w:t>
            </w:r>
          </w:p>
        </w:tc>
        <w:tc>
          <w:tcPr>
            <w:tcW w:w="2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3.2</w:t>
            </w:r>
          </w:p>
        </w:tc>
        <w:tc>
          <w:tcPr>
            <w:tcW w:w="9240" w:type="dxa"/>
            <w:vAlign w:val="bottom"/>
          </w:tcPr>
          <w:p>
            <w:pPr>
              <w:ind w:left="40"/>
              <w:spacing w:after="0"/>
              <w:rPr>
                <w:sz w:val="20"/>
                <w:szCs w:val="20"/>
                <w:color w:val="auto"/>
              </w:rPr>
            </w:pPr>
            <w:r>
              <w:rPr>
                <w:rFonts w:ascii="Arial" w:cs="Arial" w:eastAsia="Arial" w:hAnsi="Arial"/>
                <w:sz w:val="17"/>
                <w:szCs w:val="17"/>
                <w:color w:val="auto"/>
              </w:rPr>
              <w:t>NUMBER OF DIRECTORS</w:t>
            </w:r>
          </w:p>
        </w:tc>
        <w:tc>
          <w:tcPr>
            <w:tcW w:w="2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3.3</w:t>
            </w:r>
          </w:p>
        </w:tc>
        <w:tc>
          <w:tcPr>
            <w:tcW w:w="9240" w:type="dxa"/>
            <w:vAlign w:val="bottom"/>
          </w:tcPr>
          <w:p>
            <w:pPr>
              <w:ind w:left="40"/>
              <w:spacing w:after="0"/>
              <w:rPr>
                <w:sz w:val="20"/>
                <w:szCs w:val="20"/>
                <w:color w:val="auto"/>
              </w:rPr>
            </w:pPr>
            <w:r>
              <w:rPr>
                <w:rFonts w:ascii="Arial" w:cs="Arial" w:eastAsia="Arial" w:hAnsi="Arial"/>
                <w:sz w:val="17"/>
                <w:szCs w:val="17"/>
                <w:color w:val="auto"/>
              </w:rPr>
              <w:t>ELECTION, QUALIFICATION AND TERM OF OFFICE OF DIRECTORS</w:t>
            </w:r>
          </w:p>
        </w:tc>
        <w:tc>
          <w:tcPr>
            <w:tcW w:w="2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3.4</w:t>
            </w:r>
          </w:p>
        </w:tc>
        <w:tc>
          <w:tcPr>
            <w:tcW w:w="9240" w:type="dxa"/>
            <w:vAlign w:val="bottom"/>
          </w:tcPr>
          <w:p>
            <w:pPr>
              <w:ind w:left="40"/>
              <w:spacing w:after="0"/>
              <w:rPr>
                <w:sz w:val="20"/>
                <w:szCs w:val="20"/>
                <w:color w:val="auto"/>
              </w:rPr>
            </w:pPr>
            <w:r>
              <w:rPr>
                <w:rFonts w:ascii="Arial" w:cs="Arial" w:eastAsia="Arial" w:hAnsi="Arial"/>
                <w:sz w:val="17"/>
                <w:szCs w:val="17"/>
                <w:color w:val="auto"/>
              </w:rPr>
              <w:t>RESIGNATION AND VACANCIES</w:t>
            </w:r>
          </w:p>
        </w:tc>
        <w:tc>
          <w:tcPr>
            <w:tcW w:w="2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3.5</w:t>
            </w:r>
          </w:p>
        </w:tc>
        <w:tc>
          <w:tcPr>
            <w:tcW w:w="9240" w:type="dxa"/>
            <w:vAlign w:val="bottom"/>
          </w:tcPr>
          <w:p>
            <w:pPr>
              <w:ind w:left="40"/>
              <w:spacing w:after="0"/>
              <w:rPr>
                <w:sz w:val="20"/>
                <w:szCs w:val="20"/>
                <w:color w:val="auto"/>
              </w:rPr>
            </w:pPr>
            <w:r>
              <w:rPr>
                <w:rFonts w:ascii="Arial" w:cs="Arial" w:eastAsia="Arial" w:hAnsi="Arial"/>
                <w:sz w:val="17"/>
                <w:szCs w:val="17"/>
                <w:color w:val="auto"/>
              </w:rPr>
              <w:t>PLACE OF MEETINGS; MEETINGS BY TELEPHONE</w:t>
            </w:r>
          </w:p>
        </w:tc>
        <w:tc>
          <w:tcPr>
            <w:tcW w:w="2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3.6</w:t>
            </w:r>
          </w:p>
        </w:tc>
        <w:tc>
          <w:tcPr>
            <w:tcW w:w="9240" w:type="dxa"/>
            <w:vAlign w:val="bottom"/>
          </w:tcPr>
          <w:p>
            <w:pPr>
              <w:ind w:left="40"/>
              <w:spacing w:after="0"/>
              <w:rPr>
                <w:sz w:val="20"/>
                <w:szCs w:val="20"/>
                <w:color w:val="auto"/>
              </w:rPr>
            </w:pPr>
            <w:r>
              <w:rPr>
                <w:rFonts w:ascii="Arial" w:cs="Arial" w:eastAsia="Arial" w:hAnsi="Arial"/>
                <w:sz w:val="17"/>
                <w:szCs w:val="17"/>
                <w:color w:val="auto"/>
              </w:rPr>
              <w:t>REGULAR MEETINGS</w:t>
            </w:r>
          </w:p>
        </w:tc>
        <w:tc>
          <w:tcPr>
            <w:tcW w:w="2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3.7</w:t>
            </w:r>
          </w:p>
        </w:tc>
        <w:tc>
          <w:tcPr>
            <w:tcW w:w="9240" w:type="dxa"/>
            <w:vAlign w:val="bottom"/>
          </w:tcPr>
          <w:p>
            <w:pPr>
              <w:ind w:left="40"/>
              <w:spacing w:after="0"/>
              <w:rPr>
                <w:sz w:val="20"/>
                <w:szCs w:val="20"/>
                <w:color w:val="auto"/>
              </w:rPr>
            </w:pPr>
            <w:r>
              <w:rPr>
                <w:rFonts w:ascii="Arial" w:cs="Arial" w:eastAsia="Arial" w:hAnsi="Arial"/>
                <w:sz w:val="17"/>
                <w:szCs w:val="17"/>
                <w:color w:val="auto"/>
              </w:rPr>
              <w:t>SPECIAL MEETINGS; NOTICE</w:t>
            </w:r>
          </w:p>
        </w:tc>
        <w:tc>
          <w:tcPr>
            <w:tcW w:w="2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3.8</w:t>
            </w:r>
          </w:p>
        </w:tc>
        <w:tc>
          <w:tcPr>
            <w:tcW w:w="9240" w:type="dxa"/>
            <w:vAlign w:val="bottom"/>
          </w:tcPr>
          <w:p>
            <w:pPr>
              <w:ind w:left="40"/>
              <w:spacing w:after="0"/>
              <w:rPr>
                <w:sz w:val="20"/>
                <w:szCs w:val="20"/>
                <w:color w:val="auto"/>
              </w:rPr>
            </w:pPr>
            <w:r>
              <w:rPr>
                <w:rFonts w:ascii="Arial" w:cs="Arial" w:eastAsia="Arial" w:hAnsi="Arial"/>
                <w:sz w:val="17"/>
                <w:szCs w:val="17"/>
                <w:color w:val="auto"/>
              </w:rPr>
              <w:t>QUORUM</w:t>
            </w:r>
          </w:p>
        </w:tc>
        <w:tc>
          <w:tcPr>
            <w:tcW w:w="2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3.9</w:t>
            </w:r>
          </w:p>
        </w:tc>
        <w:tc>
          <w:tcPr>
            <w:tcW w:w="9240" w:type="dxa"/>
            <w:vAlign w:val="bottom"/>
          </w:tcPr>
          <w:p>
            <w:pPr>
              <w:ind w:left="40"/>
              <w:spacing w:after="0"/>
              <w:rPr>
                <w:sz w:val="20"/>
                <w:szCs w:val="20"/>
                <w:color w:val="auto"/>
              </w:rPr>
            </w:pPr>
            <w:r>
              <w:rPr>
                <w:rFonts w:ascii="Arial" w:cs="Arial" w:eastAsia="Arial" w:hAnsi="Arial"/>
                <w:sz w:val="17"/>
                <w:szCs w:val="17"/>
                <w:color w:val="auto"/>
              </w:rPr>
              <w:t>BOARD ACTION BY CONSENT WITHOUT A MEETING</w:t>
            </w:r>
          </w:p>
        </w:tc>
        <w:tc>
          <w:tcPr>
            <w:tcW w:w="2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3.10</w:t>
            </w:r>
          </w:p>
        </w:tc>
        <w:tc>
          <w:tcPr>
            <w:tcW w:w="9240" w:type="dxa"/>
            <w:vAlign w:val="bottom"/>
          </w:tcPr>
          <w:p>
            <w:pPr>
              <w:ind w:left="40"/>
              <w:spacing w:after="0"/>
              <w:rPr>
                <w:sz w:val="20"/>
                <w:szCs w:val="20"/>
                <w:color w:val="auto"/>
              </w:rPr>
            </w:pPr>
            <w:r>
              <w:rPr>
                <w:rFonts w:ascii="Arial" w:cs="Arial" w:eastAsia="Arial" w:hAnsi="Arial"/>
                <w:sz w:val="17"/>
                <w:szCs w:val="17"/>
                <w:color w:val="auto"/>
              </w:rPr>
              <w:t>FEES AND COMPENSATION OF DIRECTORS</w:t>
            </w:r>
          </w:p>
        </w:tc>
        <w:tc>
          <w:tcPr>
            <w:tcW w:w="2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3"/>
        </w:trPr>
        <w:tc>
          <w:tcPr>
            <w:tcW w:w="680" w:type="dxa"/>
            <w:vAlign w:val="bottom"/>
          </w:tcPr>
          <w:p>
            <w:pPr>
              <w:ind w:left="340"/>
              <w:spacing w:after="0"/>
              <w:rPr>
                <w:sz w:val="20"/>
                <w:szCs w:val="20"/>
                <w:color w:val="auto"/>
              </w:rPr>
            </w:pPr>
            <w:r>
              <w:rPr>
                <w:rFonts w:ascii="Arial" w:cs="Arial" w:eastAsia="Arial" w:hAnsi="Arial"/>
                <w:sz w:val="17"/>
                <w:szCs w:val="17"/>
                <w:color w:val="auto"/>
                <w:w w:val="96"/>
              </w:rPr>
              <w:t>3.11</w:t>
            </w:r>
          </w:p>
        </w:tc>
        <w:tc>
          <w:tcPr>
            <w:tcW w:w="9240" w:type="dxa"/>
            <w:vAlign w:val="bottom"/>
          </w:tcPr>
          <w:p>
            <w:pPr>
              <w:ind w:left="40"/>
              <w:spacing w:after="0"/>
              <w:rPr>
                <w:sz w:val="20"/>
                <w:szCs w:val="20"/>
                <w:color w:val="auto"/>
              </w:rPr>
            </w:pPr>
            <w:r>
              <w:rPr>
                <w:rFonts w:ascii="Arial" w:cs="Arial" w:eastAsia="Arial" w:hAnsi="Arial"/>
                <w:sz w:val="17"/>
                <w:szCs w:val="17"/>
                <w:color w:val="auto"/>
              </w:rPr>
              <w:t>REMOVAL OF DIRECTORS</w:t>
            </w:r>
          </w:p>
        </w:tc>
        <w:tc>
          <w:tcPr>
            <w:tcW w:w="2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01"/>
        </w:trPr>
        <w:tc>
          <w:tcPr>
            <w:tcW w:w="9920" w:type="dxa"/>
            <w:vAlign w:val="bottom"/>
            <w:gridSpan w:val="2"/>
          </w:tcPr>
          <w:p>
            <w:pPr>
              <w:spacing w:after="0"/>
              <w:rPr>
                <w:sz w:val="20"/>
                <w:szCs w:val="20"/>
                <w:color w:val="auto"/>
              </w:rPr>
            </w:pPr>
            <w:r>
              <w:rPr>
                <w:rFonts w:ascii="Arial" w:cs="Arial" w:eastAsia="Arial" w:hAnsi="Arial"/>
                <w:sz w:val="17"/>
                <w:szCs w:val="17"/>
                <w:color w:val="auto"/>
              </w:rPr>
              <w:t>ARTICLE IV - COMMITTEES</w:t>
            </w:r>
          </w:p>
        </w:tc>
        <w:tc>
          <w:tcPr>
            <w:tcW w:w="2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89"/>
        </w:trPr>
        <w:tc>
          <w:tcPr>
            <w:tcW w:w="680" w:type="dxa"/>
            <w:vAlign w:val="bottom"/>
          </w:tcPr>
          <w:p>
            <w:pPr>
              <w:ind w:left="340"/>
              <w:spacing w:after="0"/>
              <w:rPr>
                <w:sz w:val="20"/>
                <w:szCs w:val="20"/>
                <w:color w:val="auto"/>
              </w:rPr>
            </w:pPr>
            <w:r>
              <w:rPr>
                <w:rFonts w:ascii="Arial" w:cs="Arial" w:eastAsia="Arial" w:hAnsi="Arial"/>
                <w:sz w:val="17"/>
                <w:szCs w:val="17"/>
                <w:color w:val="auto"/>
              </w:rPr>
              <w:t>4.1</w:t>
            </w:r>
          </w:p>
        </w:tc>
        <w:tc>
          <w:tcPr>
            <w:tcW w:w="9240" w:type="dxa"/>
            <w:vAlign w:val="bottom"/>
          </w:tcPr>
          <w:p>
            <w:pPr>
              <w:ind w:left="40"/>
              <w:spacing w:after="0"/>
              <w:rPr>
                <w:sz w:val="20"/>
                <w:szCs w:val="20"/>
                <w:color w:val="auto"/>
              </w:rPr>
            </w:pPr>
            <w:r>
              <w:rPr>
                <w:rFonts w:ascii="Arial" w:cs="Arial" w:eastAsia="Arial" w:hAnsi="Arial"/>
                <w:sz w:val="17"/>
                <w:szCs w:val="17"/>
                <w:color w:val="auto"/>
              </w:rPr>
              <w:t>COMMITTEES OF DIRECTORS</w:t>
            </w:r>
          </w:p>
        </w:tc>
        <w:tc>
          <w:tcPr>
            <w:tcW w:w="2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4.2</w:t>
            </w:r>
          </w:p>
        </w:tc>
        <w:tc>
          <w:tcPr>
            <w:tcW w:w="9240" w:type="dxa"/>
            <w:vAlign w:val="bottom"/>
          </w:tcPr>
          <w:p>
            <w:pPr>
              <w:ind w:left="40"/>
              <w:spacing w:after="0"/>
              <w:rPr>
                <w:sz w:val="20"/>
                <w:szCs w:val="20"/>
                <w:color w:val="auto"/>
              </w:rPr>
            </w:pPr>
            <w:r>
              <w:rPr>
                <w:rFonts w:ascii="Arial" w:cs="Arial" w:eastAsia="Arial" w:hAnsi="Arial"/>
                <w:sz w:val="17"/>
                <w:szCs w:val="17"/>
                <w:color w:val="auto"/>
              </w:rPr>
              <w:t>COMMITTEE MINUTES</w:t>
            </w:r>
          </w:p>
        </w:tc>
        <w:tc>
          <w:tcPr>
            <w:tcW w:w="2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3"/>
        </w:trPr>
        <w:tc>
          <w:tcPr>
            <w:tcW w:w="680" w:type="dxa"/>
            <w:vAlign w:val="bottom"/>
          </w:tcPr>
          <w:p>
            <w:pPr>
              <w:ind w:left="340"/>
              <w:spacing w:after="0"/>
              <w:rPr>
                <w:sz w:val="20"/>
                <w:szCs w:val="20"/>
                <w:color w:val="auto"/>
              </w:rPr>
            </w:pPr>
            <w:r>
              <w:rPr>
                <w:rFonts w:ascii="Arial" w:cs="Arial" w:eastAsia="Arial" w:hAnsi="Arial"/>
                <w:sz w:val="17"/>
                <w:szCs w:val="17"/>
                <w:color w:val="auto"/>
              </w:rPr>
              <w:t>4.3</w:t>
            </w:r>
          </w:p>
        </w:tc>
        <w:tc>
          <w:tcPr>
            <w:tcW w:w="9240" w:type="dxa"/>
            <w:vAlign w:val="bottom"/>
          </w:tcPr>
          <w:p>
            <w:pPr>
              <w:ind w:left="40"/>
              <w:spacing w:after="0"/>
              <w:rPr>
                <w:sz w:val="20"/>
                <w:szCs w:val="20"/>
                <w:color w:val="auto"/>
              </w:rPr>
            </w:pPr>
            <w:r>
              <w:rPr>
                <w:rFonts w:ascii="Arial" w:cs="Arial" w:eastAsia="Arial" w:hAnsi="Arial"/>
                <w:sz w:val="17"/>
                <w:szCs w:val="17"/>
                <w:color w:val="auto"/>
              </w:rPr>
              <w:t>MEETINGS AND ACTION OF COMMITTEES</w:t>
            </w:r>
          </w:p>
        </w:tc>
        <w:tc>
          <w:tcPr>
            <w:tcW w:w="2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01"/>
        </w:trPr>
        <w:tc>
          <w:tcPr>
            <w:tcW w:w="9920" w:type="dxa"/>
            <w:vAlign w:val="bottom"/>
            <w:gridSpan w:val="2"/>
          </w:tcPr>
          <w:p>
            <w:pPr>
              <w:spacing w:after="0"/>
              <w:rPr>
                <w:sz w:val="20"/>
                <w:szCs w:val="20"/>
                <w:color w:val="auto"/>
              </w:rPr>
            </w:pPr>
            <w:r>
              <w:rPr>
                <w:rFonts w:ascii="Arial" w:cs="Arial" w:eastAsia="Arial" w:hAnsi="Arial"/>
                <w:sz w:val="17"/>
                <w:szCs w:val="17"/>
                <w:color w:val="auto"/>
              </w:rPr>
              <w:t>ARTICLE V - OFFICERS</w:t>
            </w:r>
          </w:p>
        </w:tc>
        <w:tc>
          <w:tcPr>
            <w:tcW w:w="2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89"/>
        </w:trPr>
        <w:tc>
          <w:tcPr>
            <w:tcW w:w="680" w:type="dxa"/>
            <w:vAlign w:val="bottom"/>
          </w:tcPr>
          <w:p>
            <w:pPr>
              <w:ind w:left="340"/>
              <w:spacing w:after="0"/>
              <w:rPr>
                <w:sz w:val="20"/>
                <w:szCs w:val="20"/>
                <w:color w:val="auto"/>
              </w:rPr>
            </w:pPr>
            <w:r>
              <w:rPr>
                <w:rFonts w:ascii="Arial" w:cs="Arial" w:eastAsia="Arial" w:hAnsi="Arial"/>
                <w:sz w:val="17"/>
                <w:szCs w:val="17"/>
                <w:color w:val="auto"/>
              </w:rPr>
              <w:t>5.1</w:t>
            </w:r>
          </w:p>
        </w:tc>
        <w:tc>
          <w:tcPr>
            <w:tcW w:w="9240" w:type="dxa"/>
            <w:vAlign w:val="bottom"/>
          </w:tcPr>
          <w:p>
            <w:pPr>
              <w:ind w:left="40"/>
              <w:spacing w:after="0"/>
              <w:rPr>
                <w:sz w:val="20"/>
                <w:szCs w:val="20"/>
                <w:color w:val="auto"/>
              </w:rPr>
            </w:pPr>
            <w:r>
              <w:rPr>
                <w:rFonts w:ascii="Arial" w:cs="Arial" w:eastAsia="Arial" w:hAnsi="Arial"/>
                <w:sz w:val="17"/>
                <w:szCs w:val="17"/>
                <w:color w:val="auto"/>
              </w:rPr>
              <w:t>OFFICERS</w:t>
            </w:r>
          </w:p>
        </w:tc>
        <w:tc>
          <w:tcPr>
            <w:tcW w:w="2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3"/>
        </w:trPr>
        <w:tc>
          <w:tcPr>
            <w:tcW w:w="680" w:type="dxa"/>
            <w:vAlign w:val="bottom"/>
          </w:tcPr>
          <w:p>
            <w:pPr>
              <w:ind w:left="340"/>
              <w:spacing w:after="0"/>
              <w:rPr>
                <w:sz w:val="20"/>
                <w:szCs w:val="20"/>
                <w:color w:val="auto"/>
              </w:rPr>
            </w:pPr>
            <w:r>
              <w:rPr>
                <w:rFonts w:ascii="Arial" w:cs="Arial" w:eastAsia="Arial" w:hAnsi="Arial"/>
                <w:sz w:val="17"/>
                <w:szCs w:val="17"/>
                <w:color w:val="auto"/>
              </w:rPr>
              <w:t>5.2</w:t>
            </w:r>
          </w:p>
        </w:tc>
        <w:tc>
          <w:tcPr>
            <w:tcW w:w="9240" w:type="dxa"/>
            <w:vAlign w:val="bottom"/>
          </w:tcPr>
          <w:p>
            <w:pPr>
              <w:ind w:left="40"/>
              <w:spacing w:after="0"/>
              <w:rPr>
                <w:sz w:val="20"/>
                <w:szCs w:val="20"/>
                <w:color w:val="auto"/>
              </w:rPr>
            </w:pPr>
            <w:r>
              <w:rPr>
                <w:rFonts w:ascii="Arial" w:cs="Arial" w:eastAsia="Arial" w:hAnsi="Arial"/>
                <w:sz w:val="17"/>
                <w:szCs w:val="17"/>
                <w:color w:val="auto"/>
              </w:rPr>
              <w:t>APPOINTMENT OF OFFICERS</w:t>
            </w:r>
          </w:p>
        </w:tc>
        <w:tc>
          <w:tcPr>
            <w:tcW w:w="280" w:type="dxa"/>
            <w:vAlign w:val="bottom"/>
          </w:tcPr>
          <w:p>
            <w:pPr>
              <w:jc w:val="right"/>
              <w:spacing w:after="0"/>
              <w:rPr>
                <w:sz w:val="20"/>
                <w:szCs w:val="20"/>
                <w:color w:val="auto"/>
              </w:rPr>
            </w:pPr>
            <w:r>
              <w:rPr>
                <w:rFonts w:ascii="Arial" w:cs="Arial" w:eastAsia="Arial" w:hAnsi="Arial"/>
                <w:sz w:val="17"/>
                <w:szCs w:val="17"/>
                <w:color w:val="auto"/>
              </w:rPr>
              <w:t>21</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200"/>
          </w:cols>
          <w:pgMar w:left="820" w:top="261" w:right="87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140" w:type="dxa"/>
            <w:vAlign w:val="bottom"/>
            <w:gridSpan w:val="2"/>
          </w:tcPr>
          <w:p>
            <w:pPr>
              <w:jc w:val="center"/>
              <w:ind w:left="797"/>
              <w:spacing w:after="0"/>
              <w:rPr>
                <w:sz w:val="20"/>
                <w:szCs w:val="20"/>
                <w:color w:val="auto"/>
              </w:rPr>
            </w:pPr>
            <w:r>
              <w:rPr>
                <w:rFonts w:ascii="Arial" w:cs="Arial" w:eastAsia="Arial" w:hAnsi="Arial"/>
                <w:sz w:val="13"/>
                <w:szCs w:val="13"/>
                <w:b w:val="1"/>
                <w:bCs w:val="1"/>
                <w:color w:val="auto"/>
                <w:w w:val="83"/>
              </w:rPr>
              <w:t>Page</w:t>
            </w:r>
          </w:p>
        </w:tc>
      </w:tr>
      <w:tr>
        <w:trPr>
          <w:trHeight w:val="407"/>
        </w:trPr>
        <w:tc>
          <w:tcPr>
            <w:tcW w:w="680" w:type="dxa"/>
            <w:vAlign w:val="bottom"/>
          </w:tcPr>
          <w:p>
            <w:pPr>
              <w:ind w:left="340"/>
              <w:spacing w:after="0"/>
              <w:rPr>
                <w:sz w:val="20"/>
                <w:szCs w:val="20"/>
                <w:color w:val="auto"/>
              </w:rPr>
            </w:pPr>
            <w:r>
              <w:rPr>
                <w:rFonts w:ascii="Arial" w:cs="Arial" w:eastAsia="Arial" w:hAnsi="Arial"/>
                <w:sz w:val="17"/>
                <w:szCs w:val="17"/>
                <w:color w:val="auto"/>
              </w:rPr>
              <w:t>5.3</w:t>
            </w:r>
          </w:p>
        </w:tc>
        <w:tc>
          <w:tcPr>
            <w:tcW w:w="8420" w:type="dxa"/>
            <w:vAlign w:val="bottom"/>
          </w:tcPr>
          <w:p>
            <w:pPr>
              <w:ind w:left="40"/>
              <w:spacing w:after="0"/>
              <w:rPr>
                <w:sz w:val="20"/>
                <w:szCs w:val="20"/>
                <w:color w:val="auto"/>
              </w:rPr>
            </w:pPr>
            <w:r>
              <w:rPr>
                <w:rFonts w:ascii="Arial" w:cs="Arial" w:eastAsia="Arial" w:hAnsi="Arial"/>
                <w:sz w:val="17"/>
                <w:szCs w:val="17"/>
                <w:color w:val="auto"/>
              </w:rPr>
              <w:t>SUBORDINATE OFFICERS</w:t>
            </w:r>
          </w:p>
        </w:tc>
        <w:tc>
          <w:tcPr>
            <w:tcW w:w="880" w:type="dxa"/>
            <w:vAlign w:val="bottom"/>
          </w:tcPr>
          <w:p>
            <w:pPr>
              <w:spacing w:after="0"/>
              <w:rPr>
                <w:sz w:val="24"/>
                <w:szCs w:val="24"/>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21</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5.4</w:t>
            </w:r>
          </w:p>
        </w:tc>
        <w:tc>
          <w:tcPr>
            <w:tcW w:w="8420" w:type="dxa"/>
            <w:vAlign w:val="bottom"/>
          </w:tcPr>
          <w:p>
            <w:pPr>
              <w:ind w:left="40"/>
              <w:spacing w:after="0"/>
              <w:rPr>
                <w:sz w:val="20"/>
                <w:szCs w:val="20"/>
                <w:color w:val="auto"/>
              </w:rPr>
            </w:pPr>
            <w:r>
              <w:rPr>
                <w:rFonts w:ascii="Arial" w:cs="Arial" w:eastAsia="Arial" w:hAnsi="Arial"/>
                <w:sz w:val="17"/>
                <w:szCs w:val="17"/>
                <w:color w:val="auto"/>
              </w:rPr>
              <w:t>REMOVAL AND RESIGNATION OF OFFICERS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22</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5.5</w:t>
            </w:r>
          </w:p>
        </w:tc>
        <w:tc>
          <w:tcPr>
            <w:tcW w:w="8420" w:type="dxa"/>
            <w:vAlign w:val="bottom"/>
          </w:tcPr>
          <w:p>
            <w:pPr>
              <w:ind w:left="40"/>
              <w:spacing w:after="0"/>
              <w:rPr>
                <w:sz w:val="20"/>
                <w:szCs w:val="20"/>
                <w:color w:val="auto"/>
              </w:rPr>
            </w:pPr>
            <w:r>
              <w:rPr>
                <w:rFonts w:ascii="Arial" w:cs="Arial" w:eastAsia="Arial" w:hAnsi="Arial"/>
                <w:sz w:val="17"/>
                <w:szCs w:val="17"/>
                <w:color w:val="auto"/>
              </w:rPr>
              <w:t>VACANCIES IN OFFICES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22</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5.6</w:t>
            </w:r>
          </w:p>
        </w:tc>
        <w:tc>
          <w:tcPr>
            <w:tcW w:w="8420" w:type="dxa"/>
            <w:vAlign w:val="bottom"/>
          </w:tcPr>
          <w:p>
            <w:pPr>
              <w:ind w:left="40"/>
              <w:spacing w:after="0"/>
              <w:rPr>
                <w:sz w:val="20"/>
                <w:szCs w:val="20"/>
                <w:color w:val="auto"/>
              </w:rPr>
            </w:pPr>
            <w:r>
              <w:rPr>
                <w:rFonts w:ascii="Arial" w:cs="Arial" w:eastAsia="Arial" w:hAnsi="Arial"/>
                <w:sz w:val="17"/>
                <w:szCs w:val="17"/>
                <w:color w:val="auto"/>
              </w:rPr>
              <w:t>REPRESENTATION OF SHARES OF OTHER ENTITIES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22</w:t>
            </w:r>
          </w:p>
        </w:tc>
      </w:tr>
      <w:tr>
        <w:trPr>
          <w:trHeight w:val="213"/>
        </w:trPr>
        <w:tc>
          <w:tcPr>
            <w:tcW w:w="680" w:type="dxa"/>
            <w:vAlign w:val="bottom"/>
          </w:tcPr>
          <w:p>
            <w:pPr>
              <w:ind w:left="340"/>
              <w:spacing w:after="0"/>
              <w:rPr>
                <w:sz w:val="20"/>
                <w:szCs w:val="20"/>
                <w:color w:val="auto"/>
              </w:rPr>
            </w:pPr>
            <w:r>
              <w:rPr>
                <w:rFonts w:ascii="Arial" w:cs="Arial" w:eastAsia="Arial" w:hAnsi="Arial"/>
                <w:sz w:val="17"/>
                <w:szCs w:val="17"/>
                <w:color w:val="auto"/>
              </w:rPr>
              <w:t>5.7</w:t>
            </w:r>
          </w:p>
        </w:tc>
        <w:tc>
          <w:tcPr>
            <w:tcW w:w="8420" w:type="dxa"/>
            <w:vAlign w:val="bottom"/>
          </w:tcPr>
          <w:p>
            <w:pPr>
              <w:ind w:left="40"/>
              <w:spacing w:after="0"/>
              <w:rPr>
                <w:sz w:val="20"/>
                <w:szCs w:val="20"/>
                <w:color w:val="auto"/>
              </w:rPr>
            </w:pPr>
            <w:r>
              <w:rPr>
                <w:rFonts w:ascii="Arial" w:cs="Arial" w:eastAsia="Arial" w:hAnsi="Arial"/>
                <w:sz w:val="17"/>
                <w:szCs w:val="17"/>
                <w:color w:val="auto"/>
              </w:rPr>
              <w:t>AUTHORITY AND DUTIES OF OFFICERS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22</w:t>
            </w:r>
          </w:p>
        </w:tc>
      </w:tr>
      <w:tr>
        <w:trPr>
          <w:trHeight w:val="301"/>
        </w:trPr>
        <w:tc>
          <w:tcPr>
            <w:tcW w:w="9100" w:type="dxa"/>
            <w:vAlign w:val="bottom"/>
            <w:gridSpan w:val="2"/>
          </w:tcPr>
          <w:p>
            <w:pPr>
              <w:spacing w:after="0"/>
              <w:rPr>
                <w:sz w:val="20"/>
                <w:szCs w:val="20"/>
                <w:color w:val="auto"/>
              </w:rPr>
            </w:pPr>
            <w:r>
              <w:rPr>
                <w:rFonts w:ascii="Arial" w:cs="Arial" w:eastAsia="Arial" w:hAnsi="Arial"/>
                <w:sz w:val="17"/>
                <w:szCs w:val="17"/>
                <w:color w:val="auto"/>
              </w:rPr>
              <w:t>ARTICLE VI - RECORDS AND REPORTS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22</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rPr>
              <w:t>6.1</w:t>
            </w:r>
          </w:p>
        </w:tc>
        <w:tc>
          <w:tcPr>
            <w:tcW w:w="8420" w:type="dxa"/>
            <w:vAlign w:val="bottom"/>
          </w:tcPr>
          <w:p>
            <w:pPr>
              <w:ind w:left="40"/>
              <w:spacing w:after="0"/>
              <w:rPr>
                <w:sz w:val="20"/>
                <w:szCs w:val="20"/>
                <w:color w:val="auto"/>
              </w:rPr>
            </w:pPr>
            <w:r>
              <w:rPr>
                <w:rFonts w:ascii="Arial" w:cs="Arial" w:eastAsia="Arial" w:hAnsi="Arial"/>
                <w:sz w:val="17"/>
                <w:szCs w:val="17"/>
                <w:color w:val="auto"/>
              </w:rPr>
              <w:t>MAINTENANCE OF RECORDS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22</w:t>
            </w:r>
          </w:p>
        </w:tc>
      </w:tr>
      <w:tr>
        <w:trPr>
          <w:trHeight w:val="301"/>
        </w:trPr>
        <w:tc>
          <w:tcPr>
            <w:tcW w:w="9100" w:type="dxa"/>
            <w:vAlign w:val="bottom"/>
            <w:gridSpan w:val="2"/>
          </w:tcPr>
          <w:p>
            <w:pPr>
              <w:spacing w:after="0"/>
              <w:rPr>
                <w:sz w:val="20"/>
                <w:szCs w:val="20"/>
                <w:color w:val="auto"/>
              </w:rPr>
            </w:pPr>
            <w:r>
              <w:rPr>
                <w:rFonts w:ascii="Arial" w:cs="Arial" w:eastAsia="Arial" w:hAnsi="Arial"/>
                <w:sz w:val="17"/>
                <w:szCs w:val="17"/>
                <w:color w:val="auto"/>
              </w:rPr>
              <w:t>ARTICLE VII - GENERAL MATTERS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23</w:t>
            </w:r>
          </w:p>
        </w:tc>
      </w:tr>
      <w:tr>
        <w:trPr>
          <w:trHeight w:val="289"/>
        </w:trPr>
        <w:tc>
          <w:tcPr>
            <w:tcW w:w="680" w:type="dxa"/>
            <w:vAlign w:val="bottom"/>
          </w:tcPr>
          <w:p>
            <w:pPr>
              <w:ind w:left="340"/>
              <w:spacing w:after="0"/>
              <w:rPr>
                <w:sz w:val="20"/>
                <w:szCs w:val="20"/>
                <w:color w:val="auto"/>
              </w:rPr>
            </w:pPr>
            <w:r>
              <w:rPr>
                <w:rFonts w:ascii="Arial" w:cs="Arial" w:eastAsia="Arial" w:hAnsi="Arial"/>
                <w:sz w:val="17"/>
                <w:szCs w:val="17"/>
                <w:color w:val="auto"/>
              </w:rPr>
              <w:t>7.1</w:t>
            </w:r>
          </w:p>
        </w:tc>
        <w:tc>
          <w:tcPr>
            <w:tcW w:w="8420" w:type="dxa"/>
            <w:vAlign w:val="bottom"/>
          </w:tcPr>
          <w:p>
            <w:pPr>
              <w:ind w:left="40"/>
              <w:spacing w:after="0"/>
              <w:rPr>
                <w:sz w:val="20"/>
                <w:szCs w:val="20"/>
                <w:color w:val="auto"/>
              </w:rPr>
            </w:pPr>
            <w:r>
              <w:rPr>
                <w:rFonts w:ascii="Arial" w:cs="Arial" w:eastAsia="Arial" w:hAnsi="Arial"/>
                <w:sz w:val="17"/>
                <w:szCs w:val="17"/>
                <w:color w:val="auto"/>
              </w:rPr>
              <w:t>EXECUTION OF CORPORATE CONTRACTS AND INSTRUMENTS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23</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7.2</w:t>
            </w:r>
          </w:p>
        </w:tc>
        <w:tc>
          <w:tcPr>
            <w:tcW w:w="8420" w:type="dxa"/>
            <w:vAlign w:val="bottom"/>
          </w:tcPr>
          <w:p>
            <w:pPr>
              <w:ind w:left="40"/>
              <w:spacing w:after="0"/>
              <w:rPr>
                <w:sz w:val="20"/>
                <w:szCs w:val="20"/>
                <w:color w:val="auto"/>
              </w:rPr>
            </w:pPr>
            <w:r>
              <w:rPr>
                <w:rFonts w:ascii="Arial" w:cs="Arial" w:eastAsia="Arial" w:hAnsi="Arial"/>
                <w:sz w:val="17"/>
                <w:szCs w:val="17"/>
                <w:color w:val="auto"/>
              </w:rPr>
              <w:t>STOCK CERTIFICATES; PARTLY PAID SHARES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23</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7.3</w:t>
            </w:r>
          </w:p>
        </w:tc>
        <w:tc>
          <w:tcPr>
            <w:tcW w:w="8420" w:type="dxa"/>
            <w:vAlign w:val="bottom"/>
          </w:tcPr>
          <w:p>
            <w:pPr>
              <w:ind w:left="40"/>
              <w:spacing w:after="0"/>
              <w:rPr>
                <w:sz w:val="20"/>
                <w:szCs w:val="20"/>
                <w:color w:val="auto"/>
              </w:rPr>
            </w:pPr>
            <w:r>
              <w:rPr>
                <w:rFonts w:ascii="Arial" w:cs="Arial" w:eastAsia="Arial" w:hAnsi="Arial"/>
                <w:sz w:val="17"/>
                <w:szCs w:val="17"/>
                <w:color w:val="auto"/>
              </w:rPr>
              <w:t>MULTIPLES CLASSES OR SERIES OF STOCK</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23</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7.4</w:t>
            </w:r>
          </w:p>
        </w:tc>
        <w:tc>
          <w:tcPr>
            <w:tcW w:w="8420" w:type="dxa"/>
            <w:vAlign w:val="bottom"/>
          </w:tcPr>
          <w:p>
            <w:pPr>
              <w:ind w:left="40"/>
              <w:spacing w:after="0"/>
              <w:rPr>
                <w:sz w:val="20"/>
                <w:szCs w:val="20"/>
                <w:color w:val="auto"/>
              </w:rPr>
            </w:pPr>
            <w:r>
              <w:rPr>
                <w:rFonts w:ascii="Arial" w:cs="Arial" w:eastAsia="Arial" w:hAnsi="Arial"/>
                <w:sz w:val="17"/>
                <w:szCs w:val="17"/>
                <w:color w:val="auto"/>
              </w:rPr>
              <w:t>LOST CERTIFICATES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24</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7.5</w:t>
            </w:r>
          </w:p>
        </w:tc>
        <w:tc>
          <w:tcPr>
            <w:tcW w:w="8420" w:type="dxa"/>
            <w:vAlign w:val="bottom"/>
          </w:tcPr>
          <w:p>
            <w:pPr>
              <w:ind w:left="40"/>
              <w:spacing w:after="0"/>
              <w:rPr>
                <w:sz w:val="20"/>
                <w:szCs w:val="20"/>
                <w:color w:val="auto"/>
              </w:rPr>
            </w:pPr>
            <w:r>
              <w:rPr>
                <w:rFonts w:ascii="Arial" w:cs="Arial" w:eastAsia="Arial" w:hAnsi="Arial"/>
                <w:sz w:val="17"/>
                <w:szCs w:val="17"/>
                <w:color w:val="auto"/>
              </w:rPr>
              <w:t>CONSTRUCTION; DEFINITIONS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24</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7.6</w:t>
            </w:r>
          </w:p>
        </w:tc>
        <w:tc>
          <w:tcPr>
            <w:tcW w:w="8420" w:type="dxa"/>
            <w:vAlign w:val="bottom"/>
          </w:tcPr>
          <w:p>
            <w:pPr>
              <w:ind w:left="40"/>
              <w:spacing w:after="0"/>
              <w:rPr>
                <w:sz w:val="20"/>
                <w:szCs w:val="20"/>
                <w:color w:val="auto"/>
              </w:rPr>
            </w:pPr>
            <w:r>
              <w:rPr>
                <w:rFonts w:ascii="Arial" w:cs="Arial" w:eastAsia="Arial" w:hAnsi="Arial"/>
                <w:sz w:val="17"/>
                <w:szCs w:val="17"/>
                <w:color w:val="auto"/>
              </w:rPr>
              <w:t>DIVIDENDS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24</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7.7</w:t>
            </w:r>
          </w:p>
        </w:tc>
        <w:tc>
          <w:tcPr>
            <w:tcW w:w="8420" w:type="dxa"/>
            <w:vAlign w:val="bottom"/>
          </w:tcPr>
          <w:p>
            <w:pPr>
              <w:ind w:left="40"/>
              <w:spacing w:after="0"/>
              <w:rPr>
                <w:sz w:val="20"/>
                <w:szCs w:val="20"/>
                <w:color w:val="auto"/>
              </w:rPr>
            </w:pPr>
            <w:r>
              <w:rPr>
                <w:rFonts w:ascii="Arial" w:cs="Arial" w:eastAsia="Arial" w:hAnsi="Arial"/>
                <w:sz w:val="17"/>
                <w:szCs w:val="17"/>
                <w:color w:val="auto"/>
              </w:rPr>
              <w:t>FISCAL YEAR</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25</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7.8</w:t>
            </w:r>
          </w:p>
        </w:tc>
        <w:tc>
          <w:tcPr>
            <w:tcW w:w="8420" w:type="dxa"/>
            <w:vAlign w:val="bottom"/>
          </w:tcPr>
          <w:p>
            <w:pPr>
              <w:ind w:left="40"/>
              <w:spacing w:after="0"/>
              <w:rPr>
                <w:sz w:val="20"/>
                <w:szCs w:val="20"/>
                <w:color w:val="auto"/>
              </w:rPr>
            </w:pPr>
            <w:r>
              <w:rPr>
                <w:rFonts w:ascii="Arial" w:cs="Arial" w:eastAsia="Arial" w:hAnsi="Arial"/>
                <w:sz w:val="17"/>
                <w:szCs w:val="17"/>
                <w:color w:val="auto"/>
              </w:rPr>
              <w:t>SEAL</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25</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7.9</w:t>
            </w:r>
          </w:p>
        </w:tc>
        <w:tc>
          <w:tcPr>
            <w:tcW w:w="8420" w:type="dxa"/>
            <w:vAlign w:val="bottom"/>
          </w:tcPr>
          <w:p>
            <w:pPr>
              <w:ind w:left="40"/>
              <w:spacing w:after="0"/>
              <w:rPr>
                <w:sz w:val="20"/>
                <w:szCs w:val="20"/>
                <w:color w:val="auto"/>
              </w:rPr>
            </w:pPr>
            <w:r>
              <w:rPr>
                <w:rFonts w:ascii="Arial" w:cs="Arial" w:eastAsia="Arial" w:hAnsi="Arial"/>
                <w:sz w:val="17"/>
                <w:szCs w:val="17"/>
                <w:color w:val="auto"/>
              </w:rPr>
              <w:t>TRANSFER OF STOCK</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25</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7.10</w:t>
            </w:r>
          </w:p>
        </w:tc>
        <w:tc>
          <w:tcPr>
            <w:tcW w:w="8420" w:type="dxa"/>
            <w:vAlign w:val="bottom"/>
          </w:tcPr>
          <w:p>
            <w:pPr>
              <w:ind w:left="40"/>
              <w:spacing w:after="0"/>
              <w:rPr>
                <w:sz w:val="20"/>
                <w:szCs w:val="20"/>
                <w:color w:val="auto"/>
              </w:rPr>
            </w:pPr>
            <w:r>
              <w:rPr>
                <w:rFonts w:ascii="Arial" w:cs="Arial" w:eastAsia="Arial" w:hAnsi="Arial"/>
                <w:sz w:val="17"/>
                <w:szCs w:val="17"/>
                <w:color w:val="auto"/>
              </w:rPr>
              <w:t>STOCK TRANSFER AGREEMENTS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25</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7.11</w:t>
            </w:r>
          </w:p>
        </w:tc>
        <w:tc>
          <w:tcPr>
            <w:tcW w:w="8420" w:type="dxa"/>
            <w:vAlign w:val="bottom"/>
          </w:tcPr>
          <w:p>
            <w:pPr>
              <w:ind w:left="40"/>
              <w:spacing w:after="0"/>
              <w:rPr>
                <w:sz w:val="20"/>
                <w:szCs w:val="20"/>
                <w:color w:val="auto"/>
              </w:rPr>
            </w:pPr>
            <w:r>
              <w:rPr>
                <w:rFonts w:ascii="Arial" w:cs="Arial" w:eastAsia="Arial" w:hAnsi="Arial"/>
                <w:sz w:val="17"/>
                <w:szCs w:val="17"/>
                <w:color w:val="auto"/>
              </w:rPr>
              <w:t>REGISTERED STOCKHOLDERS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25</w:t>
            </w:r>
          </w:p>
        </w:tc>
      </w:tr>
      <w:tr>
        <w:trPr>
          <w:trHeight w:val="213"/>
        </w:trPr>
        <w:tc>
          <w:tcPr>
            <w:tcW w:w="680" w:type="dxa"/>
            <w:vAlign w:val="bottom"/>
          </w:tcPr>
          <w:p>
            <w:pPr>
              <w:ind w:left="340"/>
              <w:spacing w:after="0"/>
              <w:rPr>
                <w:sz w:val="20"/>
                <w:szCs w:val="20"/>
                <w:color w:val="auto"/>
              </w:rPr>
            </w:pPr>
            <w:r>
              <w:rPr>
                <w:rFonts w:ascii="Arial" w:cs="Arial" w:eastAsia="Arial" w:hAnsi="Arial"/>
                <w:sz w:val="17"/>
                <w:szCs w:val="17"/>
                <w:color w:val="auto"/>
                <w:w w:val="96"/>
              </w:rPr>
              <w:t>7.12</w:t>
            </w:r>
          </w:p>
        </w:tc>
        <w:tc>
          <w:tcPr>
            <w:tcW w:w="8420" w:type="dxa"/>
            <w:vAlign w:val="bottom"/>
          </w:tcPr>
          <w:p>
            <w:pPr>
              <w:ind w:left="40"/>
              <w:spacing w:after="0"/>
              <w:rPr>
                <w:sz w:val="20"/>
                <w:szCs w:val="20"/>
                <w:color w:val="auto"/>
              </w:rPr>
            </w:pPr>
            <w:r>
              <w:rPr>
                <w:rFonts w:ascii="Arial" w:cs="Arial" w:eastAsia="Arial" w:hAnsi="Arial"/>
                <w:sz w:val="17"/>
                <w:szCs w:val="17"/>
                <w:color w:val="auto"/>
              </w:rPr>
              <w:t>WAIVER OF NOTICE</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26</w:t>
            </w:r>
          </w:p>
        </w:tc>
      </w:tr>
      <w:tr>
        <w:trPr>
          <w:trHeight w:val="301"/>
        </w:trPr>
        <w:tc>
          <w:tcPr>
            <w:tcW w:w="9100" w:type="dxa"/>
            <w:vAlign w:val="bottom"/>
            <w:gridSpan w:val="2"/>
          </w:tcPr>
          <w:p>
            <w:pPr>
              <w:spacing w:after="0"/>
              <w:rPr>
                <w:sz w:val="20"/>
                <w:szCs w:val="20"/>
                <w:color w:val="auto"/>
              </w:rPr>
            </w:pPr>
            <w:r>
              <w:rPr>
                <w:rFonts w:ascii="Arial" w:cs="Arial" w:eastAsia="Arial" w:hAnsi="Arial"/>
                <w:sz w:val="17"/>
                <w:szCs w:val="17"/>
                <w:color w:val="auto"/>
              </w:rPr>
              <w:t>ARTICLE VIII - NOTICE BY ELECTRONIC TRANSMISSION</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26</w:t>
            </w:r>
          </w:p>
        </w:tc>
      </w:tr>
      <w:tr>
        <w:trPr>
          <w:trHeight w:val="289"/>
        </w:trPr>
        <w:tc>
          <w:tcPr>
            <w:tcW w:w="680" w:type="dxa"/>
            <w:vAlign w:val="bottom"/>
          </w:tcPr>
          <w:p>
            <w:pPr>
              <w:ind w:left="340"/>
              <w:spacing w:after="0"/>
              <w:rPr>
                <w:sz w:val="20"/>
                <w:szCs w:val="20"/>
                <w:color w:val="auto"/>
              </w:rPr>
            </w:pPr>
            <w:r>
              <w:rPr>
                <w:rFonts w:ascii="Arial" w:cs="Arial" w:eastAsia="Arial" w:hAnsi="Arial"/>
                <w:sz w:val="17"/>
                <w:szCs w:val="17"/>
                <w:color w:val="auto"/>
              </w:rPr>
              <w:t>8.1</w:t>
            </w:r>
          </w:p>
        </w:tc>
        <w:tc>
          <w:tcPr>
            <w:tcW w:w="8420" w:type="dxa"/>
            <w:vAlign w:val="bottom"/>
          </w:tcPr>
          <w:p>
            <w:pPr>
              <w:ind w:left="40"/>
              <w:spacing w:after="0"/>
              <w:rPr>
                <w:sz w:val="20"/>
                <w:szCs w:val="20"/>
                <w:color w:val="auto"/>
              </w:rPr>
            </w:pPr>
            <w:r>
              <w:rPr>
                <w:rFonts w:ascii="Arial" w:cs="Arial" w:eastAsia="Arial" w:hAnsi="Arial"/>
                <w:sz w:val="17"/>
                <w:szCs w:val="17"/>
                <w:color w:val="auto"/>
              </w:rPr>
              <w:t>NOTICE BY ELECTRONIC TRANSMISSION</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26</w:t>
            </w:r>
          </w:p>
        </w:tc>
      </w:tr>
      <w:tr>
        <w:trPr>
          <w:trHeight w:val="213"/>
        </w:trPr>
        <w:tc>
          <w:tcPr>
            <w:tcW w:w="680" w:type="dxa"/>
            <w:vAlign w:val="bottom"/>
          </w:tcPr>
          <w:p>
            <w:pPr>
              <w:ind w:left="340"/>
              <w:spacing w:after="0"/>
              <w:rPr>
                <w:sz w:val="20"/>
                <w:szCs w:val="20"/>
                <w:color w:val="auto"/>
              </w:rPr>
            </w:pPr>
            <w:r>
              <w:rPr>
                <w:rFonts w:ascii="Arial" w:cs="Arial" w:eastAsia="Arial" w:hAnsi="Arial"/>
                <w:sz w:val="17"/>
                <w:szCs w:val="17"/>
                <w:color w:val="auto"/>
              </w:rPr>
              <w:t>8.2</w:t>
            </w:r>
          </w:p>
        </w:tc>
        <w:tc>
          <w:tcPr>
            <w:tcW w:w="8420" w:type="dxa"/>
            <w:vAlign w:val="bottom"/>
          </w:tcPr>
          <w:p>
            <w:pPr>
              <w:ind w:left="40"/>
              <w:spacing w:after="0"/>
              <w:rPr>
                <w:sz w:val="20"/>
                <w:szCs w:val="20"/>
                <w:color w:val="auto"/>
              </w:rPr>
            </w:pPr>
            <w:r>
              <w:rPr>
                <w:rFonts w:ascii="Arial" w:cs="Arial" w:eastAsia="Arial" w:hAnsi="Arial"/>
                <w:sz w:val="17"/>
                <w:szCs w:val="17"/>
                <w:color w:val="auto"/>
              </w:rPr>
              <w:t>DEFINITION OF ELECTRONIC TRANSMISSION</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27</w:t>
            </w:r>
          </w:p>
        </w:tc>
      </w:tr>
      <w:tr>
        <w:trPr>
          <w:trHeight w:val="301"/>
        </w:trPr>
        <w:tc>
          <w:tcPr>
            <w:tcW w:w="9100" w:type="dxa"/>
            <w:vAlign w:val="bottom"/>
            <w:gridSpan w:val="2"/>
          </w:tcPr>
          <w:p>
            <w:pPr>
              <w:spacing w:after="0"/>
              <w:rPr>
                <w:sz w:val="20"/>
                <w:szCs w:val="20"/>
                <w:color w:val="auto"/>
              </w:rPr>
            </w:pPr>
            <w:r>
              <w:rPr>
                <w:rFonts w:ascii="Arial" w:cs="Arial" w:eastAsia="Arial" w:hAnsi="Arial"/>
                <w:sz w:val="17"/>
                <w:szCs w:val="17"/>
                <w:color w:val="auto"/>
              </w:rPr>
              <w:t>ARTICLE IX - INDEMNIFICATION AND ADVANCEMENT</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27</w:t>
            </w:r>
          </w:p>
        </w:tc>
      </w:tr>
      <w:tr>
        <w:trPr>
          <w:trHeight w:val="289"/>
        </w:trPr>
        <w:tc>
          <w:tcPr>
            <w:tcW w:w="680" w:type="dxa"/>
            <w:vAlign w:val="bottom"/>
          </w:tcPr>
          <w:p>
            <w:pPr>
              <w:ind w:left="340"/>
              <w:spacing w:after="0"/>
              <w:rPr>
                <w:sz w:val="20"/>
                <w:szCs w:val="20"/>
                <w:color w:val="auto"/>
              </w:rPr>
            </w:pPr>
            <w:r>
              <w:rPr>
                <w:rFonts w:ascii="Arial" w:cs="Arial" w:eastAsia="Arial" w:hAnsi="Arial"/>
                <w:sz w:val="17"/>
                <w:szCs w:val="17"/>
                <w:color w:val="auto"/>
              </w:rPr>
              <w:t>9.1</w:t>
            </w:r>
          </w:p>
        </w:tc>
        <w:tc>
          <w:tcPr>
            <w:tcW w:w="8420" w:type="dxa"/>
            <w:vAlign w:val="bottom"/>
          </w:tcPr>
          <w:p>
            <w:pPr>
              <w:ind w:left="40"/>
              <w:spacing w:after="0"/>
              <w:rPr>
                <w:sz w:val="20"/>
                <w:szCs w:val="20"/>
                <w:color w:val="auto"/>
              </w:rPr>
            </w:pPr>
            <w:r>
              <w:rPr>
                <w:rFonts w:ascii="Arial" w:cs="Arial" w:eastAsia="Arial" w:hAnsi="Arial"/>
                <w:sz w:val="17"/>
                <w:szCs w:val="17"/>
                <w:color w:val="auto"/>
              </w:rPr>
              <w:t>ACTIONS, SUITS AND PROCEEDINGS OTHER THAN BY OR IN THE RIGHT OF THE CORPORATION</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27</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9.2</w:t>
            </w:r>
          </w:p>
        </w:tc>
        <w:tc>
          <w:tcPr>
            <w:tcW w:w="8420" w:type="dxa"/>
            <w:vAlign w:val="bottom"/>
          </w:tcPr>
          <w:p>
            <w:pPr>
              <w:ind w:left="40"/>
              <w:spacing w:after="0"/>
              <w:rPr>
                <w:sz w:val="20"/>
                <w:szCs w:val="20"/>
                <w:color w:val="auto"/>
              </w:rPr>
            </w:pPr>
            <w:r>
              <w:rPr>
                <w:rFonts w:ascii="Arial" w:cs="Arial" w:eastAsia="Arial" w:hAnsi="Arial"/>
                <w:sz w:val="17"/>
                <w:szCs w:val="17"/>
                <w:color w:val="auto"/>
              </w:rPr>
              <w:t>ACTIONS OR SUITS BY OR IN THE RIGHT OF THE CORPORATION</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28</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9.3</w:t>
            </w:r>
          </w:p>
        </w:tc>
        <w:tc>
          <w:tcPr>
            <w:tcW w:w="8420" w:type="dxa"/>
            <w:vAlign w:val="bottom"/>
          </w:tcPr>
          <w:p>
            <w:pPr>
              <w:ind w:left="40"/>
              <w:spacing w:after="0"/>
              <w:rPr>
                <w:sz w:val="20"/>
                <w:szCs w:val="20"/>
                <w:color w:val="auto"/>
              </w:rPr>
            </w:pPr>
            <w:r>
              <w:rPr>
                <w:rFonts w:ascii="Arial" w:cs="Arial" w:eastAsia="Arial" w:hAnsi="Arial"/>
                <w:sz w:val="17"/>
                <w:szCs w:val="17"/>
                <w:color w:val="auto"/>
              </w:rPr>
              <w:t>INDEMNIFICATION FOR EXPENSES OF SUCCESSFUL PARTY</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28</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9.4</w:t>
            </w:r>
          </w:p>
        </w:tc>
        <w:tc>
          <w:tcPr>
            <w:tcW w:w="8420" w:type="dxa"/>
            <w:vAlign w:val="bottom"/>
          </w:tcPr>
          <w:p>
            <w:pPr>
              <w:ind w:left="40"/>
              <w:spacing w:after="0"/>
              <w:rPr>
                <w:sz w:val="20"/>
                <w:szCs w:val="20"/>
                <w:color w:val="auto"/>
              </w:rPr>
            </w:pPr>
            <w:r>
              <w:rPr>
                <w:rFonts w:ascii="Arial" w:cs="Arial" w:eastAsia="Arial" w:hAnsi="Arial"/>
                <w:sz w:val="17"/>
                <w:szCs w:val="17"/>
                <w:color w:val="auto"/>
              </w:rPr>
              <w:t>NOTIFICATION AND DEFENSE OF CLAIM</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29</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9.5</w:t>
            </w:r>
          </w:p>
        </w:tc>
        <w:tc>
          <w:tcPr>
            <w:tcW w:w="8420" w:type="dxa"/>
            <w:vAlign w:val="bottom"/>
          </w:tcPr>
          <w:p>
            <w:pPr>
              <w:ind w:left="40"/>
              <w:spacing w:after="0"/>
              <w:rPr>
                <w:sz w:val="20"/>
                <w:szCs w:val="20"/>
                <w:color w:val="auto"/>
              </w:rPr>
            </w:pPr>
            <w:r>
              <w:rPr>
                <w:rFonts w:ascii="Arial" w:cs="Arial" w:eastAsia="Arial" w:hAnsi="Arial"/>
                <w:sz w:val="17"/>
                <w:szCs w:val="17"/>
                <w:color w:val="auto"/>
              </w:rPr>
              <w:t>ADVANCE OF EXPENSES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29</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9.6</w:t>
            </w:r>
          </w:p>
        </w:tc>
        <w:tc>
          <w:tcPr>
            <w:tcW w:w="8420" w:type="dxa"/>
            <w:vAlign w:val="bottom"/>
          </w:tcPr>
          <w:p>
            <w:pPr>
              <w:ind w:left="40"/>
              <w:spacing w:after="0"/>
              <w:rPr>
                <w:sz w:val="20"/>
                <w:szCs w:val="20"/>
                <w:color w:val="auto"/>
              </w:rPr>
            </w:pPr>
            <w:r>
              <w:rPr>
                <w:rFonts w:ascii="Arial" w:cs="Arial" w:eastAsia="Arial" w:hAnsi="Arial"/>
                <w:sz w:val="17"/>
                <w:szCs w:val="17"/>
                <w:color w:val="auto"/>
              </w:rPr>
              <w:t>PROCEDURE FOR INDEMNIFICATION AND ADVANCEMENT OF EXPENSES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30</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9.7</w:t>
            </w:r>
          </w:p>
        </w:tc>
        <w:tc>
          <w:tcPr>
            <w:tcW w:w="8420" w:type="dxa"/>
            <w:vAlign w:val="bottom"/>
          </w:tcPr>
          <w:p>
            <w:pPr>
              <w:ind w:left="40"/>
              <w:spacing w:after="0"/>
              <w:rPr>
                <w:sz w:val="20"/>
                <w:szCs w:val="20"/>
                <w:color w:val="auto"/>
              </w:rPr>
            </w:pPr>
            <w:r>
              <w:rPr>
                <w:rFonts w:ascii="Arial" w:cs="Arial" w:eastAsia="Arial" w:hAnsi="Arial"/>
                <w:sz w:val="17"/>
                <w:szCs w:val="17"/>
                <w:color w:val="auto"/>
              </w:rPr>
              <w:t>REMEDIES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30</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9.8</w:t>
            </w:r>
          </w:p>
        </w:tc>
        <w:tc>
          <w:tcPr>
            <w:tcW w:w="8420" w:type="dxa"/>
            <w:vAlign w:val="bottom"/>
          </w:tcPr>
          <w:p>
            <w:pPr>
              <w:ind w:left="40"/>
              <w:spacing w:after="0"/>
              <w:rPr>
                <w:sz w:val="20"/>
                <w:szCs w:val="20"/>
                <w:color w:val="auto"/>
              </w:rPr>
            </w:pPr>
            <w:r>
              <w:rPr>
                <w:rFonts w:ascii="Arial" w:cs="Arial" w:eastAsia="Arial" w:hAnsi="Arial"/>
                <w:sz w:val="17"/>
                <w:szCs w:val="17"/>
                <w:color w:val="auto"/>
              </w:rPr>
              <w:t>LIMITATIONS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31</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rPr>
              <w:t>9.9</w:t>
            </w:r>
          </w:p>
        </w:tc>
        <w:tc>
          <w:tcPr>
            <w:tcW w:w="8420" w:type="dxa"/>
            <w:vAlign w:val="bottom"/>
          </w:tcPr>
          <w:p>
            <w:pPr>
              <w:ind w:left="40"/>
              <w:spacing w:after="0"/>
              <w:rPr>
                <w:sz w:val="20"/>
                <w:szCs w:val="20"/>
                <w:color w:val="auto"/>
              </w:rPr>
            </w:pPr>
            <w:r>
              <w:rPr>
                <w:rFonts w:ascii="Arial" w:cs="Arial" w:eastAsia="Arial" w:hAnsi="Arial"/>
                <w:sz w:val="17"/>
                <w:szCs w:val="17"/>
                <w:color w:val="auto"/>
              </w:rPr>
              <w:t>SUBSEQUENT AMENDMENT</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31</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9.10</w:t>
            </w:r>
          </w:p>
        </w:tc>
        <w:tc>
          <w:tcPr>
            <w:tcW w:w="8420" w:type="dxa"/>
            <w:vAlign w:val="bottom"/>
          </w:tcPr>
          <w:p>
            <w:pPr>
              <w:ind w:left="40"/>
              <w:spacing w:after="0"/>
              <w:rPr>
                <w:sz w:val="20"/>
                <w:szCs w:val="20"/>
                <w:color w:val="auto"/>
              </w:rPr>
            </w:pPr>
            <w:r>
              <w:rPr>
                <w:rFonts w:ascii="Arial" w:cs="Arial" w:eastAsia="Arial" w:hAnsi="Arial"/>
                <w:sz w:val="17"/>
                <w:szCs w:val="17"/>
                <w:color w:val="auto"/>
              </w:rPr>
              <w:t>OTHER RIGHTS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31</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9.11</w:t>
            </w:r>
          </w:p>
        </w:tc>
        <w:tc>
          <w:tcPr>
            <w:tcW w:w="8420" w:type="dxa"/>
            <w:vAlign w:val="bottom"/>
          </w:tcPr>
          <w:p>
            <w:pPr>
              <w:ind w:left="40"/>
              <w:spacing w:after="0"/>
              <w:rPr>
                <w:sz w:val="20"/>
                <w:szCs w:val="20"/>
                <w:color w:val="auto"/>
              </w:rPr>
            </w:pPr>
            <w:r>
              <w:rPr>
                <w:rFonts w:ascii="Arial" w:cs="Arial" w:eastAsia="Arial" w:hAnsi="Arial"/>
                <w:sz w:val="17"/>
                <w:szCs w:val="17"/>
                <w:color w:val="auto"/>
              </w:rPr>
              <w:t>PARTIAL INDEMNIFICATION</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32</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9.12</w:t>
            </w:r>
          </w:p>
        </w:tc>
        <w:tc>
          <w:tcPr>
            <w:tcW w:w="8420" w:type="dxa"/>
            <w:vAlign w:val="bottom"/>
          </w:tcPr>
          <w:p>
            <w:pPr>
              <w:ind w:left="40"/>
              <w:spacing w:after="0"/>
              <w:rPr>
                <w:sz w:val="20"/>
                <w:szCs w:val="20"/>
                <w:color w:val="auto"/>
              </w:rPr>
            </w:pPr>
            <w:r>
              <w:rPr>
                <w:rFonts w:ascii="Arial" w:cs="Arial" w:eastAsia="Arial" w:hAnsi="Arial"/>
                <w:sz w:val="17"/>
                <w:szCs w:val="17"/>
                <w:color w:val="auto"/>
              </w:rPr>
              <w:t>INSURANCE</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32</w:t>
            </w:r>
          </w:p>
        </w:tc>
      </w:tr>
      <w:tr>
        <w:trPr>
          <w:trHeight w:val="201"/>
        </w:trPr>
        <w:tc>
          <w:tcPr>
            <w:tcW w:w="680" w:type="dxa"/>
            <w:vAlign w:val="bottom"/>
          </w:tcPr>
          <w:p>
            <w:pPr>
              <w:ind w:left="340"/>
              <w:spacing w:after="0"/>
              <w:rPr>
                <w:sz w:val="20"/>
                <w:szCs w:val="20"/>
                <w:color w:val="auto"/>
              </w:rPr>
            </w:pPr>
            <w:r>
              <w:rPr>
                <w:rFonts w:ascii="Arial" w:cs="Arial" w:eastAsia="Arial" w:hAnsi="Arial"/>
                <w:sz w:val="17"/>
                <w:szCs w:val="17"/>
                <w:color w:val="auto"/>
                <w:w w:val="96"/>
              </w:rPr>
              <w:t>9.13</w:t>
            </w:r>
          </w:p>
        </w:tc>
        <w:tc>
          <w:tcPr>
            <w:tcW w:w="8420" w:type="dxa"/>
            <w:vAlign w:val="bottom"/>
          </w:tcPr>
          <w:p>
            <w:pPr>
              <w:ind w:left="40"/>
              <w:spacing w:after="0"/>
              <w:rPr>
                <w:sz w:val="20"/>
                <w:szCs w:val="20"/>
                <w:color w:val="auto"/>
              </w:rPr>
            </w:pPr>
            <w:r>
              <w:rPr>
                <w:rFonts w:ascii="Arial" w:cs="Arial" w:eastAsia="Arial" w:hAnsi="Arial"/>
                <w:sz w:val="17"/>
                <w:szCs w:val="17"/>
                <w:color w:val="auto"/>
              </w:rPr>
              <w:t>SAVINGS CLAUSE</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32</w:t>
            </w:r>
          </w:p>
        </w:tc>
      </w:tr>
      <w:tr>
        <w:trPr>
          <w:trHeight w:val="213"/>
        </w:trPr>
        <w:tc>
          <w:tcPr>
            <w:tcW w:w="680" w:type="dxa"/>
            <w:vAlign w:val="bottom"/>
          </w:tcPr>
          <w:p>
            <w:pPr>
              <w:ind w:left="340"/>
              <w:spacing w:after="0"/>
              <w:rPr>
                <w:sz w:val="20"/>
                <w:szCs w:val="20"/>
                <w:color w:val="auto"/>
              </w:rPr>
            </w:pPr>
            <w:r>
              <w:rPr>
                <w:rFonts w:ascii="Arial" w:cs="Arial" w:eastAsia="Arial" w:hAnsi="Arial"/>
                <w:sz w:val="17"/>
                <w:szCs w:val="17"/>
                <w:color w:val="auto"/>
                <w:w w:val="96"/>
              </w:rPr>
              <w:t>9.14</w:t>
            </w:r>
          </w:p>
        </w:tc>
        <w:tc>
          <w:tcPr>
            <w:tcW w:w="8420" w:type="dxa"/>
            <w:vAlign w:val="bottom"/>
          </w:tcPr>
          <w:p>
            <w:pPr>
              <w:ind w:left="40"/>
              <w:spacing w:after="0"/>
              <w:rPr>
                <w:sz w:val="20"/>
                <w:szCs w:val="20"/>
                <w:color w:val="auto"/>
              </w:rPr>
            </w:pPr>
            <w:r>
              <w:rPr>
                <w:rFonts w:ascii="Arial" w:cs="Arial" w:eastAsia="Arial" w:hAnsi="Arial"/>
                <w:sz w:val="17"/>
                <w:szCs w:val="17"/>
                <w:color w:val="auto"/>
              </w:rPr>
              <w:t>DEFINITIONS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32</w:t>
            </w:r>
          </w:p>
        </w:tc>
      </w:tr>
      <w:tr>
        <w:trPr>
          <w:trHeight w:val="301"/>
        </w:trPr>
        <w:tc>
          <w:tcPr>
            <w:tcW w:w="9100" w:type="dxa"/>
            <w:vAlign w:val="bottom"/>
            <w:gridSpan w:val="2"/>
          </w:tcPr>
          <w:p>
            <w:pPr>
              <w:spacing w:after="0"/>
              <w:rPr>
                <w:sz w:val="20"/>
                <w:szCs w:val="20"/>
                <w:color w:val="auto"/>
              </w:rPr>
            </w:pPr>
            <w:r>
              <w:rPr>
                <w:rFonts w:ascii="Arial" w:cs="Arial" w:eastAsia="Arial" w:hAnsi="Arial"/>
                <w:sz w:val="17"/>
                <w:szCs w:val="17"/>
                <w:color w:val="auto"/>
              </w:rPr>
              <w:t>ARTICLE X - AMENDMENTS</w:t>
            </w:r>
          </w:p>
        </w:tc>
        <w:tc>
          <w:tcPr>
            <w:tcW w:w="1140" w:type="dxa"/>
            <w:vAlign w:val="bottom"/>
            <w:gridSpan w:val="2"/>
          </w:tcPr>
          <w:p>
            <w:pPr>
              <w:jc w:val="center"/>
              <w:ind w:left="797"/>
              <w:spacing w:after="0"/>
              <w:rPr>
                <w:sz w:val="20"/>
                <w:szCs w:val="20"/>
                <w:color w:val="auto"/>
              </w:rPr>
            </w:pPr>
            <w:r>
              <w:rPr>
                <w:rFonts w:ascii="Arial" w:cs="Arial" w:eastAsia="Arial" w:hAnsi="Arial"/>
                <w:sz w:val="17"/>
                <w:szCs w:val="17"/>
                <w:color w:val="auto"/>
                <w:w w:val="94"/>
              </w:rPr>
              <w:t>33</w:t>
            </w:r>
          </w:p>
        </w:tc>
      </w:tr>
      <w:tr>
        <w:trPr>
          <w:trHeight w:val="339"/>
        </w:trPr>
        <w:tc>
          <w:tcPr>
            <w:tcW w:w="680" w:type="dxa"/>
            <w:vAlign w:val="bottom"/>
          </w:tcPr>
          <w:p>
            <w:pPr>
              <w:spacing w:after="0"/>
              <w:rPr>
                <w:sz w:val="24"/>
                <w:szCs w:val="24"/>
                <w:color w:val="auto"/>
              </w:rPr>
            </w:pPr>
          </w:p>
        </w:tc>
        <w:tc>
          <w:tcPr>
            <w:tcW w:w="8420" w:type="dxa"/>
            <w:vAlign w:val="bottom"/>
          </w:tcPr>
          <w:p>
            <w:pPr>
              <w:ind w:left="4340"/>
              <w:spacing w:after="0"/>
              <w:rPr>
                <w:sz w:val="20"/>
                <w:szCs w:val="20"/>
                <w:color w:val="auto"/>
              </w:rPr>
            </w:pPr>
            <w:r>
              <w:rPr>
                <w:rFonts w:ascii="Arial" w:cs="Arial" w:eastAsia="Arial" w:hAnsi="Arial"/>
                <w:sz w:val="17"/>
                <w:szCs w:val="17"/>
                <w:color w:val="auto"/>
              </w:rPr>
              <w:t>-ii-</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240"/>
          </w:cols>
          <w:pgMar w:left="820" w:top="261" w:right="83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AMENDED AND RESTATED BYLAWS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LYRA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210820</wp:posOffset>
            </wp:positionV>
            <wp:extent cx="13709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137096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354330</wp:posOffset>
            </wp:positionV>
            <wp:extent cx="13709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 - CORPORATE OFFICES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 REGISTERED OFFICE.</w:t>
      </w:r>
    </w:p>
    <w:p>
      <w:pPr>
        <w:spacing w:after="0" w:line="106" w:lineRule="exact"/>
        <w:rPr>
          <w:sz w:val="20"/>
          <w:szCs w:val="20"/>
          <w:color w:val="auto"/>
        </w:rPr>
      </w:pPr>
    </w:p>
    <w:p>
      <w:pPr>
        <w:ind w:right="300" w:firstLine="409"/>
        <w:spacing w:after="0" w:line="268" w:lineRule="auto"/>
        <w:rPr>
          <w:sz w:val="20"/>
          <w:szCs w:val="20"/>
          <w:color w:val="auto"/>
        </w:rPr>
      </w:pPr>
      <w:r>
        <w:rPr>
          <w:rFonts w:ascii="Arial" w:cs="Arial" w:eastAsia="Arial" w:hAnsi="Arial"/>
          <w:sz w:val="17"/>
          <w:szCs w:val="17"/>
          <w:color w:val="auto"/>
        </w:rPr>
        <w:t>The registered office of Lyra Therapeutics,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shall be fixed in the Corporation’s certificate of incorporation, as the same may be amended and/or restated from time to time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1.2 OTHER OFFICES.</w:t>
      </w:r>
    </w:p>
    <w:p>
      <w:pPr>
        <w:spacing w:after="0" w:line="106" w:lineRule="exact"/>
        <w:rPr>
          <w:sz w:val="20"/>
          <w:szCs w:val="20"/>
          <w:color w:val="auto"/>
        </w:rPr>
      </w:pPr>
    </w:p>
    <w:p>
      <w:pPr>
        <w:ind w:right="500" w:firstLine="409"/>
        <w:spacing w:after="0" w:line="299" w:lineRule="auto"/>
        <w:rPr>
          <w:sz w:val="20"/>
          <w:szCs w:val="20"/>
          <w:color w:val="auto"/>
        </w:rPr>
      </w:pPr>
      <w:r>
        <w:rPr>
          <w:rFonts w:ascii="Arial" w:cs="Arial" w:eastAsia="Arial" w:hAnsi="Arial"/>
          <w:sz w:val="16"/>
          <w:szCs w:val="16"/>
          <w:color w:val="auto"/>
        </w:rPr>
        <w:t>The Corporation may have other offices at any place or places, either within or outside the State of Delaware, as the Corporation’s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shall from time to time determine or the business of the Corporation may from time to time require.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 - MEETINGS OF STOCKHOLDERS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 PLACE OF MEETINGS.</w:t>
      </w:r>
    </w:p>
    <w:p>
      <w:pPr>
        <w:spacing w:after="0" w:line="106" w:lineRule="exact"/>
        <w:rPr>
          <w:sz w:val="20"/>
          <w:szCs w:val="20"/>
          <w:color w:val="auto"/>
        </w:rPr>
      </w:pPr>
    </w:p>
    <w:p>
      <w:pPr>
        <w:ind w:right="40" w:firstLine="409"/>
        <w:spacing w:after="0" w:line="274" w:lineRule="auto"/>
        <w:rPr>
          <w:sz w:val="20"/>
          <w:szCs w:val="20"/>
          <w:color w:val="auto"/>
        </w:rPr>
      </w:pPr>
      <w:r>
        <w:rPr>
          <w:rFonts w:ascii="Arial" w:cs="Arial" w:eastAsia="Arial" w:hAnsi="Arial"/>
          <w:sz w:val="16"/>
          <w:szCs w:val="16"/>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In the absence of any such designation or determination, stockholders’ meetings shall be held at the Corporation’s principal executive office.</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2.2 ANNUAL MEETING.</w:t>
      </w:r>
    </w:p>
    <w:p>
      <w:pPr>
        <w:spacing w:after="0" w:line="106" w:lineRule="exact"/>
        <w:rPr>
          <w:sz w:val="20"/>
          <w:szCs w:val="20"/>
          <w:color w:val="auto"/>
        </w:rPr>
      </w:pPr>
    </w:p>
    <w:p>
      <w:pPr>
        <w:ind w:right="340" w:firstLine="409"/>
        <w:spacing w:after="0" w:line="268" w:lineRule="auto"/>
        <w:rPr>
          <w:sz w:val="20"/>
          <w:szCs w:val="20"/>
          <w:color w:val="auto"/>
        </w:rPr>
      </w:pPr>
      <w:r>
        <w:rPr>
          <w:rFonts w:ascii="Arial" w:cs="Arial" w:eastAsia="Arial" w:hAnsi="Arial"/>
          <w:sz w:val="17"/>
          <w:szCs w:val="17"/>
          <w:color w:val="auto"/>
        </w:rPr>
        <w:t>The Board shall designate the date and time of the annual meeting. At the annual meeting, directors shall be elected and other proper business properly brought before the meeting in accordance with Section 2.4 of these bylaws may be transacted.</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2.3 SPECIAL MEETING.</w:t>
      </w:r>
    </w:p>
    <w:p>
      <w:pPr>
        <w:spacing w:after="0" w:line="106" w:lineRule="exact"/>
        <w:rPr>
          <w:sz w:val="20"/>
          <w:szCs w:val="20"/>
          <w:color w:val="auto"/>
        </w:rPr>
      </w:pPr>
    </w:p>
    <w:p>
      <w:pPr>
        <w:ind w:firstLine="409"/>
        <w:spacing w:after="0" w:line="299" w:lineRule="auto"/>
        <w:rPr>
          <w:sz w:val="20"/>
          <w:szCs w:val="20"/>
          <w:color w:val="auto"/>
        </w:rPr>
      </w:pPr>
      <w:r>
        <w:rPr>
          <w:rFonts w:ascii="Arial" w:cs="Arial" w:eastAsia="Arial" w:hAnsi="Arial"/>
          <w:sz w:val="16"/>
          <w:szCs w:val="16"/>
          <w:color w:val="auto"/>
        </w:rPr>
        <w:t>A special meeting of the stockholders may be called at any time by the Board, chairperson of the Board, chief executive officer or president (in the absence of a chief executive officer) of the Corporation, but such special meetings may not be called by any other person or persons.</w:t>
      </w:r>
    </w:p>
    <w:p>
      <w:pPr>
        <w:sectPr>
          <w:pgSz w:w="11900" w:h="16838" w:orient="portrait"/>
          <w:cols w:equalWidth="0" w:num="1">
            <w:col w:w="10240"/>
          </w:cols>
          <w:pgMar w:left="820" w:top="261" w:right="839" w:bottom="1440" w:gutter="0" w:footer="0" w:header="0"/>
        </w:sectPr>
      </w:pPr>
    </w:p>
    <w:bookmarkStart w:id="330" w:name="page331"/>
    <w:bookmarkEnd w:id="330"/>
    <w:p>
      <w:pPr>
        <w:ind w:right="140" w:firstLine="40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2.4 ADVANCE NOTICE PROCEDURES FOR BUSINESS BROUGHT BEFORE A MEETING.</w:t>
      </w:r>
    </w:p>
    <w:p>
      <w:pPr>
        <w:spacing w:after="0" w:line="106" w:lineRule="exact"/>
        <w:rPr>
          <w:sz w:val="20"/>
          <w:szCs w:val="20"/>
          <w:color w:val="auto"/>
        </w:rPr>
      </w:pPr>
    </w:p>
    <w:p>
      <w:pPr>
        <w:ind w:right="80" w:firstLine="924"/>
        <w:spacing w:after="0" w:line="285" w:lineRule="auto"/>
        <w:tabs>
          <w:tab w:leader="none" w:pos="1149" w:val="left"/>
        </w:tabs>
        <w:numPr>
          <w:ilvl w:val="1"/>
          <w:numId w:val="265"/>
        </w:numPr>
        <w:rPr>
          <w:rFonts w:ascii="Arial" w:cs="Arial" w:eastAsia="Arial" w:hAnsi="Arial"/>
          <w:sz w:val="15"/>
          <w:szCs w:val="15"/>
          <w:color w:val="auto"/>
        </w:rPr>
      </w:pPr>
      <w:r>
        <w:rPr>
          <w:rFonts w:ascii="Arial" w:cs="Arial" w:eastAsia="Arial" w:hAnsi="Arial"/>
          <w:sz w:val="15"/>
          <w:szCs w:val="15"/>
          <w:color w:val="auto"/>
        </w:rPr>
        <w:t>At an annual meeting of the stockholders, only such business shall be conducted as shall have been properly brought before the meeting. To be properly brought before an annual meeting, business must be (i) brought before the meeting by the Corporation and specified in a notice of meeting given by or at the direction of the Board, (ii) brought before the meeting by or at the direction of the Board (or a committee thereof) or</w:t>
      </w:r>
    </w:p>
    <w:p>
      <w:pPr>
        <w:ind w:firstLine="3"/>
        <w:spacing w:after="0" w:line="279" w:lineRule="auto"/>
        <w:tabs>
          <w:tab w:leader="none" w:pos="293" w:val="left"/>
        </w:tabs>
        <w:numPr>
          <w:ilvl w:val="0"/>
          <w:numId w:val="266"/>
        </w:numPr>
        <w:rPr>
          <w:rFonts w:ascii="Arial" w:cs="Arial" w:eastAsia="Arial" w:hAnsi="Arial"/>
          <w:sz w:val="15"/>
          <w:szCs w:val="15"/>
          <w:color w:val="auto"/>
        </w:rPr>
      </w:pPr>
      <w:r>
        <w:rPr>
          <w:rFonts w:ascii="Arial" w:cs="Arial" w:eastAsia="Arial" w:hAnsi="Arial"/>
          <w:sz w:val="15"/>
          <w:szCs w:val="15"/>
          <w:color w:val="auto"/>
        </w:rPr>
        <w:t>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 (B) is entitled to vote at the meeting and</w:t>
      </w:r>
    </w:p>
    <w:p>
      <w:pPr>
        <w:ind w:right="100"/>
        <w:spacing w:after="0" w:line="265" w:lineRule="auto"/>
        <w:rPr>
          <w:rFonts w:ascii="Arial" w:cs="Arial" w:eastAsia="Arial" w:hAnsi="Arial"/>
          <w:sz w:val="15"/>
          <w:szCs w:val="15"/>
          <w:color w:val="auto"/>
        </w:rPr>
      </w:pPr>
      <w:r>
        <w:rPr>
          <w:rFonts w:ascii="Arial" w:cs="Arial" w:eastAsia="Arial" w:hAnsi="Arial"/>
          <w:sz w:val="16"/>
          <w:szCs w:val="16"/>
          <w:color w:val="auto"/>
        </w:rPr>
        <w:t>(C)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 2.5 of these bylaws.</w:t>
      </w:r>
    </w:p>
    <w:p>
      <w:pPr>
        <w:spacing w:after="0" w:line="69" w:lineRule="exact"/>
        <w:rPr>
          <w:rFonts w:ascii="Arial" w:cs="Arial" w:eastAsia="Arial" w:hAnsi="Arial"/>
          <w:sz w:val="15"/>
          <w:szCs w:val="15"/>
          <w:color w:val="auto"/>
        </w:rPr>
      </w:pPr>
    </w:p>
    <w:p>
      <w:pPr>
        <w:ind w:right="180" w:firstLine="924"/>
        <w:spacing w:after="0" w:line="267" w:lineRule="auto"/>
        <w:tabs>
          <w:tab w:leader="none" w:pos="1159"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 one hundred twenty (120) days prior to the first anniversary of the preceding year’s annual meeting;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the date of the annual meeting is more than thirty (30) days before or more than sixty (60) days after such anniversary date, notice by the stockholder to be timely must be so delivered, or mailed and received,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later of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5" w:right="839" w:bottom="1440" w:gutter="0" w:footer="0" w:header="0"/>
        </w:sectPr>
      </w:pPr>
    </w:p>
    <w:bookmarkStart w:id="331" w:name="page332"/>
    <w:bookmarkEnd w:id="331"/>
    <w:p>
      <w:pPr>
        <w:ind w:right="100"/>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close of business on the ninetieth (90</w:t>
      </w:r>
      <w:r>
        <w:rPr>
          <w:rFonts w:ascii="Arial" w:cs="Arial" w:eastAsia="Arial" w:hAnsi="Arial"/>
          <w:sz w:val="14"/>
          <w:szCs w:val="14"/>
          <w:color w:val="auto"/>
        </w:rPr>
        <w:t>th</w:t>
      </w:r>
      <w:r>
        <w:rPr>
          <w:rFonts w:ascii="Arial" w:cs="Arial" w:eastAsia="Arial" w:hAnsi="Arial"/>
          <w:sz w:val="17"/>
          <w:szCs w:val="17"/>
          <w:color w:val="auto"/>
        </w:rPr>
        <w:t>) day prior to such annual meeting and the close of business on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disclosure of the date of such annual meeting was first made (such notice within such time periods, “</w:t>
      </w:r>
      <w:r>
        <w:rPr>
          <w:rFonts w:ascii="Arial" w:cs="Arial" w:eastAsia="Arial" w:hAnsi="Arial"/>
          <w:sz w:val="17"/>
          <w:szCs w:val="17"/>
          <w:u w:val="single" w:color="auto"/>
          <w:color w:val="auto"/>
        </w:rPr>
        <w:t>Timely Notice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for the purposes of calculating Timely Notice for the first annual meeting held after the Company’s initial public offering of its shares pursuant to a registration statement on Form S-1, the date of the immediately preceding annual meeting shall be deemed to be June 5, 2019. In no event shall any adjournment or postponement of an annual meeting or the announcement thereof commence a new time period (or extend any time period) for the giving of Timely Notice as described above.</w:t>
      </w:r>
    </w:p>
    <w:p>
      <w:pPr>
        <w:spacing w:after="0" w:line="80" w:lineRule="exact"/>
        <w:rPr>
          <w:sz w:val="20"/>
          <w:szCs w:val="20"/>
          <w:color w:val="auto"/>
        </w:rPr>
      </w:pPr>
    </w:p>
    <w:p>
      <w:pPr>
        <w:ind w:left="1160" w:hanging="236"/>
        <w:spacing w:after="0"/>
        <w:tabs>
          <w:tab w:leader="none" w:pos="11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To be in proper form for purposes of this Section 2.4, a stockholder’s notice to the secretary of the Corporation shall set forth:</w:t>
      </w:r>
    </w:p>
    <w:p>
      <w:pPr>
        <w:spacing w:after="0" w:line="117" w:lineRule="exact"/>
        <w:rPr>
          <w:rFonts w:ascii="Arial" w:cs="Arial" w:eastAsia="Arial" w:hAnsi="Arial"/>
          <w:sz w:val="16"/>
          <w:szCs w:val="16"/>
          <w:color w:val="auto"/>
        </w:rPr>
      </w:pPr>
    </w:p>
    <w:p>
      <w:pPr>
        <w:ind w:left="1500" w:hanging="203"/>
        <w:spacing w:after="0"/>
        <w:tabs>
          <w:tab w:leader="none" w:pos="150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As to each Proposing Person (as defined below), (A) the name and address of such Proposing Person (including, without</w:t>
      </w:r>
    </w:p>
    <w:p>
      <w:pPr>
        <w:spacing w:after="0" w:line="29" w:lineRule="exact"/>
        <w:rPr>
          <w:rFonts w:ascii="Arial" w:cs="Arial" w:eastAsia="Arial" w:hAnsi="Arial"/>
          <w:sz w:val="16"/>
          <w:szCs w:val="16"/>
          <w:color w:val="auto"/>
        </w:rPr>
      </w:pPr>
    </w:p>
    <w:p>
      <w:pPr>
        <w:ind w:left="920" w:right="60"/>
        <w:spacing w:after="0" w:line="289" w:lineRule="auto"/>
        <w:rPr>
          <w:rFonts w:ascii="Arial" w:cs="Arial" w:eastAsia="Arial" w:hAnsi="Arial"/>
          <w:sz w:val="16"/>
          <w:szCs w:val="16"/>
          <w:color w:val="auto"/>
        </w:rPr>
      </w:pPr>
      <w:r>
        <w:rPr>
          <w:rFonts w:ascii="Arial" w:cs="Arial" w:eastAsia="Arial" w:hAnsi="Arial"/>
          <w:sz w:val="15"/>
          <w:szCs w:val="15"/>
          <w:color w:val="auto"/>
        </w:rPr>
        <w:t>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5"/>
          <w:szCs w:val="15"/>
          <w:u w:val="single" w:color="auto"/>
          <w:color w:val="auto"/>
        </w:rPr>
        <w:t>Stockholder Information</w:t>
      </w:r>
      <w:r>
        <w:rPr>
          <w:rFonts w:ascii="Arial" w:cs="Arial" w:eastAsia="Arial" w:hAnsi="Arial"/>
          <w:sz w:val="15"/>
          <w:szCs w:val="15"/>
          <w:color w:val="auto"/>
        </w:rPr>
        <w:t>”);</w:t>
      </w:r>
    </w:p>
    <w:p>
      <w:pPr>
        <w:spacing w:after="0" w:line="53" w:lineRule="exact"/>
        <w:rPr>
          <w:rFonts w:ascii="Arial" w:cs="Arial" w:eastAsia="Arial" w:hAnsi="Arial"/>
          <w:sz w:val="16"/>
          <w:szCs w:val="16"/>
          <w:color w:val="auto"/>
        </w:rPr>
      </w:pPr>
    </w:p>
    <w:p>
      <w:pPr>
        <w:ind w:left="920" w:firstLine="377"/>
        <w:spacing w:after="0" w:line="281" w:lineRule="auto"/>
        <w:tabs>
          <w:tab w:leader="none" w:pos="1539" w:val="left"/>
        </w:tabs>
        <w:numPr>
          <w:ilvl w:val="1"/>
          <w:numId w:val="267"/>
        </w:numPr>
        <w:rPr>
          <w:rFonts w:ascii="Arial" w:cs="Arial" w:eastAsia="Arial" w:hAnsi="Arial"/>
          <w:sz w:val="15"/>
          <w:szCs w:val="15"/>
          <w:color w:val="auto"/>
        </w:rPr>
      </w:pPr>
      <w:r>
        <w:rPr>
          <w:rFonts w:ascii="Arial" w:cs="Arial" w:eastAsia="Arial" w:hAnsi="Arial"/>
          <w:sz w:val="15"/>
          <w:szCs w:val="15"/>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Arial" w:cs="Arial" w:eastAsia="Arial" w:hAnsi="Arial"/>
          <w:sz w:val="15"/>
          <w:szCs w:val="15"/>
          <w:u w:val="single" w:color="auto"/>
          <w:color w:val="auto"/>
        </w:rPr>
        <w:t>Synthetic Equity Interests</w:t>
      </w:r>
      <w:r>
        <w:rPr>
          <w:rFonts w:ascii="Arial" w:cs="Arial" w:eastAsia="Arial" w:hAnsi="Arial"/>
          <w:sz w:val="15"/>
          <w:szCs w:val="15"/>
          <w:color w:val="auto"/>
        </w:rPr>
        <w:t>”), which Synthetic Equity Interests shall be disclosed without regard to whether (x) the derivative, swap or other transactions convey any voting rights in such shares to such Proposing Person,</w:t>
      </w:r>
    </w:p>
    <w:p>
      <w:pPr>
        <w:spacing w:after="0" w:line="4" w:lineRule="exact"/>
        <w:rPr>
          <w:rFonts w:ascii="Arial" w:cs="Arial" w:eastAsia="Arial" w:hAnsi="Arial"/>
          <w:sz w:val="15"/>
          <w:szCs w:val="15"/>
          <w:color w:val="auto"/>
        </w:rPr>
      </w:pPr>
    </w:p>
    <w:p>
      <w:pPr>
        <w:ind w:left="920" w:right="40" w:firstLine="4"/>
        <w:spacing w:after="0" w:line="248" w:lineRule="auto"/>
        <w:tabs>
          <w:tab w:leader="none" w:pos="1157"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00"/>
          </w:cols>
          <w:pgMar w:left="820" w:top="264" w:right="879" w:bottom="1440" w:gutter="0" w:footer="0" w:header="0"/>
        </w:sectPr>
      </w:pPr>
    </w:p>
    <w:bookmarkStart w:id="332" w:name="page333"/>
    <w:bookmarkEnd w:id="332"/>
    <w:p>
      <w:pPr>
        <w:ind w:left="300"/>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5"/>
          <w:szCs w:val="15"/>
          <w:u w:val="single" w:color="auto"/>
          <w:color w:val="auto"/>
        </w:rPr>
        <w:t>Short Interests</w:t>
      </w:r>
      <w:r>
        <w:rPr>
          <w:rFonts w:ascii="Arial" w:cs="Arial" w:eastAsia="Arial" w:hAnsi="Arial"/>
          <w:sz w:val="15"/>
          <w:szCs w:val="15"/>
          <w:color w:val="auto"/>
        </w:rPr>
        <w:t>”), (D) any rights to dividends on the shares of any class or series of the Corporation owned beneficially by such Proposing Person that are separated or separable from the underlying shares of the Corporation, (E) 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Arial" w:cs="Arial" w:eastAsia="Arial" w:hAnsi="Arial"/>
          <w:sz w:val="15"/>
          <w:szCs w:val="15"/>
          <w:u w:val="single" w:color="auto"/>
          <w:color w:val="auto"/>
        </w:rPr>
        <w:t>Responsible Person</w:t>
      </w:r>
      <w:r>
        <w:rPr>
          <w:rFonts w:ascii="Arial" w:cs="Arial" w:eastAsia="Arial" w:hAnsi="Arial"/>
          <w:sz w:val="15"/>
          <w:szCs w:val="15"/>
          <w:color w:val="auto"/>
        </w:rPr>
        <w:t>”),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 (y) if such Proposing Person is a natural person, the qualifications and background of such natural person and any material interests or relationships of such natural person that are 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is a party or material participant involving the Corporation or any of its</w:t>
      </w:r>
    </w:p>
    <w:p>
      <w:pPr>
        <w:spacing w:after="0" w:line="110"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620"/>
          </w:cols>
          <w:pgMar w:left="1440" w:top="265" w:right="839" w:bottom="1440" w:gutter="0" w:footer="0" w:header="0"/>
        </w:sectPr>
      </w:pPr>
    </w:p>
    <w:bookmarkStart w:id="333" w:name="page334"/>
    <w:bookmarkEnd w:id="333"/>
    <w:p>
      <w:pPr>
        <w:ind w:left="300"/>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officers or directors, or any affiliate of the Corporation, (J) any material transaction occurring during the prior twelve months between such Proposing 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(L) are referred to as “</w:t>
      </w:r>
      <w:r>
        <w:rPr>
          <w:rFonts w:ascii="Arial" w:cs="Arial" w:eastAsia="Arial" w:hAnsi="Arial"/>
          <w:sz w:val="15"/>
          <w:szCs w:val="15"/>
          <w:u w:val="single" w:color="auto"/>
          <w:color w:val="auto"/>
        </w:rPr>
        <w:t>Disclosable Interests</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provided, however</w:t>
      </w:r>
      <w:r>
        <w:rPr>
          <w:rFonts w:ascii="Arial" w:cs="Arial" w:eastAsia="Arial" w:hAnsi="Arial"/>
          <w:sz w:val="15"/>
          <w:szCs w:val="15"/>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57" w:lineRule="exact"/>
        <w:rPr>
          <w:sz w:val="20"/>
          <w:szCs w:val="20"/>
          <w:color w:val="auto"/>
        </w:rPr>
      </w:pPr>
    </w:p>
    <w:p>
      <w:pPr>
        <w:ind w:left="300" w:right="20" w:firstLine="377"/>
        <w:spacing w:after="0" w:line="284" w:lineRule="auto"/>
        <w:tabs>
          <w:tab w:leader="none" w:pos="965" w:val="left"/>
        </w:tabs>
        <w:numPr>
          <w:ilvl w:val="0"/>
          <w:numId w:val="269"/>
        </w:numPr>
        <w:rPr>
          <w:rFonts w:ascii="Arial" w:cs="Arial" w:eastAsia="Arial" w:hAnsi="Arial"/>
          <w:sz w:val="15"/>
          <w:szCs w:val="15"/>
          <w:color w:val="auto"/>
        </w:rPr>
      </w:pPr>
      <w:r>
        <w:rPr>
          <w:rFonts w:ascii="Arial" w:cs="Arial" w:eastAsia="Arial" w:hAnsi="Arial"/>
          <w:sz w:val="15"/>
          <w:szCs w:val="15"/>
          <w:color w:val="auto"/>
        </w:rPr>
        <w:t>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w:t>
      </w:r>
    </w:p>
    <w:p>
      <w:pPr>
        <w:spacing w:after="0" w:line="9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620"/>
          </w:cols>
          <w:pgMar w:left="1440" w:top="264" w:right="839" w:bottom="1440" w:gutter="0" w:footer="0" w:header="0"/>
        </w:sectPr>
      </w:pPr>
    </w:p>
    <w:bookmarkStart w:id="334" w:name="page335"/>
    <w:bookmarkEnd w:id="334"/>
    <w:p>
      <w:pPr>
        <w:ind w:left="917"/>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before the meeting pursuant to Section 14(a) of the Exchange Act; </w:t>
      </w:r>
      <w:r>
        <w:rPr>
          <w:rFonts w:ascii="Arial" w:cs="Arial" w:eastAsia="Arial" w:hAnsi="Arial"/>
          <w:sz w:val="15"/>
          <w:szCs w:val="15"/>
          <w:i w:val="1"/>
          <w:iCs w:val="1"/>
          <w:u w:val="single" w:color="auto"/>
          <w:color w:val="auto"/>
        </w:rPr>
        <w:t>provided, however</w:t>
      </w:r>
      <w:r>
        <w:rPr>
          <w:rFonts w:ascii="Arial" w:cs="Arial" w:eastAsia="Arial" w:hAnsi="Arial"/>
          <w:sz w:val="15"/>
          <w:szCs w:val="15"/>
          <w:color w:val="auto"/>
        </w:rPr>
        <w:t>, that the disclosures required by this paragraph (c)</w:t>
      </w:r>
    </w:p>
    <w:p>
      <w:pPr>
        <w:spacing w:after="0" w:line="41" w:lineRule="exact"/>
        <w:rPr>
          <w:sz w:val="20"/>
          <w:szCs w:val="20"/>
          <w:color w:val="auto"/>
        </w:rPr>
      </w:pPr>
    </w:p>
    <w:p>
      <w:pPr>
        <w:ind w:left="917" w:right="180" w:firstLine="4"/>
        <w:spacing w:after="0" w:line="249" w:lineRule="auto"/>
        <w:tabs>
          <w:tab w:leader="none" w:pos="121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82" w:lineRule="exact"/>
        <w:rPr>
          <w:sz w:val="20"/>
          <w:szCs w:val="20"/>
          <w:color w:val="auto"/>
        </w:rPr>
      </w:pPr>
    </w:p>
    <w:p>
      <w:pPr>
        <w:ind w:left="-3" w:right="80" w:firstLine="924"/>
        <w:spacing w:after="0" w:line="271" w:lineRule="auto"/>
        <w:tabs>
          <w:tab w:leader="none" w:pos="1156" w:val="left"/>
        </w:tabs>
        <w:numPr>
          <w:ilvl w:val="1"/>
          <w:numId w:val="271"/>
        </w:numPr>
        <w:rPr>
          <w:rFonts w:ascii="Arial" w:cs="Arial" w:eastAsia="Arial" w:hAnsi="Arial"/>
          <w:sz w:val="16"/>
          <w:szCs w:val="16"/>
          <w:color w:val="auto"/>
        </w:rPr>
      </w:pPr>
      <w:r>
        <w:rPr>
          <w:rFonts w:ascii="Arial" w:cs="Arial" w:eastAsia="Arial" w:hAnsi="Arial"/>
          <w:sz w:val="16"/>
          <w:szCs w:val="16"/>
          <w:color w:val="auto"/>
        </w:rPr>
        <w:t>For purposes of this Section 2.4, the term “</w:t>
      </w:r>
      <w:r>
        <w:rPr>
          <w:rFonts w:ascii="Arial" w:cs="Arial" w:eastAsia="Arial" w:hAnsi="Arial"/>
          <w:sz w:val="16"/>
          <w:szCs w:val="16"/>
          <w:u w:val="single" w:color="auto"/>
          <w:color w:val="auto"/>
        </w:rPr>
        <w:t>Proposing Person</w:t>
      </w:r>
      <w:r>
        <w:rPr>
          <w:rFonts w:ascii="Arial" w:cs="Arial" w:eastAsia="Arial" w:hAnsi="Arial"/>
          <w:sz w:val="16"/>
          <w:szCs w:val="16"/>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(iii) any affiliate or associate (each within the meaning of Rule 12b-2 under the Exchange Act for the purposes of these bylaws) of such stockholder or beneficial owner and (iv) any other person with whom such stockholder or beneficial owner (or any of their respective affiliates or associates) is Acting in Concert (as defined below).</w:t>
      </w:r>
    </w:p>
    <w:p>
      <w:pPr>
        <w:spacing w:after="0" w:line="65" w:lineRule="exact"/>
        <w:rPr>
          <w:rFonts w:ascii="Arial" w:cs="Arial" w:eastAsia="Arial" w:hAnsi="Arial"/>
          <w:sz w:val="16"/>
          <w:szCs w:val="16"/>
          <w:color w:val="auto"/>
        </w:rPr>
      </w:pPr>
    </w:p>
    <w:p>
      <w:pPr>
        <w:ind w:left="-3" w:firstLine="924"/>
        <w:spacing w:after="0" w:line="266" w:lineRule="auto"/>
        <w:tabs>
          <w:tab w:leader="none" w:pos="114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 person shall be deemed to be “</w:t>
      </w:r>
      <w:r>
        <w:rPr>
          <w:rFonts w:ascii="Arial" w:cs="Arial" w:eastAsia="Arial" w:hAnsi="Arial"/>
          <w:sz w:val="16"/>
          <w:szCs w:val="16"/>
          <w:u w:val="single" w:color="auto"/>
          <w:color w:val="auto"/>
        </w:rPr>
        <w:t>Acting in Concert</w:t>
      </w:r>
      <w:r>
        <w:rPr>
          <w:rFonts w:ascii="Arial" w:cs="Arial" w:eastAsia="Arial" w:hAnsi="Arial"/>
          <w:sz w:val="16"/>
          <w:szCs w:val="16"/>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69" w:lineRule="exact"/>
        <w:rPr>
          <w:rFonts w:ascii="Arial" w:cs="Arial" w:eastAsia="Arial" w:hAnsi="Arial"/>
          <w:sz w:val="16"/>
          <w:szCs w:val="16"/>
          <w:color w:val="auto"/>
        </w:rPr>
      </w:pPr>
    </w:p>
    <w:p>
      <w:pPr>
        <w:ind w:left="-3" w:right="60" w:firstLine="924"/>
        <w:spacing w:after="0" w:line="282" w:lineRule="auto"/>
        <w:tabs>
          <w:tab w:leader="none" w:pos="1128" w:val="left"/>
        </w:tabs>
        <w:numPr>
          <w:ilvl w:val="1"/>
          <w:numId w:val="271"/>
        </w:numPr>
        <w:rPr>
          <w:rFonts w:ascii="Arial" w:cs="Arial" w:eastAsia="Arial" w:hAnsi="Arial"/>
          <w:sz w:val="15"/>
          <w:szCs w:val="15"/>
          <w:color w:val="auto"/>
        </w:rPr>
      </w:pPr>
      <w:r>
        <w:rPr>
          <w:rFonts w:ascii="Arial" w:cs="Arial" w:eastAsia="Arial" w:hAnsi="Arial"/>
          <w:sz w:val="15"/>
          <w:szCs w:val="15"/>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w:t>
      </w:r>
    </w:p>
    <w:p>
      <w:pPr>
        <w:spacing w:after="0" w:line="1" w:lineRule="exact"/>
        <w:rPr>
          <w:rFonts w:ascii="Arial" w:cs="Arial" w:eastAsia="Arial" w:hAnsi="Arial"/>
          <w:sz w:val="15"/>
          <w:szCs w:val="15"/>
          <w:color w:val="auto"/>
        </w:rPr>
      </w:pPr>
    </w:p>
    <w:p>
      <w:pPr>
        <w:ind w:left="-3" w:right="140" w:firstLine="3"/>
        <w:spacing w:after="0" w:line="249" w:lineRule="auto"/>
        <w:tabs>
          <w:tab w:leader="none" w:pos="23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20"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37"/>
          </w:cols>
          <w:pgMar w:left="823" w:top="264" w:right="839" w:bottom="1440" w:gutter="0" w:footer="0" w:header="0"/>
        </w:sectPr>
      </w:pPr>
    </w:p>
    <w:bookmarkStart w:id="335" w:name="page336"/>
    <w:bookmarkEnd w:id="335"/>
    <w:p>
      <w:pPr>
        <w:ind w:left="-3" w:firstLine="924"/>
        <w:spacing w:after="0" w:line="282" w:lineRule="auto"/>
        <w:tabs>
          <w:tab w:leader="none" w:pos="1156" w:val="left"/>
        </w:tabs>
        <w:numPr>
          <w:ilvl w:val="1"/>
          <w:numId w:val="2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 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w:t>
      </w:r>
    </w:p>
    <w:p>
      <w:pPr>
        <w:spacing w:after="0" w:line="1" w:lineRule="exact"/>
        <w:rPr>
          <w:rFonts w:ascii="Arial" w:cs="Arial" w:eastAsia="Arial" w:hAnsi="Arial"/>
          <w:sz w:val="15"/>
          <w:szCs w:val="15"/>
          <w:color w:val="auto"/>
        </w:rPr>
      </w:pPr>
    </w:p>
    <w:p>
      <w:pPr>
        <w:ind w:left="-3" w:right="80" w:firstLine="3"/>
        <w:spacing w:after="0" w:line="253" w:lineRule="auto"/>
        <w:tabs>
          <w:tab w:leader="none" w:pos="23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if any proposed business was not proposed in compliance with this Section 2.4 to declare to the meeting that any such business not properly brought before the meeting shall not be transacted.</w:t>
      </w:r>
    </w:p>
    <w:p>
      <w:pPr>
        <w:spacing w:after="0" w:line="77" w:lineRule="exact"/>
        <w:rPr>
          <w:rFonts w:ascii="Arial" w:cs="Arial" w:eastAsia="Arial" w:hAnsi="Arial"/>
          <w:sz w:val="17"/>
          <w:szCs w:val="17"/>
          <w:color w:val="auto"/>
        </w:rPr>
      </w:pPr>
    </w:p>
    <w:p>
      <w:pPr>
        <w:ind w:left="-3" w:right="160" w:firstLine="924"/>
        <w:spacing w:after="0" w:line="293" w:lineRule="auto"/>
        <w:tabs>
          <w:tab w:leader="none" w:pos="1156" w:val="left"/>
        </w:tabs>
        <w:numPr>
          <w:ilvl w:val="1"/>
          <w:numId w:val="274"/>
        </w:numPr>
        <w:rPr>
          <w:rFonts w:ascii="Arial" w:cs="Arial" w:eastAsia="Arial" w:hAnsi="Arial"/>
          <w:sz w:val="15"/>
          <w:szCs w:val="15"/>
          <w:color w:val="auto"/>
        </w:rPr>
      </w:pPr>
      <w:r>
        <w:rPr>
          <w:rFonts w:ascii="Arial" w:cs="Arial" w:eastAsia="Arial" w:hAnsi="Arial"/>
          <w:sz w:val="15"/>
          <w:szCs w:val="15"/>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51" w:lineRule="exact"/>
        <w:rPr>
          <w:rFonts w:ascii="Arial" w:cs="Arial" w:eastAsia="Arial" w:hAnsi="Arial"/>
          <w:sz w:val="15"/>
          <w:szCs w:val="15"/>
          <w:color w:val="auto"/>
        </w:rPr>
      </w:pPr>
    </w:p>
    <w:p>
      <w:pPr>
        <w:jc w:val="both"/>
        <w:ind w:left="-3" w:right="260" w:firstLine="924"/>
        <w:spacing w:after="0" w:line="335" w:lineRule="auto"/>
        <w:tabs>
          <w:tab w:leader="none" w:pos="1119" w:val="left"/>
        </w:tabs>
        <w:numPr>
          <w:ilvl w:val="1"/>
          <w:numId w:val="274"/>
        </w:numPr>
        <w:rPr>
          <w:rFonts w:ascii="Arial" w:cs="Arial" w:eastAsia="Arial" w:hAnsi="Arial"/>
          <w:sz w:val="15"/>
          <w:szCs w:val="15"/>
          <w:color w:val="auto"/>
        </w:rPr>
      </w:pPr>
      <w:r>
        <w:rPr>
          <w:rFonts w:ascii="Arial" w:cs="Arial" w:eastAsia="Arial" w:hAnsi="Arial"/>
          <w:sz w:val="15"/>
          <w:szCs w:val="15"/>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20" w:lineRule="exact"/>
        <w:rPr>
          <w:rFonts w:ascii="Arial" w:cs="Arial" w:eastAsia="Arial" w:hAnsi="Arial"/>
          <w:sz w:val="15"/>
          <w:szCs w:val="15"/>
          <w:color w:val="auto"/>
        </w:rPr>
      </w:pPr>
    </w:p>
    <w:p>
      <w:pPr>
        <w:ind w:left="-3" w:right="60" w:firstLine="924"/>
        <w:spacing w:after="0" w:line="268" w:lineRule="auto"/>
        <w:tabs>
          <w:tab w:leader="none" w:pos="1119" w:val="left"/>
        </w:tabs>
        <w:numPr>
          <w:ilvl w:val="1"/>
          <w:numId w:val="274"/>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106"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37"/>
          </w:cols>
          <w:pgMar w:left="823" w:top="265" w:right="839" w:bottom="1440" w:gutter="0" w:footer="0" w:header="0"/>
        </w:sectPr>
      </w:pPr>
    </w:p>
    <w:bookmarkStart w:id="336" w:name="page337"/>
    <w:bookmarkEnd w:id="336"/>
    <w:p>
      <w:pPr>
        <w:ind w:right="20" w:firstLine="924"/>
        <w:spacing w:after="0" w:line="269" w:lineRule="auto"/>
        <w:tabs>
          <w:tab w:leader="none" w:pos="1159" w:val="left"/>
        </w:tabs>
        <w:numPr>
          <w:ilvl w:val="0"/>
          <w:numId w:val="2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2.5 ADVANCE NOTICE PROCEDURES FOR NOMINATIONS OF DIRECTORS.</w:t>
      </w:r>
    </w:p>
    <w:p>
      <w:pPr>
        <w:spacing w:after="0" w:line="106" w:lineRule="exact"/>
        <w:rPr>
          <w:sz w:val="20"/>
          <w:szCs w:val="20"/>
          <w:color w:val="auto"/>
        </w:rPr>
      </w:pPr>
    </w:p>
    <w:p>
      <w:pPr>
        <w:ind w:right="80" w:firstLine="924"/>
        <w:spacing w:after="0" w:line="282" w:lineRule="auto"/>
        <w:tabs>
          <w:tab w:leader="none" w:pos="1149" w:val="left"/>
        </w:tabs>
        <w:numPr>
          <w:ilvl w:val="1"/>
          <w:numId w:val="276"/>
        </w:numPr>
        <w:rPr>
          <w:rFonts w:ascii="Arial" w:cs="Arial" w:eastAsia="Arial" w:hAnsi="Arial"/>
          <w:sz w:val="15"/>
          <w:szCs w:val="15"/>
          <w:color w:val="auto"/>
        </w:rPr>
      </w:pPr>
      <w:r>
        <w:rPr>
          <w:rFonts w:ascii="Arial" w:cs="Arial" w:eastAsia="Arial" w:hAnsi="Arial"/>
          <w:sz w:val="15"/>
          <w:szCs w:val="15"/>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 this Section 2.5 as to such nomination. The foregoing clause</w:t>
      </w:r>
    </w:p>
    <w:p>
      <w:pPr>
        <w:spacing w:after="0" w:line="1" w:lineRule="exact"/>
        <w:rPr>
          <w:rFonts w:ascii="Arial" w:cs="Arial" w:eastAsia="Arial" w:hAnsi="Arial"/>
          <w:sz w:val="15"/>
          <w:szCs w:val="15"/>
          <w:color w:val="auto"/>
        </w:rPr>
      </w:pPr>
    </w:p>
    <w:p>
      <w:pPr>
        <w:ind w:right="460" w:firstLine="3"/>
        <w:spacing w:after="0" w:line="253" w:lineRule="auto"/>
        <w:tabs>
          <w:tab w:leader="none" w:pos="24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shall be the exclusive means for a stockholder to make any nomination of a person or persons for election to the Board to be considered by the stockholders at an annual meeting or special meeting.</w:t>
      </w:r>
    </w:p>
    <w:p>
      <w:pPr>
        <w:spacing w:after="0" w:line="77" w:lineRule="exact"/>
        <w:rPr>
          <w:rFonts w:ascii="Arial" w:cs="Arial" w:eastAsia="Arial" w:hAnsi="Arial"/>
          <w:sz w:val="17"/>
          <w:szCs w:val="17"/>
          <w:color w:val="auto"/>
        </w:rPr>
      </w:pPr>
    </w:p>
    <w:p>
      <w:pPr>
        <w:ind w:firstLine="924"/>
        <w:spacing w:after="0" w:line="285" w:lineRule="auto"/>
        <w:tabs>
          <w:tab w:leader="none" w:pos="1159" w:val="left"/>
        </w:tabs>
        <w:numPr>
          <w:ilvl w:val="1"/>
          <w:numId w:val="277"/>
        </w:numPr>
        <w:rPr>
          <w:rFonts w:ascii="Arial" w:cs="Arial" w:eastAsia="Arial" w:hAnsi="Arial"/>
          <w:sz w:val="15"/>
          <w:szCs w:val="15"/>
          <w:color w:val="auto"/>
        </w:rPr>
      </w:pPr>
      <w:r>
        <w:rPr>
          <w:rFonts w:ascii="Arial" w:cs="Arial" w:eastAsia="Arial" w:hAnsi="Arial"/>
          <w:sz w:val="15"/>
          <w:szCs w:val="15"/>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 (100) 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5" w:right="839" w:bottom="1440" w:gutter="0" w:footer="0" w:header="0"/>
        </w:sectPr>
      </w:pPr>
    </w:p>
    <w:bookmarkStart w:id="337" w:name="page338"/>
    <w:bookmarkEnd w:id="337"/>
    <w:p>
      <w:pPr>
        <w:ind w:right="12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stockholder to make any nomination of a person or persons for election to such position(s) as specified in the notice of the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later of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and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disclosure (as defined in Section 2.4(i)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73" w:lineRule="exact"/>
        <w:rPr>
          <w:sz w:val="20"/>
          <w:szCs w:val="20"/>
          <w:color w:val="auto"/>
        </w:rPr>
      </w:pPr>
    </w:p>
    <w:p>
      <w:pPr>
        <w:ind w:left="1160" w:hanging="236"/>
        <w:spacing w:after="0"/>
        <w:tabs>
          <w:tab w:leader="none" w:pos="11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To be in proper form for purposes of this Section 2.5, a stockholder’s notice to the secretary of the Corporation shall set forth:</w:t>
      </w:r>
    </w:p>
    <w:p>
      <w:pPr>
        <w:spacing w:after="0" w:line="117" w:lineRule="exact"/>
        <w:rPr>
          <w:rFonts w:ascii="Arial" w:cs="Arial" w:eastAsia="Arial" w:hAnsi="Arial"/>
          <w:sz w:val="16"/>
          <w:szCs w:val="16"/>
          <w:color w:val="auto"/>
        </w:rPr>
      </w:pPr>
    </w:p>
    <w:p>
      <w:pPr>
        <w:ind w:left="920" w:right="180" w:firstLine="377"/>
        <w:spacing w:after="0" w:line="257" w:lineRule="auto"/>
        <w:tabs>
          <w:tab w:leader="none" w:pos="1492" w:val="left"/>
        </w:tabs>
        <w:numPr>
          <w:ilvl w:val="1"/>
          <w:numId w:val="278"/>
        </w:numPr>
        <w:rPr>
          <w:rFonts w:ascii="Arial" w:cs="Arial" w:eastAsia="Arial" w:hAnsi="Arial"/>
          <w:sz w:val="17"/>
          <w:szCs w:val="17"/>
          <w:color w:val="auto"/>
        </w:rPr>
      </w:pPr>
      <w:r>
        <w:rPr>
          <w:rFonts w:ascii="Arial" w:cs="Arial" w:eastAsia="Arial" w:hAnsi="Arial"/>
          <w:sz w:val="17"/>
          <w:szCs w:val="17"/>
          <w:color w:val="auto"/>
        </w:rPr>
        <w:t>As to each Nominating Person (as defined below), the Stockholder Information (as defined in Section 2.4(c)(i) of these bylaws) except that for purposes of this Section 2.5, the term “Nominating Person” shall be substituted for the term “Proposing Person” in all places it appears in Section 2.4(c)(i);</w:t>
      </w:r>
    </w:p>
    <w:p>
      <w:pPr>
        <w:spacing w:after="0" w:line="74" w:lineRule="exact"/>
        <w:rPr>
          <w:rFonts w:ascii="Arial" w:cs="Arial" w:eastAsia="Arial" w:hAnsi="Arial"/>
          <w:sz w:val="17"/>
          <w:szCs w:val="17"/>
          <w:color w:val="auto"/>
        </w:rPr>
      </w:pPr>
    </w:p>
    <w:p>
      <w:pPr>
        <w:ind w:left="920" w:right="60" w:firstLine="377"/>
        <w:spacing w:after="0" w:line="269" w:lineRule="auto"/>
        <w:tabs>
          <w:tab w:leader="none" w:pos="1539"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Disclosable Interests shall not include any such disclosures with respect to the ordinary course business activities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broker, dealer, commercial bank, trust company or other nominee who is a Nominating Person solely as a result of being the stockholder directed to prepare and submit the notice required by these bylaws on behalf of a beneficial owner; and</w:t>
      </w:r>
    </w:p>
    <w:p>
      <w:pPr>
        <w:spacing w:after="0" w:line="68" w:lineRule="exact"/>
        <w:rPr>
          <w:rFonts w:ascii="Arial" w:cs="Arial" w:eastAsia="Arial" w:hAnsi="Arial"/>
          <w:sz w:val="16"/>
          <w:szCs w:val="16"/>
          <w:color w:val="auto"/>
        </w:rPr>
      </w:pPr>
    </w:p>
    <w:p>
      <w:pPr>
        <w:ind w:left="920" w:firstLine="377"/>
        <w:spacing w:after="0" w:line="250" w:lineRule="auto"/>
        <w:tabs>
          <w:tab w:leader="none" w:pos="1585" w:val="left"/>
        </w:tabs>
        <w:numPr>
          <w:ilvl w:val="1"/>
          <w:numId w:val="278"/>
        </w:numPr>
        <w:rPr>
          <w:rFonts w:ascii="Arial" w:cs="Arial" w:eastAsia="Arial" w:hAnsi="Arial"/>
          <w:sz w:val="17"/>
          <w:szCs w:val="17"/>
          <w:color w:val="auto"/>
        </w:rPr>
      </w:pPr>
      <w:r>
        <w:rPr>
          <w:rFonts w:ascii="Arial" w:cs="Arial" w:eastAsia="Arial" w:hAnsi="Arial"/>
          <w:sz w:val="17"/>
          <w:szCs w:val="17"/>
          <w:color w:val="auto"/>
        </w:rPr>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20"/>
          </w:cols>
          <w:pgMar w:left="820" w:top="265" w:right="859" w:bottom="1440" w:gutter="0" w:footer="0" w:header="0"/>
        </w:sectPr>
      </w:pPr>
    </w:p>
    <w:bookmarkStart w:id="338" w:name="page339"/>
    <w:bookmarkEnd w:id="338"/>
    <w:p>
      <w:pPr>
        <w:ind w:left="920"/>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nominee and to serving as a director if elected), (C) a statement whether the proposed nominee, if elected, intends to tender, promptly following such person’s failure to receive the required vote for election as a director at any subsequent meeting at which such person is nominated for re-election, a resignation that will become effective upon the acceptance of such resignation by the Board of Directors, (D)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 referred to as “</w:t>
      </w:r>
      <w:r>
        <w:rPr>
          <w:rFonts w:ascii="Arial" w:cs="Arial" w:eastAsia="Arial" w:hAnsi="Arial"/>
          <w:sz w:val="15"/>
          <w:szCs w:val="15"/>
          <w:u w:val="single" w:color="auto"/>
          <w:color w:val="auto"/>
        </w:rPr>
        <w:t>Nominee Information</w:t>
      </w:r>
      <w:r>
        <w:rPr>
          <w:rFonts w:ascii="Arial" w:cs="Arial" w:eastAsia="Arial" w:hAnsi="Arial"/>
          <w:sz w:val="15"/>
          <w:szCs w:val="15"/>
          <w:color w:val="auto"/>
        </w:rPr>
        <w:t>”), (E) a representation that the Nominating Person is a holder of record of stock of the Corporation entitled to vote at such meeting and intends to appear in person or by proxy at the meeting to propose such nomination, (F) a representation whether the Nominating Person intends or is part of a group which intends (1) to deliver a proxy statement and/or form of proxy to holders of at least the percentage of the Corporation’s outstanding capital stock required to elect the nominee and/or (2) otherwise to solicit proxies or votes from stockholders in support of such nomination and (G) a completed and signed questionnaire, representation and agreement as provided in Section 2.5(g); and</w:t>
      </w:r>
    </w:p>
    <w:p>
      <w:pPr>
        <w:spacing w:after="0" w:line="62" w:lineRule="exact"/>
        <w:rPr>
          <w:sz w:val="20"/>
          <w:szCs w:val="20"/>
          <w:color w:val="auto"/>
        </w:rPr>
      </w:pPr>
    </w:p>
    <w:p>
      <w:pPr>
        <w:ind w:left="920" w:right="80" w:firstLine="377"/>
        <w:spacing w:after="0" w:line="253" w:lineRule="auto"/>
        <w:tabs>
          <w:tab w:leader="none" w:pos="1576"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79" w:lineRule="exact"/>
        <w:rPr>
          <w:rFonts w:ascii="Arial" w:cs="Arial" w:eastAsia="Arial" w:hAnsi="Arial"/>
          <w:sz w:val="17"/>
          <w:szCs w:val="17"/>
          <w:color w:val="auto"/>
        </w:rPr>
      </w:pPr>
    </w:p>
    <w:p>
      <w:pPr>
        <w:ind w:right="20" w:firstLine="924"/>
        <w:spacing w:after="0" w:line="274" w:lineRule="auto"/>
        <w:tabs>
          <w:tab w:leader="none" w:pos="115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For purposes of this Section 2.5, the term “</w:t>
      </w:r>
      <w:r>
        <w:rPr>
          <w:rFonts w:ascii="Arial" w:cs="Arial" w:eastAsia="Arial" w:hAnsi="Arial"/>
          <w:sz w:val="16"/>
          <w:szCs w:val="16"/>
          <w:u w:val="single" w:color="auto"/>
          <w:color w:val="auto"/>
        </w:rPr>
        <w:t>Nominating Person</w:t>
      </w:r>
      <w:r>
        <w:rPr>
          <w:rFonts w:ascii="Arial" w:cs="Arial" w:eastAsia="Arial" w:hAnsi="Arial"/>
          <w:sz w:val="16"/>
          <w:szCs w:val="16"/>
          <w:color w:val="auto"/>
        </w:rPr>
        <w:t>” shall mean (i) the stockholder providing the notice of the nomination proposed to be made at the meeting, (ii) the beneficial owner or beneficial owners, if different, on whose behalf the notice of the nomination proposed to be made at the meeting is made, (iii) any affiliate or associate of such stockholder or beneficial owner and (iv) any other person with whom such stockholder or such beneficial owner (or any of their respective affiliates or associates) is Acting in Concert.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40"/>
          </w:cols>
          <w:pgMar w:left="820" w:top="264" w:right="839" w:bottom="1440" w:gutter="0" w:footer="0" w:header="0"/>
        </w:sectPr>
      </w:pPr>
    </w:p>
    <w:bookmarkStart w:id="339" w:name="page340"/>
    <w:bookmarkEnd w:id="339"/>
    <w:p>
      <w:pPr>
        <w:ind w:left="-3" w:firstLine="924"/>
        <w:spacing w:after="0" w:line="266" w:lineRule="auto"/>
        <w:tabs>
          <w:tab w:leader="none" w:pos="1147" w:val="left"/>
        </w:tabs>
        <w:numPr>
          <w:ilvl w:val="1"/>
          <w:numId w:val="2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72" w:lineRule="exact"/>
        <w:rPr>
          <w:rFonts w:ascii="Arial" w:cs="Arial" w:eastAsia="Arial" w:hAnsi="Arial"/>
          <w:sz w:val="16"/>
          <w:szCs w:val="16"/>
          <w:color w:val="auto"/>
        </w:rPr>
      </w:pPr>
    </w:p>
    <w:p>
      <w:pPr>
        <w:ind w:left="-3" w:right="40" w:firstLine="924"/>
        <w:spacing w:after="0" w:line="288" w:lineRule="auto"/>
        <w:tabs>
          <w:tab w:leader="none" w:pos="1128" w:val="left"/>
        </w:tabs>
        <w:numPr>
          <w:ilvl w:val="1"/>
          <w:numId w:val="281"/>
        </w:numPr>
        <w:rPr>
          <w:rFonts w:ascii="Arial" w:cs="Arial" w:eastAsia="Arial" w:hAnsi="Arial"/>
          <w:sz w:val="15"/>
          <w:szCs w:val="15"/>
          <w:color w:val="auto"/>
        </w:rPr>
      </w:pPr>
      <w:r>
        <w:rPr>
          <w:rFonts w:ascii="Arial" w:cs="Arial" w:eastAsia="Arial" w:hAnsi="Arial"/>
          <w:sz w:val="15"/>
          <w:szCs w:val="15"/>
          <w:color w:val="auto"/>
        </w:rPr>
        <w:t>Notwithstanding anything in these bylaws to the contrary, no person shall be eligible for election as a director of the Corporation unless nominated in accordance with this Section 2.5, except as otherwise expressly provided in any applicable rule or regulation 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 2.5 to declare such determination to the meeting that the defective nomination shall be disregarded.</w:t>
      </w:r>
    </w:p>
    <w:p>
      <w:pPr>
        <w:spacing w:after="0" w:line="57" w:lineRule="exact"/>
        <w:rPr>
          <w:rFonts w:ascii="Arial" w:cs="Arial" w:eastAsia="Arial" w:hAnsi="Arial"/>
          <w:sz w:val="15"/>
          <w:szCs w:val="15"/>
          <w:color w:val="auto"/>
        </w:rPr>
      </w:pPr>
    </w:p>
    <w:p>
      <w:pPr>
        <w:ind w:left="-3" w:right="60" w:firstLine="924"/>
        <w:spacing w:after="0" w:line="281" w:lineRule="auto"/>
        <w:tabs>
          <w:tab w:leader="none" w:pos="1156" w:val="left"/>
        </w:tabs>
        <w:numPr>
          <w:ilvl w:val="1"/>
          <w:numId w:val="281"/>
        </w:numPr>
        <w:rPr>
          <w:rFonts w:ascii="Arial" w:cs="Arial" w:eastAsia="Arial" w:hAnsi="Arial"/>
          <w:sz w:val="15"/>
          <w:szCs w:val="15"/>
          <w:color w:val="auto"/>
        </w:rPr>
      </w:pPr>
      <w:r>
        <w:rPr>
          <w:rFonts w:ascii="Arial" w:cs="Arial" w:eastAsia="Arial" w:hAnsi="Arial"/>
          <w:sz w:val="15"/>
          <w:szCs w:val="15"/>
          <w:color w:val="auto"/>
        </w:rPr>
        <w:t>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Arial" w:cs="Arial" w:eastAsia="Arial" w:hAnsi="Arial"/>
          <w:sz w:val="15"/>
          <w:szCs w:val="15"/>
          <w:u w:val="single" w:color="auto"/>
          <w:color w:val="auto"/>
        </w:rPr>
        <w:t>Voting Commitment</w:t>
      </w:r>
      <w:r>
        <w:rPr>
          <w:rFonts w:ascii="Arial" w:cs="Arial" w:eastAsia="Arial" w:hAnsi="Arial"/>
          <w:sz w:val="15"/>
          <w:szCs w:val="15"/>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w:t>
      </w:r>
    </w:p>
    <w:p>
      <w:pPr>
        <w:spacing w:after="0" w:line="3" w:lineRule="exact"/>
        <w:rPr>
          <w:rFonts w:ascii="Arial" w:cs="Arial" w:eastAsia="Arial" w:hAnsi="Arial"/>
          <w:sz w:val="15"/>
          <w:szCs w:val="15"/>
          <w:color w:val="auto"/>
        </w:rPr>
      </w:pPr>
    </w:p>
    <w:p>
      <w:pPr>
        <w:ind w:left="-3" w:right="480" w:firstLine="3"/>
        <w:spacing w:after="0" w:line="253" w:lineRule="auto"/>
        <w:tabs>
          <w:tab w:leader="none" w:pos="244" w:val="left"/>
        </w:tabs>
        <w:numPr>
          <w:ilvl w:val="0"/>
          <w:numId w:val="282"/>
        </w:numPr>
        <w:rPr>
          <w:rFonts w:ascii="Arial" w:cs="Arial" w:eastAsia="Arial" w:hAnsi="Arial"/>
          <w:sz w:val="17"/>
          <w:szCs w:val="17"/>
          <w:color w:val="auto"/>
        </w:rPr>
      </w:pPr>
      <w:r>
        <w:rPr>
          <w:rFonts w:ascii="Arial" w:cs="Arial" w:eastAsia="Arial" w:hAnsi="Arial"/>
          <w:sz w:val="17"/>
          <w:szCs w:val="17"/>
          <w:color w:val="auto"/>
        </w:rPr>
        <w:t>is not, and will not become a party to, any agreement, arrangement or understanding with any person or entity other than the Corporation with respect to any direct or indirect compensation, reimbursement or</w:t>
      </w:r>
    </w:p>
    <w:p>
      <w:pPr>
        <w:spacing w:after="0" w:line="115"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37"/>
          </w:cols>
          <w:pgMar w:left="823" w:top="264" w:right="839" w:bottom="1440" w:gutter="0" w:footer="0" w:header="0"/>
        </w:sectPr>
      </w:pPr>
    </w:p>
    <w:bookmarkStart w:id="340" w:name="page341"/>
    <w:bookmarkEnd w:id="340"/>
    <w:p>
      <w:pPr>
        <w:ind w:right="18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64" w:lineRule="exact"/>
        <w:rPr>
          <w:sz w:val="20"/>
          <w:szCs w:val="20"/>
          <w:color w:val="auto"/>
        </w:rPr>
      </w:pPr>
    </w:p>
    <w:p>
      <w:pPr>
        <w:ind w:right="120" w:firstLine="924"/>
        <w:spacing w:after="0" w:line="268" w:lineRule="auto"/>
        <w:tabs>
          <w:tab w:leader="none" w:pos="115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65" w:lineRule="exact"/>
        <w:rPr>
          <w:rFonts w:ascii="Arial" w:cs="Arial" w:eastAsia="Arial" w:hAnsi="Arial"/>
          <w:sz w:val="17"/>
          <w:szCs w:val="17"/>
          <w:color w:val="auto"/>
        </w:rPr>
      </w:pPr>
    </w:p>
    <w:p>
      <w:pPr>
        <w:ind w:firstLine="924"/>
        <w:spacing w:after="0" w:line="250" w:lineRule="auto"/>
        <w:tabs>
          <w:tab w:leader="none" w:pos="112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2.6 NOTICE OF STOCKHOLDERS’ MEETINGS.</w:t>
      </w:r>
    </w:p>
    <w:p>
      <w:pPr>
        <w:spacing w:after="0" w:line="106" w:lineRule="exact"/>
        <w:rPr>
          <w:sz w:val="20"/>
          <w:szCs w:val="20"/>
          <w:color w:val="auto"/>
        </w:rPr>
      </w:pPr>
    </w:p>
    <w:p>
      <w:pPr>
        <w:ind w:right="20" w:firstLine="409"/>
        <w:spacing w:after="0" w:line="250" w:lineRule="auto"/>
        <w:rPr>
          <w:sz w:val="20"/>
          <w:szCs w:val="20"/>
          <w:color w:val="auto"/>
        </w:rPr>
      </w:pPr>
      <w:r>
        <w:rPr>
          <w:rFonts w:ascii="Arial" w:cs="Arial" w:eastAsia="Arial" w:hAnsi="Arial"/>
          <w:sz w:val="17"/>
          <w:szCs w:val="17"/>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2.7 MANNER OF GIVING NOTICE; AFFIDAVIT OF NOTICE.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Notice of any meeting of stockholders shall be deemed given:</w:t>
      </w:r>
    </w:p>
    <w:p>
      <w:pPr>
        <w:spacing w:after="0" w:line="106" w:lineRule="exact"/>
        <w:rPr>
          <w:sz w:val="20"/>
          <w:szCs w:val="20"/>
          <w:color w:val="auto"/>
        </w:rPr>
      </w:pPr>
    </w:p>
    <w:p>
      <w:pPr>
        <w:ind w:right="360" w:firstLine="924"/>
        <w:spacing w:after="0" w:line="268" w:lineRule="auto"/>
        <w:tabs>
          <w:tab w:leader="none" w:pos="1149"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if mailed, when deposited in the United States mail, postage prepaid, directed to the stockholder at such stockholder’s address as it appears on the Corporation’s records; or</w:t>
      </w:r>
    </w:p>
    <w:p>
      <w:pPr>
        <w:spacing w:after="0" w:line="65" w:lineRule="exact"/>
        <w:rPr>
          <w:rFonts w:ascii="Arial" w:cs="Arial" w:eastAsia="Arial" w:hAnsi="Arial"/>
          <w:sz w:val="17"/>
          <w:szCs w:val="17"/>
          <w:color w:val="auto"/>
        </w:rPr>
      </w:pPr>
    </w:p>
    <w:p>
      <w:pPr>
        <w:ind w:left="1160" w:hanging="236"/>
        <w:spacing w:after="0"/>
        <w:tabs>
          <w:tab w:leader="none" w:pos="11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if electronically transmitted, as provided in Section 8.1 of these bylaws.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40"/>
          </w:cols>
          <w:pgMar w:left="820" w:top="265" w:right="839" w:bottom="1440" w:gutter="0" w:footer="0" w:header="0"/>
        </w:sectPr>
      </w:pPr>
    </w:p>
    <w:bookmarkStart w:id="341" w:name="page342"/>
    <w:bookmarkEnd w:id="341"/>
    <w:p>
      <w:pPr>
        <w:ind w:right="160" w:firstLine="40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2.8 QUORUM.</w:t>
      </w:r>
    </w:p>
    <w:p>
      <w:pPr>
        <w:spacing w:after="0" w:line="106" w:lineRule="exact"/>
        <w:rPr>
          <w:sz w:val="20"/>
          <w:szCs w:val="20"/>
          <w:color w:val="auto"/>
        </w:rPr>
      </w:pPr>
    </w:p>
    <w:p>
      <w:pPr>
        <w:ind w:right="40" w:firstLine="409"/>
        <w:spacing w:after="0" w:line="267" w:lineRule="auto"/>
        <w:rPr>
          <w:sz w:val="20"/>
          <w:szCs w:val="20"/>
          <w:color w:val="auto"/>
        </w:rPr>
      </w:pPr>
      <w:r>
        <w:rPr>
          <w:rFonts w:ascii="Arial" w:cs="Arial" w:eastAsia="Arial" w:hAnsi="Arial"/>
          <w:sz w:val="16"/>
          <w:szCs w:val="16"/>
          <w:color w:val="auto"/>
        </w:rPr>
        <w:t>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2.9 ADJOURNED MEETING; NOTICE.</w:t>
      </w:r>
    </w:p>
    <w:p>
      <w:pPr>
        <w:spacing w:after="0" w:line="106" w:lineRule="exact"/>
        <w:rPr>
          <w:sz w:val="20"/>
          <w:szCs w:val="20"/>
          <w:color w:val="auto"/>
        </w:rPr>
      </w:pPr>
    </w:p>
    <w:p>
      <w:pPr>
        <w:ind w:right="20" w:firstLine="409"/>
        <w:spacing w:after="0" w:line="268"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2.10 CONDUCT OF BUSINESS.</w:t>
      </w:r>
    </w:p>
    <w:p>
      <w:pPr>
        <w:spacing w:after="0" w:line="106" w:lineRule="exact"/>
        <w:rPr>
          <w:sz w:val="20"/>
          <w:szCs w:val="20"/>
          <w:color w:val="auto"/>
        </w:rPr>
      </w:pPr>
    </w:p>
    <w:p>
      <w:pPr>
        <w:ind w:firstLine="409"/>
        <w:spacing w:after="0" w:line="250" w:lineRule="auto"/>
        <w:rPr>
          <w:sz w:val="20"/>
          <w:szCs w:val="20"/>
          <w:color w:val="auto"/>
        </w:rPr>
      </w:pPr>
      <w:r>
        <w:rPr>
          <w:rFonts w:ascii="Arial" w:cs="Arial" w:eastAsia="Arial" w:hAnsi="Arial"/>
          <w:sz w:val="17"/>
          <w:szCs w:val="17"/>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20"/>
          </w:cols>
          <w:pgMar w:left="820" w:top="265" w:right="859" w:bottom="1440" w:gutter="0" w:footer="0" w:header="0"/>
        </w:sectPr>
      </w:pPr>
    </w:p>
    <w:bookmarkStart w:id="342" w:name="page343"/>
    <w:bookmarkEnd w:id="342"/>
    <w:p>
      <w:pPr>
        <w:spacing w:after="0" w:line="26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2.11 VOTING.</w:t>
      </w:r>
    </w:p>
    <w:p>
      <w:pPr>
        <w:spacing w:after="0" w:line="106" w:lineRule="exact"/>
        <w:rPr>
          <w:sz w:val="20"/>
          <w:szCs w:val="20"/>
          <w:color w:val="auto"/>
        </w:rPr>
      </w:pPr>
    </w:p>
    <w:p>
      <w:pPr>
        <w:ind w:right="80" w:firstLine="409"/>
        <w:spacing w:after="0" w:line="257" w:lineRule="auto"/>
        <w:rPr>
          <w:sz w:val="20"/>
          <w:szCs w:val="20"/>
          <w:color w:val="auto"/>
        </w:rPr>
      </w:pPr>
      <w:r>
        <w:rPr>
          <w:rFonts w:ascii="Arial" w:cs="Arial" w:eastAsia="Arial" w:hAnsi="Arial"/>
          <w:sz w:val="17"/>
          <w:szCs w:val="17"/>
          <w:color w:val="auto"/>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75" w:lineRule="exact"/>
        <w:rPr>
          <w:sz w:val="20"/>
          <w:szCs w:val="20"/>
          <w:color w:val="auto"/>
        </w:rPr>
      </w:pPr>
    </w:p>
    <w:p>
      <w:pPr>
        <w:ind w:right="60" w:firstLine="409"/>
        <w:spacing w:after="0" w:line="268" w:lineRule="auto"/>
        <w:rPr>
          <w:sz w:val="20"/>
          <w:szCs w:val="20"/>
          <w:color w:val="auto"/>
        </w:rPr>
      </w:pPr>
      <w:r>
        <w:rPr>
          <w:rFonts w:ascii="Arial" w:cs="Arial" w:eastAsia="Arial" w:hAnsi="Arial"/>
          <w:sz w:val="17"/>
          <w:szCs w:val="17"/>
          <w:color w:val="auto"/>
        </w:rPr>
        <w:t>Except as may be otherwise provided in the certificate of incorporation or these bylaws, each stockholder shall be entitled to one (1) vote for each share of capital stock held by such stockholder.</w:t>
      </w:r>
    </w:p>
    <w:p>
      <w:pPr>
        <w:spacing w:after="0" w:line="166" w:lineRule="exact"/>
        <w:rPr>
          <w:sz w:val="20"/>
          <w:szCs w:val="20"/>
          <w:color w:val="auto"/>
        </w:rPr>
      </w:pPr>
    </w:p>
    <w:p>
      <w:pPr>
        <w:ind w:right="20" w:firstLine="409"/>
        <w:spacing w:after="0" w:line="269" w:lineRule="auto"/>
        <w:rPr>
          <w:sz w:val="20"/>
          <w:szCs w:val="20"/>
          <w:color w:val="auto"/>
        </w:rPr>
      </w:pPr>
      <w:r>
        <w:rPr>
          <w:rFonts w:ascii="Arial" w:cs="Arial" w:eastAsia="Arial" w:hAnsi="Arial"/>
          <w:sz w:val="16"/>
          <w:szCs w:val="16"/>
          <w:color w:val="auto"/>
        </w:rPr>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40"/>
          </w:cols>
          <w:pgMar w:left="820" w:top="265" w:right="839" w:bottom="1440" w:gutter="0" w:footer="0" w:header="0"/>
        </w:sectPr>
      </w:pPr>
    </w:p>
    <w:bookmarkStart w:id="343" w:name="page344"/>
    <w:bookmarkEnd w:id="343"/>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2.12 STOCKHOLDER ACTION BY WRITTEN CONSENT WITHOUT A MEETING.</w:t>
      </w:r>
    </w:p>
    <w:p>
      <w:pPr>
        <w:spacing w:after="0" w:line="106" w:lineRule="exact"/>
        <w:rPr>
          <w:sz w:val="20"/>
          <w:szCs w:val="20"/>
          <w:color w:val="auto"/>
        </w:rPr>
      </w:pPr>
    </w:p>
    <w:p>
      <w:pPr>
        <w:ind w:right="60" w:firstLine="409"/>
        <w:spacing w:after="0" w:line="268" w:lineRule="auto"/>
        <w:rPr>
          <w:sz w:val="20"/>
          <w:szCs w:val="20"/>
          <w:color w:val="auto"/>
        </w:rPr>
      </w:pPr>
      <w:r>
        <w:rPr>
          <w:rFonts w:ascii="Arial" w:cs="Arial" w:eastAsia="Arial" w:hAnsi="Arial"/>
          <w:sz w:val="17"/>
          <w:szCs w:val="17"/>
          <w:color w:val="auto"/>
        </w:rPr>
        <w:t>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2.13 RECORD DATE FOR STOCKHOLDER NOTICE; VOTING.</w:t>
      </w:r>
    </w:p>
    <w:p>
      <w:pPr>
        <w:spacing w:after="0" w:line="106" w:lineRule="exact"/>
        <w:rPr>
          <w:sz w:val="20"/>
          <w:szCs w:val="20"/>
          <w:color w:val="auto"/>
        </w:rPr>
      </w:pPr>
    </w:p>
    <w:p>
      <w:pPr>
        <w:ind w:firstLine="409"/>
        <w:spacing w:after="0" w:line="285" w:lineRule="auto"/>
        <w:rPr>
          <w:sz w:val="20"/>
          <w:szCs w:val="20"/>
          <w:color w:val="auto"/>
        </w:rPr>
      </w:pPr>
      <w:r>
        <w:rPr>
          <w:rFonts w:ascii="Arial" w:cs="Arial" w:eastAsia="Arial" w:hAnsi="Arial"/>
          <w:sz w:val="15"/>
          <w:szCs w:val="15"/>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5"/>
          <w:szCs w:val="15"/>
          <w:i w:val="1"/>
          <w:iCs w:val="1"/>
          <w:u w:val="single" w:color="auto"/>
          <w:color w:val="auto"/>
        </w:rPr>
        <w:t>provided, however</w:t>
      </w:r>
      <w:r>
        <w:rPr>
          <w:rFonts w:ascii="Arial" w:cs="Arial" w:eastAsia="Arial" w:hAnsi="Arial"/>
          <w:sz w:val="15"/>
          <w:szCs w:val="15"/>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57" w:lineRule="exact"/>
        <w:rPr>
          <w:sz w:val="20"/>
          <w:szCs w:val="20"/>
          <w:color w:val="auto"/>
        </w:rPr>
      </w:pPr>
    </w:p>
    <w:p>
      <w:pPr>
        <w:ind w:right="60" w:firstLine="409"/>
        <w:spacing w:after="0" w:line="298" w:lineRule="auto"/>
        <w:rPr>
          <w:sz w:val="20"/>
          <w:szCs w:val="20"/>
          <w:color w:val="auto"/>
        </w:rPr>
      </w:pPr>
      <w:r>
        <w:rPr>
          <w:rFonts w:ascii="Arial" w:cs="Arial" w:eastAsia="Arial" w:hAnsi="Arial"/>
          <w:sz w:val="15"/>
          <w:szCs w:val="15"/>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2.14 PROXIES.</w:t>
      </w:r>
    </w:p>
    <w:p>
      <w:pPr>
        <w:spacing w:after="0" w:line="106" w:lineRule="exact"/>
        <w:rPr>
          <w:sz w:val="20"/>
          <w:szCs w:val="20"/>
          <w:color w:val="auto"/>
        </w:rPr>
      </w:pPr>
    </w:p>
    <w:p>
      <w:pPr>
        <w:ind w:right="100" w:firstLine="409"/>
        <w:spacing w:after="0" w:line="271" w:lineRule="auto"/>
        <w:rPr>
          <w:sz w:val="20"/>
          <w:szCs w:val="20"/>
          <w:color w:val="auto"/>
        </w:rPr>
      </w:pPr>
      <w:r>
        <w:rPr>
          <w:rFonts w:ascii="Arial" w:cs="Arial" w:eastAsia="Arial" w:hAnsi="Arial"/>
          <w:sz w:val="16"/>
          <w:szCs w:val="16"/>
          <w:color w:val="auto"/>
        </w:rPr>
        <w:t>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20"/>
          </w:cols>
          <w:pgMar w:left="820" w:top="265" w:right="859" w:bottom="1440" w:gutter="0" w:footer="0" w:header="0"/>
        </w:sectPr>
      </w:pPr>
    </w:p>
    <w:bookmarkStart w:id="344" w:name="page345"/>
    <w:bookmarkEnd w:id="34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2.15 LIST OF STOCKHOLDERS ENTITLED TO VOTE.</w:t>
      </w:r>
    </w:p>
    <w:p>
      <w:pPr>
        <w:spacing w:after="0" w:line="106" w:lineRule="exact"/>
        <w:rPr>
          <w:sz w:val="20"/>
          <w:szCs w:val="20"/>
          <w:color w:val="auto"/>
        </w:rPr>
      </w:pPr>
    </w:p>
    <w:p>
      <w:pPr>
        <w:ind w:firstLine="409"/>
        <w:spacing w:after="0" w:line="264" w:lineRule="auto"/>
        <w:rPr>
          <w:sz w:val="20"/>
          <w:szCs w:val="20"/>
          <w:color w:val="auto"/>
        </w:rPr>
      </w:pPr>
      <w:r>
        <w:rPr>
          <w:rFonts w:ascii="Arial" w:cs="Arial" w:eastAsia="Arial" w:hAnsi="Arial"/>
          <w:sz w:val="16"/>
          <w:szCs w:val="16"/>
          <w:color w:val="auto"/>
        </w:rPr>
        <w:t>The Corporation shall prepare, at least ten (10) days before every meeting of stockholders, a complete list of the stockholders entitled to vote at the meeting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2.16 POSTPONEMENT, ADJOURNMENT AND CANCELLATION OF MEETING.</w:t>
      </w:r>
    </w:p>
    <w:p>
      <w:pPr>
        <w:spacing w:after="0" w:line="106" w:lineRule="exact"/>
        <w:rPr>
          <w:sz w:val="20"/>
          <w:szCs w:val="20"/>
          <w:color w:val="auto"/>
        </w:rPr>
      </w:pPr>
    </w:p>
    <w:p>
      <w:pPr>
        <w:ind w:right="120" w:firstLine="409"/>
        <w:spacing w:after="0" w:line="268" w:lineRule="auto"/>
        <w:rPr>
          <w:sz w:val="20"/>
          <w:szCs w:val="20"/>
          <w:color w:val="auto"/>
        </w:rPr>
      </w:pPr>
      <w:r>
        <w:rPr>
          <w:rFonts w:ascii="Arial" w:cs="Arial" w:eastAsia="Arial" w:hAnsi="Arial"/>
          <w:sz w:val="17"/>
          <w:szCs w:val="17"/>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2.17 INSPECTORS OF ELECTION.</w:t>
      </w:r>
    </w:p>
    <w:p>
      <w:pPr>
        <w:spacing w:after="0" w:line="106" w:lineRule="exact"/>
        <w:rPr>
          <w:sz w:val="20"/>
          <w:szCs w:val="20"/>
          <w:color w:val="auto"/>
        </w:rPr>
      </w:pPr>
    </w:p>
    <w:p>
      <w:pPr>
        <w:ind w:right="100" w:firstLine="409"/>
        <w:spacing w:after="0" w:line="253" w:lineRule="auto"/>
        <w:rPr>
          <w:sz w:val="20"/>
          <w:szCs w:val="20"/>
          <w:color w:val="auto"/>
        </w:rPr>
      </w:pPr>
      <w:r>
        <w:rPr>
          <w:rFonts w:ascii="Arial" w:cs="Arial" w:eastAsia="Arial" w:hAnsi="Arial"/>
          <w:sz w:val="17"/>
          <w:szCs w:val="17"/>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40"/>
          </w:cols>
          <w:pgMar w:left="820" w:top="265" w:right="839" w:bottom="1440" w:gutter="0" w:footer="0" w:header="0"/>
        </w:sectPr>
      </w:pPr>
    </w:p>
    <w:bookmarkStart w:id="345" w:name="page346"/>
    <w:bookmarkEnd w:id="345"/>
    <w:p>
      <w:pPr>
        <w:ind w:right="60"/>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 - DIRECTORS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3.1 POWERS.</w:t>
      </w:r>
    </w:p>
    <w:p>
      <w:pPr>
        <w:spacing w:after="0" w:line="106" w:lineRule="exact"/>
        <w:rPr>
          <w:sz w:val="20"/>
          <w:szCs w:val="20"/>
          <w:color w:val="auto"/>
        </w:rPr>
      </w:pPr>
    </w:p>
    <w:p>
      <w:pPr>
        <w:ind w:right="180" w:firstLine="409"/>
        <w:spacing w:after="0" w:line="268" w:lineRule="auto"/>
        <w:rPr>
          <w:sz w:val="20"/>
          <w:szCs w:val="20"/>
          <w:color w:val="auto"/>
        </w:rPr>
      </w:pPr>
      <w:r>
        <w:rPr>
          <w:rFonts w:ascii="Arial" w:cs="Arial" w:eastAsia="Arial" w:hAnsi="Arial"/>
          <w:sz w:val="17"/>
          <w:szCs w:val="17"/>
          <w:color w:val="auto"/>
        </w:rPr>
        <w:t>Subject to the provisions of the DGCL and any limitations in the certificate of incorporation, the business and affairs of the Corporation shall be managed and all corporate powers shall be exercised by or under the direction of the Board.</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3.2 NUMBER OF DIRECTORS.</w:t>
      </w:r>
    </w:p>
    <w:p>
      <w:pPr>
        <w:spacing w:after="0" w:line="106" w:lineRule="exact"/>
        <w:rPr>
          <w:sz w:val="20"/>
          <w:szCs w:val="20"/>
          <w:color w:val="auto"/>
        </w:rPr>
      </w:pPr>
    </w:p>
    <w:p>
      <w:pPr>
        <w:jc w:val="both"/>
        <w:ind w:right="160" w:firstLine="409"/>
        <w:spacing w:after="0" w:line="257" w:lineRule="auto"/>
        <w:rPr>
          <w:sz w:val="20"/>
          <w:szCs w:val="20"/>
          <w:color w:val="auto"/>
        </w:rPr>
      </w:pPr>
      <w:r>
        <w:rPr>
          <w:rFonts w:ascii="Arial" w:cs="Arial" w:eastAsia="Arial" w:hAnsi="Arial"/>
          <w:sz w:val="17"/>
          <w:szCs w:val="17"/>
          <w:color w:val="auto"/>
        </w:rPr>
        <w:t>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3.3 ELECTION, QUALIFICATION AND TERM OF OFFICE OF DIRECTORS.</w:t>
      </w:r>
    </w:p>
    <w:p>
      <w:pPr>
        <w:spacing w:after="0" w:line="106" w:lineRule="exact"/>
        <w:rPr>
          <w:sz w:val="20"/>
          <w:szCs w:val="20"/>
          <w:color w:val="auto"/>
        </w:rPr>
      </w:pPr>
    </w:p>
    <w:p>
      <w:pPr>
        <w:ind w:right="40" w:firstLine="409"/>
        <w:spacing w:after="0" w:line="251" w:lineRule="auto"/>
        <w:rPr>
          <w:sz w:val="20"/>
          <w:szCs w:val="20"/>
          <w:color w:val="auto"/>
        </w:rPr>
      </w:pPr>
      <w:r>
        <w:rPr>
          <w:rFonts w:ascii="Arial" w:cs="Arial" w:eastAsia="Arial" w:hAnsi="Arial"/>
          <w:sz w:val="17"/>
          <w:szCs w:val="17"/>
          <w:color w:val="auto"/>
        </w:rPr>
        <w:t>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3.4 RESIGNATION AND VACANCIES.</w:t>
      </w:r>
    </w:p>
    <w:p>
      <w:pPr>
        <w:spacing w:after="0" w:line="206" w:lineRule="exact"/>
        <w:rPr>
          <w:sz w:val="20"/>
          <w:szCs w:val="20"/>
          <w:color w:val="auto"/>
        </w:rPr>
      </w:pPr>
    </w:p>
    <w:p>
      <w:pPr>
        <w:ind w:firstLine="409"/>
        <w:spacing w:after="0" w:line="251"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chairperson of the Board or the 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40"/>
          </w:cols>
          <w:pgMar w:left="820" w:top="265" w:right="839" w:bottom="1440" w:gutter="0" w:footer="0" w:header="0"/>
        </w:sectPr>
      </w:pPr>
    </w:p>
    <w:bookmarkStart w:id="346" w:name="page347"/>
    <w:bookmarkEnd w:id="346"/>
    <w:p>
      <w:pPr>
        <w:ind w:right="60" w:firstLine="409"/>
        <w:spacing w:after="0" w:line="26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3.5 PLACE OF MEETINGS; MEETINGS BY TELEPHONE.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Board may hold meetings, both regular and special, either within or outside the State of Delaware.</w:t>
      </w:r>
    </w:p>
    <w:p>
      <w:pPr>
        <w:spacing w:after="0" w:line="206" w:lineRule="exact"/>
        <w:rPr>
          <w:sz w:val="20"/>
          <w:szCs w:val="20"/>
          <w:color w:val="auto"/>
        </w:rPr>
      </w:pPr>
    </w:p>
    <w:p>
      <w:pPr>
        <w:jc w:val="both"/>
        <w:ind w:firstLine="409"/>
        <w:spacing w:after="0" w:line="253" w:lineRule="auto"/>
        <w:rPr>
          <w:sz w:val="20"/>
          <w:szCs w:val="20"/>
          <w:color w:val="auto"/>
        </w:rPr>
      </w:pPr>
      <w:r>
        <w:rPr>
          <w:rFonts w:ascii="Arial" w:cs="Arial" w:eastAsia="Arial" w:hAnsi="Arial"/>
          <w:sz w:val="17"/>
          <w:szCs w:val="17"/>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3.6 REGULAR MEETINGS.</w:t>
      </w:r>
    </w:p>
    <w:p>
      <w:pPr>
        <w:spacing w:after="0" w:line="106" w:lineRule="exact"/>
        <w:rPr>
          <w:sz w:val="20"/>
          <w:szCs w:val="20"/>
          <w:color w:val="auto"/>
        </w:rPr>
      </w:pPr>
    </w:p>
    <w:p>
      <w:pPr>
        <w:ind w:right="160" w:firstLine="409"/>
        <w:spacing w:after="0" w:line="280" w:lineRule="auto"/>
        <w:rPr>
          <w:sz w:val="20"/>
          <w:szCs w:val="20"/>
          <w:color w:val="auto"/>
        </w:rPr>
      </w:pPr>
      <w:r>
        <w:rPr>
          <w:rFonts w:ascii="Arial" w:cs="Arial" w:eastAsia="Arial" w:hAnsi="Arial"/>
          <w:sz w:val="16"/>
          <w:szCs w:val="16"/>
          <w:color w:val="auto"/>
        </w:rPr>
        <w:t xml:space="preserve">Regular meetings of the Board may be held without notice at such time and at such place as shall from time to time be determined by the Board;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any director who is absent when such determination is made shall be given notice of the determination. A regular meeting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may be held without notice immediately after and at the same place as the annual meeting of stockholders.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3.7 SPECIAL MEETINGS; NOTICE.</w:t>
      </w:r>
    </w:p>
    <w:p>
      <w:pPr>
        <w:spacing w:after="0" w:line="106" w:lineRule="exact"/>
        <w:rPr>
          <w:sz w:val="20"/>
          <w:szCs w:val="20"/>
          <w:color w:val="auto"/>
        </w:rPr>
      </w:pPr>
    </w:p>
    <w:p>
      <w:pPr>
        <w:ind w:right="120" w:firstLine="409"/>
        <w:spacing w:after="0" w:line="268" w:lineRule="auto"/>
        <w:rPr>
          <w:sz w:val="20"/>
          <w:szCs w:val="20"/>
          <w:color w:val="auto"/>
        </w:rPr>
      </w:pPr>
      <w:r>
        <w:rPr>
          <w:rFonts w:ascii="Arial" w:cs="Arial" w:eastAsia="Arial" w:hAnsi="Arial"/>
          <w:sz w:val="17"/>
          <w:szCs w:val="17"/>
          <w:color w:val="auto"/>
        </w:rPr>
        <w:t>Special meetings of the Board for any purpose or purposes may be called at any time by the chairperson of the Board, the chief executive officer, the president, the secretary or a majority of the authorized number of directors.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Notice of the time and place of special meetings shall be:</w:t>
      </w:r>
    </w:p>
    <w:p>
      <w:pPr>
        <w:spacing w:after="0" w:line="106" w:lineRule="exact"/>
        <w:rPr>
          <w:sz w:val="20"/>
          <w:szCs w:val="20"/>
          <w:color w:val="auto"/>
        </w:rPr>
      </w:pPr>
    </w:p>
    <w:p>
      <w:pPr>
        <w:ind w:left="1160" w:hanging="236"/>
        <w:spacing w:after="0"/>
        <w:tabs>
          <w:tab w:leader="none" w:pos="11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delivered personally by hand, by courier or by telephone;</w:t>
      </w:r>
    </w:p>
    <w:p>
      <w:pPr>
        <w:spacing w:after="0" w:line="105" w:lineRule="exact"/>
        <w:rPr>
          <w:rFonts w:ascii="Arial" w:cs="Arial" w:eastAsia="Arial" w:hAnsi="Arial"/>
          <w:sz w:val="17"/>
          <w:szCs w:val="17"/>
          <w:color w:val="auto"/>
        </w:rPr>
      </w:pPr>
    </w:p>
    <w:p>
      <w:pPr>
        <w:ind w:left="1160" w:hanging="236"/>
        <w:spacing w:after="0"/>
        <w:tabs>
          <w:tab w:leader="none" w:pos="11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sent by United States first-class mail, postage prepaid;</w:t>
      </w:r>
    </w:p>
    <w:p>
      <w:pPr>
        <w:spacing w:after="0" w:line="105" w:lineRule="exact"/>
        <w:rPr>
          <w:rFonts w:ascii="Arial" w:cs="Arial" w:eastAsia="Arial" w:hAnsi="Arial"/>
          <w:sz w:val="17"/>
          <w:szCs w:val="17"/>
          <w:color w:val="auto"/>
        </w:rPr>
      </w:pPr>
    </w:p>
    <w:p>
      <w:pPr>
        <w:ind w:left="1160" w:hanging="236"/>
        <w:spacing w:after="0"/>
        <w:tabs>
          <w:tab w:leader="none" w:pos="11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sent by facsimile; or</w:t>
      </w:r>
    </w:p>
    <w:p>
      <w:pPr>
        <w:spacing w:after="0" w:line="105" w:lineRule="exact"/>
        <w:rPr>
          <w:rFonts w:ascii="Arial" w:cs="Arial" w:eastAsia="Arial" w:hAnsi="Arial"/>
          <w:sz w:val="17"/>
          <w:szCs w:val="17"/>
          <w:color w:val="auto"/>
        </w:rPr>
      </w:pPr>
    </w:p>
    <w:p>
      <w:pPr>
        <w:ind w:left="4980" w:right="4340" w:hanging="4056"/>
        <w:spacing w:after="0" w:line="437" w:lineRule="auto"/>
        <w:tabs>
          <w:tab w:leader="none" w:pos="115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sent by electronic mail, electronic transmission or other similar means, -18-</w:t>
      </w:r>
    </w:p>
    <w:p>
      <w:pPr>
        <w:sectPr>
          <w:pgSz w:w="11900" w:h="16838" w:orient="portrait"/>
          <w:cols w:equalWidth="0" w:num="1">
            <w:col w:w="10240"/>
          </w:cols>
          <w:pgMar w:left="820" w:top="265" w:right="839" w:bottom="1440" w:gutter="0" w:footer="0" w:header="0"/>
        </w:sectPr>
      </w:pPr>
    </w:p>
    <w:bookmarkStart w:id="347" w:name="page348"/>
    <w:bookmarkEnd w:id="34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directed to each director at that director’s address, telephone number, facsimile number or electronic mail or other electronic address, as the case may be, as shown on the Corporation’s records.</w:t>
      </w:r>
    </w:p>
    <w:p>
      <w:pPr>
        <w:spacing w:after="0" w:line="166" w:lineRule="exact"/>
        <w:rPr>
          <w:sz w:val="20"/>
          <w:szCs w:val="20"/>
          <w:color w:val="auto"/>
        </w:rPr>
      </w:pPr>
    </w:p>
    <w:p>
      <w:pPr>
        <w:ind w:right="120" w:firstLine="409"/>
        <w:spacing w:after="0" w:line="251" w:lineRule="auto"/>
        <w:rPr>
          <w:sz w:val="20"/>
          <w:szCs w:val="20"/>
          <w:color w:val="auto"/>
        </w:rPr>
      </w:pPr>
      <w:r>
        <w:rPr>
          <w:rFonts w:ascii="Arial" w:cs="Arial" w:eastAsia="Arial" w:hAnsi="Arial"/>
          <w:sz w:val="17"/>
          <w:szCs w:val="17"/>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3.8 QUORUM.</w:t>
      </w:r>
    </w:p>
    <w:p>
      <w:pPr>
        <w:spacing w:after="0" w:line="106" w:lineRule="exact"/>
        <w:rPr>
          <w:sz w:val="20"/>
          <w:szCs w:val="20"/>
          <w:color w:val="auto"/>
        </w:rPr>
      </w:pPr>
    </w:p>
    <w:p>
      <w:pPr>
        <w:ind w:right="40" w:firstLine="409"/>
        <w:spacing w:after="0" w:line="271" w:lineRule="auto"/>
        <w:rPr>
          <w:sz w:val="20"/>
          <w:szCs w:val="20"/>
          <w:color w:val="auto"/>
        </w:rPr>
      </w:pPr>
      <w:r>
        <w:rPr>
          <w:rFonts w:ascii="Arial" w:cs="Arial" w:eastAsia="Arial" w:hAnsi="Arial"/>
          <w:sz w:val="16"/>
          <w:szCs w:val="16"/>
          <w:color w:val="auto"/>
        </w:rPr>
        <w:t>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3.9 BOARD ACTION BY CONSENT WITHOUT A MEETING.</w:t>
      </w:r>
    </w:p>
    <w:p>
      <w:pPr>
        <w:spacing w:after="0" w:line="106" w:lineRule="exact"/>
        <w:rPr>
          <w:sz w:val="20"/>
          <w:szCs w:val="20"/>
          <w:color w:val="auto"/>
        </w:rPr>
      </w:pPr>
    </w:p>
    <w:p>
      <w:pPr>
        <w:ind w:right="80" w:firstLine="409"/>
        <w:spacing w:after="0" w:line="251"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3.10 FEES AND COMPENSATION OF DIRECTORS.</w:t>
      </w:r>
    </w:p>
    <w:p>
      <w:pPr>
        <w:spacing w:after="0" w:line="106" w:lineRule="exact"/>
        <w:rPr>
          <w:sz w:val="20"/>
          <w:szCs w:val="20"/>
          <w:color w:val="auto"/>
        </w:rPr>
      </w:pPr>
    </w:p>
    <w:p>
      <w:pPr>
        <w:ind w:right="500" w:firstLine="409"/>
        <w:spacing w:after="0" w:line="268" w:lineRule="auto"/>
        <w:rPr>
          <w:sz w:val="20"/>
          <w:szCs w:val="20"/>
          <w:color w:val="auto"/>
        </w:rPr>
      </w:pPr>
      <w:r>
        <w:rPr>
          <w:rFonts w:ascii="Arial" w:cs="Arial" w:eastAsia="Arial" w:hAnsi="Arial"/>
          <w:sz w:val="17"/>
          <w:szCs w:val="17"/>
          <w:color w:val="auto"/>
        </w:rPr>
        <w:t>Unless otherwise restricted by the certificate of incorporation or these bylaws, the Board shall have the authority to fix the compensation of directors.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3.11 REMOVAL OF DIRECTORS.</w:t>
      </w:r>
    </w:p>
    <w:p>
      <w:pPr>
        <w:spacing w:after="0" w:line="106" w:lineRule="exact"/>
        <w:rPr>
          <w:sz w:val="20"/>
          <w:szCs w:val="20"/>
          <w:color w:val="auto"/>
        </w:rPr>
      </w:pPr>
    </w:p>
    <w:p>
      <w:pPr>
        <w:jc w:val="both"/>
        <w:ind w:right="220" w:firstLine="409"/>
        <w:spacing w:after="0" w:line="257" w:lineRule="auto"/>
        <w:rPr>
          <w:sz w:val="20"/>
          <w:szCs w:val="20"/>
          <w:color w:val="auto"/>
        </w:rPr>
      </w:pPr>
      <w:r>
        <w:rPr>
          <w:rFonts w:ascii="Arial" w:cs="Arial" w:eastAsia="Arial" w:hAnsi="Arial"/>
          <w:sz w:val="17"/>
          <w:szCs w:val="17"/>
          <w:color w:val="auto"/>
        </w:rPr>
        <w:t>Subject to the rights of the holders of the shares of any series of preferred stock of the Corporation,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240"/>
          </w:cols>
          <w:pgMar w:left="820" w:top="264" w:right="83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ARTICLE IV - COMMITTEES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4.1 COMMITTEES OF DIRECTORS.</w:t>
      </w:r>
    </w:p>
    <w:p>
      <w:pPr>
        <w:spacing w:after="0" w:line="106" w:lineRule="exact"/>
        <w:rPr>
          <w:sz w:val="20"/>
          <w:szCs w:val="20"/>
          <w:color w:val="auto"/>
        </w:rPr>
      </w:pPr>
    </w:p>
    <w:p>
      <w:pPr>
        <w:ind w:firstLine="409"/>
        <w:spacing w:after="0" w:line="281" w:lineRule="auto"/>
        <w:rPr>
          <w:sz w:val="20"/>
          <w:szCs w:val="20"/>
          <w:color w:val="auto"/>
        </w:rPr>
      </w:pPr>
      <w:r>
        <w:rPr>
          <w:rFonts w:ascii="Arial" w:cs="Arial" w:eastAsia="Arial" w:hAnsi="Arial"/>
          <w:sz w:val="15"/>
          <w:szCs w:val="15"/>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4" w:lineRule="exact"/>
        <w:rPr>
          <w:sz w:val="20"/>
          <w:szCs w:val="20"/>
          <w:color w:val="auto"/>
        </w:rPr>
      </w:pPr>
    </w:p>
    <w:p>
      <w:pPr>
        <w:ind w:right="140" w:firstLine="3"/>
        <w:spacing w:after="0" w:line="283" w:lineRule="auto"/>
        <w:tabs>
          <w:tab w:leader="none" w:pos="22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4.2 COMMITTEE MINUTES.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Each committee shall keep regular minutes of its meetings and report the same to the Board when required.</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4.3 MEETINGS AND ACTION OF COMMITTEES.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Meetings and actions of committees shall be governed by, and held and taken in accordance with, the provisions of:</w:t>
      </w:r>
    </w:p>
    <w:p>
      <w:pPr>
        <w:spacing w:after="0" w:line="106" w:lineRule="exact"/>
        <w:rPr>
          <w:sz w:val="20"/>
          <w:szCs w:val="20"/>
          <w:color w:val="auto"/>
        </w:rPr>
      </w:pPr>
    </w:p>
    <w:p>
      <w:pPr>
        <w:ind w:left="1160" w:hanging="236"/>
        <w:spacing w:after="0"/>
        <w:tabs>
          <w:tab w:leader="none" w:pos="11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Section 3.5 of these bylaws (place of meetings and meetings by telephone);</w:t>
      </w:r>
    </w:p>
    <w:p>
      <w:pPr>
        <w:spacing w:after="0" w:line="105" w:lineRule="exact"/>
        <w:rPr>
          <w:rFonts w:ascii="Arial" w:cs="Arial" w:eastAsia="Arial" w:hAnsi="Arial"/>
          <w:sz w:val="17"/>
          <w:szCs w:val="17"/>
          <w:color w:val="auto"/>
        </w:rPr>
      </w:pPr>
    </w:p>
    <w:p>
      <w:pPr>
        <w:ind w:left="1160" w:hanging="236"/>
        <w:spacing w:after="0"/>
        <w:tabs>
          <w:tab w:leader="none" w:pos="11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Section 3.6 of these bylaws (regular meetings);</w:t>
      </w:r>
    </w:p>
    <w:p>
      <w:pPr>
        <w:spacing w:after="0" w:line="105" w:lineRule="exact"/>
        <w:rPr>
          <w:rFonts w:ascii="Arial" w:cs="Arial" w:eastAsia="Arial" w:hAnsi="Arial"/>
          <w:sz w:val="17"/>
          <w:szCs w:val="17"/>
          <w:color w:val="auto"/>
        </w:rPr>
      </w:pPr>
    </w:p>
    <w:p>
      <w:pPr>
        <w:ind w:left="1160" w:hanging="236"/>
        <w:spacing w:after="0"/>
        <w:tabs>
          <w:tab w:leader="none" w:pos="11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Section 3.7 of these bylaws (special meetings and notice);</w:t>
      </w:r>
    </w:p>
    <w:p>
      <w:pPr>
        <w:spacing w:after="0" w:line="105" w:lineRule="exact"/>
        <w:rPr>
          <w:rFonts w:ascii="Arial" w:cs="Arial" w:eastAsia="Arial" w:hAnsi="Arial"/>
          <w:sz w:val="17"/>
          <w:szCs w:val="17"/>
          <w:color w:val="auto"/>
        </w:rPr>
      </w:pPr>
    </w:p>
    <w:p>
      <w:pPr>
        <w:ind w:left="1160" w:hanging="236"/>
        <w:spacing w:after="0"/>
        <w:tabs>
          <w:tab w:leader="none" w:pos="11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Section 3.8 of these bylaws (quorum);</w:t>
      </w:r>
    </w:p>
    <w:p>
      <w:pPr>
        <w:spacing w:after="0" w:line="105" w:lineRule="exact"/>
        <w:rPr>
          <w:rFonts w:ascii="Arial" w:cs="Arial" w:eastAsia="Arial" w:hAnsi="Arial"/>
          <w:sz w:val="17"/>
          <w:szCs w:val="17"/>
          <w:color w:val="auto"/>
        </w:rPr>
      </w:pPr>
    </w:p>
    <w:p>
      <w:pPr>
        <w:ind w:left="1160" w:hanging="236"/>
        <w:spacing w:after="0"/>
        <w:tabs>
          <w:tab w:leader="none" w:pos="11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Section 7.12 of these bylaws (waiver of notice);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240"/>
          </w:cols>
          <w:pgMar w:left="820" w:top="261" w:right="839" w:bottom="1440" w:gutter="0" w:footer="0" w:header="0"/>
        </w:sectPr>
      </w:pPr>
    </w:p>
    <w:bookmarkStart w:id="349" w:name="page350"/>
    <w:bookmarkEnd w:id="349"/>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(f) Section 3.9 of these bylaws (action without a meeting),</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with such changes in the context of those bylaws as are necessary to substitute the committee and its members for the Board and its members. </w:t>
      </w:r>
      <w:r>
        <w:rPr>
          <w:rFonts w:ascii="Arial" w:cs="Arial" w:eastAsia="Arial" w:hAnsi="Arial"/>
          <w:sz w:val="15"/>
          <w:szCs w:val="15"/>
          <w:i w:val="1"/>
          <w:iCs w:val="1"/>
          <w:color w:val="auto"/>
        </w:rPr>
        <w:t>However</w:t>
      </w:r>
      <w:r>
        <w:rPr>
          <w:rFonts w:ascii="Arial" w:cs="Arial" w:eastAsia="Arial" w:hAnsi="Arial"/>
          <w:sz w:val="15"/>
          <w:szCs w:val="15"/>
          <w:color w:val="auto"/>
        </w:rPr>
        <w:t>:</w:t>
      </w:r>
    </w:p>
    <w:p>
      <w:pPr>
        <w:spacing w:after="0" w:line="129" w:lineRule="exact"/>
        <w:rPr>
          <w:sz w:val="20"/>
          <w:szCs w:val="20"/>
          <w:color w:val="auto"/>
        </w:rPr>
      </w:pPr>
    </w:p>
    <w:p>
      <w:pPr>
        <w:ind w:left="1500" w:hanging="203"/>
        <w:spacing w:after="0"/>
        <w:tabs>
          <w:tab w:leader="none" w:pos="150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the time of regular meetings of committees may be determined either by resolution of the Board or by resolution of the committee;</w:t>
      </w:r>
    </w:p>
    <w:p>
      <w:pPr>
        <w:spacing w:after="0" w:line="128" w:lineRule="exact"/>
        <w:rPr>
          <w:rFonts w:ascii="Arial" w:cs="Arial" w:eastAsia="Arial" w:hAnsi="Arial"/>
          <w:sz w:val="15"/>
          <w:szCs w:val="15"/>
          <w:color w:val="auto"/>
        </w:rPr>
      </w:pPr>
    </w:p>
    <w:p>
      <w:pPr>
        <w:ind w:left="1540" w:hanging="243"/>
        <w:spacing w:after="0"/>
        <w:tabs>
          <w:tab w:leader="none" w:pos="15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special meetings of committees may also be called by resolution of the Board; and</w:t>
      </w:r>
    </w:p>
    <w:p>
      <w:pPr>
        <w:spacing w:after="0" w:line="105" w:lineRule="exact"/>
        <w:rPr>
          <w:rFonts w:ascii="Arial" w:cs="Arial" w:eastAsia="Arial" w:hAnsi="Arial"/>
          <w:sz w:val="17"/>
          <w:szCs w:val="17"/>
          <w:color w:val="auto"/>
        </w:rPr>
      </w:pPr>
    </w:p>
    <w:p>
      <w:pPr>
        <w:ind w:left="920" w:right="180" w:firstLine="377"/>
        <w:spacing w:after="0" w:line="257" w:lineRule="auto"/>
        <w:tabs>
          <w:tab w:leader="none" w:pos="158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 - OFFICERS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5.1 OFFICERS.</w:t>
      </w:r>
    </w:p>
    <w:p>
      <w:pPr>
        <w:spacing w:after="0" w:line="106" w:lineRule="exact"/>
        <w:rPr>
          <w:sz w:val="20"/>
          <w:szCs w:val="20"/>
          <w:color w:val="auto"/>
        </w:rPr>
      </w:pPr>
    </w:p>
    <w:p>
      <w:pPr>
        <w:ind w:right="340" w:firstLine="409"/>
        <w:spacing w:after="0" w:line="253" w:lineRule="auto"/>
        <w:rPr>
          <w:sz w:val="20"/>
          <w:szCs w:val="20"/>
          <w:color w:val="auto"/>
        </w:rPr>
      </w:pPr>
      <w:r>
        <w:rPr>
          <w:rFonts w:ascii="Arial" w:cs="Arial" w:eastAsia="Arial" w:hAnsi="Arial"/>
          <w:sz w:val="17"/>
          <w:szCs w:val="17"/>
          <w:color w:val="auto"/>
        </w:rPr>
        <w:t>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5.2 APPOINTMENT OF OFFICERS.</w:t>
      </w:r>
    </w:p>
    <w:p>
      <w:pPr>
        <w:spacing w:after="0" w:line="106" w:lineRule="exact"/>
        <w:rPr>
          <w:sz w:val="20"/>
          <w:szCs w:val="20"/>
          <w:color w:val="auto"/>
        </w:rPr>
      </w:pPr>
    </w:p>
    <w:p>
      <w:pPr>
        <w:jc w:val="both"/>
        <w:ind w:right="40" w:firstLine="409"/>
        <w:spacing w:after="0" w:line="268" w:lineRule="auto"/>
        <w:rPr>
          <w:sz w:val="20"/>
          <w:szCs w:val="20"/>
          <w:color w:val="auto"/>
        </w:rPr>
      </w:pPr>
      <w:r>
        <w:rPr>
          <w:rFonts w:ascii="Arial" w:cs="Arial" w:eastAsia="Arial" w:hAnsi="Arial"/>
          <w:sz w:val="17"/>
          <w:szCs w:val="17"/>
          <w:color w:val="auto"/>
        </w:rPr>
        <w:t>The Board shall appoint the officers of the Corporation, except such officers as may be appointed in accordance with the provisions of Section 5.3 of these bylaws, subject to the rights, if any, of an officer under any contract of employment.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5.3 SUBORDINATE OFFICERS.</w:t>
      </w:r>
    </w:p>
    <w:p>
      <w:pPr>
        <w:spacing w:after="0" w:line="106" w:lineRule="exact"/>
        <w:rPr>
          <w:sz w:val="20"/>
          <w:szCs w:val="20"/>
          <w:color w:val="auto"/>
        </w:rPr>
      </w:pPr>
    </w:p>
    <w:p>
      <w:pPr>
        <w:jc w:val="both"/>
        <w:ind w:right="60" w:firstLine="409"/>
        <w:spacing w:after="0" w:line="257" w:lineRule="auto"/>
        <w:rPr>
          <w:sz w:val="20"/>
          <w:szCs w:val="20"/>
          <w:color w:val="auto"/>
        </w:rPr>
      </w:pPr>
      <w:r>
        <w:rPr>
          <w:rFonts w:ascii="Arial" w:cs="Arial" w:eastAsia="Arial" w:hAnsi="Arial"/>
          <w:sz w:val="17"/>
          <w:szCs w:val="17"/>
          <w:color w:val="auto"/>
        </w:rPr>
        <w:t>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240"/>
          </w:cols>
          <w:pgMar w:left="820" w:top="265" w:right="839" w:bottom="1440" w:gutter="0" w:footer="0" w:header="0"/>
        </w:sectPr>
      </w:pPr>
    </w:p>
    <w:bookmarkStart w:id="350" w:name="page351"/>
    <w:bookmarkEnd w:id="35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5.4 REMOVAL AND RESIGNATION OF OFFICERS.</w:t>
      </w:r>
    </w:p>
    <w:p>
      <w:pPr>
        <w:spacing w:after="0" w:line="106" w:lineRule="exact"/>
        <w:rPr>
          <w:sz w:val="20"/>
          <w:szCs w:val="20"/>
          <w:color w:val="auto"/>
        </w:rPr>
      </w:pPr>
    </w:p>
    <w:p>
      <w:pPr>
        <w:ind w:right="60" w:firstLine="409"/>
        <w:spacing w:after="0" w:line="257"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175" w:lineRule="exact"/>
        <w:rPr>
          <w:sz w:val="20"/>
          <w:szCs w:val="20"/>
          <w:color w:val="auto"/>
        </w:rPr>
      </w:pPr>
    </w:p>
    <w:p>
      <w:pPr>
        <w:jc w:val="both"/>
        <w:ind w:right="60" w:firstLine="409"/>
        <w:spacing w:after="0" w:line="253" w:lineRule="auto"/>
        <w:rPr>
          <w:sz w:val="20"/>
          <w:szCs w:val="20"/>
          <w:color w:val="auto"/>
        </w:rPr>
      </w:pPr>
      <w:r>
        <w:rPr>
          <w:rFonts w:ascii="Arial" w:cs="Arial" w:eastAsia="Arial" w:hAnsi="Arial"/>
          <w:sz w:val="17"/>
          <w:szCs w:val="17"/>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5.5 VACANCIES IN OFFICES.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Any vacancy occurring in any office of the Corporation shall be filled by the Board or as provided in Section 5.3 of these bylaws.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5.6 REPRESENTATION OF SHARES OF OTHER ENTITIES.</w:t>
      </w:r>
    </w:p>
    <w:p>
      <w:pPr>
        <w:spacing w:after="0" w:line="106" w:lineRule="exact"/>
        <w:rPr>
          <w:sz w:val="20"/>
          <w:szCs w:val="20"/>
          <w:color w:val="auto"/>
        </w:rPr>
      </w:pPr>
    </w:p>
    <w:p>
      <w:pPr>
        <w:ind w:right="40" w:firstLine="409"/>
        <w:spacing w:after="0" w:line="251" w:lineRule="auto"/>
        <w:rPr>
          <w:sz w:val="20"/>
          <w:szCs w:val="20"/>
          <w:color w:val="auto"/>
        </w:rPr>
      </w:pPr>
      <w:r>
        <w:rPr>
          <w:rFonts w:ascii="Arial" w:cs="Arial" w:eastAsia="Arial" w:hAnsi="Arial"/>
          <w:sz w:val="17"/>
          <w:szCs w:val="17"/>
          <w:color w:val="auto"/>
        </w:rPr>
        <w:t>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5.7 AUTHORITY AND DUTIES OF OFFICERS.</w:t>
      </w:r>
    </w:p>
    <w:p>
      <w:pPr>
        <w:spacing w:after="0" w:line="106" w:lineRule="exact"/>
        <w:rPr>
          <w:sz w:val="20"/>
          <w:szCs w:val="20"/>
          <w:color w:val="auto"/>
        </w:rPr>
      </w:pPr>
    </w:p>
    <w:p>
      <w:pPr>
        <w:ind w:right="300" w:firstLine="409"/>
        <w:spacing w:after="0" w:line="257" w:lineRule="auto"/>
        <w:rPr>
          <w:sz w:val="20"/>
          <w:szCs w:val="20"/>
          <w:color w:val="auto"/>
        </w:rPr>
      </w:pPr>
      <w:r>
        <w:rPr>
          <w:rFonts w:ascii="Arial" w:cs="Arial" w:eastAsia="Arial" w:hAnsi="Arial"/>
          <w:sz w:val="17"/>
          <w:szCs w:val="17"/>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ARTICLE VI - RECORDS AND REPORTS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6.1 MAINTENANCE OF RECORDS.</w:t>
      </w:r>
    </w:p>
    <w:p>
      <w:pPr>
        <w:spacing w:after="0" w:line="106"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color w:val="auto"/>
        </w:rPr>
        <w:t>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140"/>
          </w:cols>
          <w:pgMar w:left="820" w:top="265" w:right="939" w:bottom="1440" w:gutter="0" w:footer="0" w:header="0"/>
        </w:sectPr>
      </w:pPr>
    </w:p>
    <w:bookmarkStart w:id="351" w:name="page352"/>
    <w:bookmarkEnd w:id="351"/>
    <w:p>
      <w:pPr>
        <w:ind w:left="36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ARTICLE VII - GENERAL MATTERS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7.1 EXECUTION OF CORPORATE CONTRACTS AND INSTRUMENTS.</w:t>
      </w:r>
    </w:p>
    <w:p>
      <w:pPr>
        <w:spacing w:after="0" w:line="106" w:lineRule="exact"/>
        <w:rPr>
          <w:sz w:val="20"/>
          <w:szCs w:val="20"/>
          <w:color w:val="auto"/>
        </w:rPr>
      </w:pPr>
    </w:p>
    <w:p>
      <w:pPr>
        <w:ind w:right="100" w:firstLine="409"/>
        <w:spacing w:after="0" w:line="298" w:lineRule="auto"/>
        <w:rPr>
          <w:sz w:val="20"/>
          <w:szCs w:val="20"/>
          <w:color w:val="auto"/>
        </w:rPr>
      </w:pPr>
      <w:r>
        <w:rPr>
          <w:rFonts w:ascii="Arial" w:cs="Arial" w:eastAsia="Arial" w:hAnsi="Arial"/>
          <w:sz w:val="15"/>
          <w:szCs w:val="15"/>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7.2 STOCK CERTIFICATES; PARTLY PAID SHARES.</w:t>
      </w:r>
    </w:p>
    <w:p>
      <w:pPr>
        <w:spacing w:after="0" w:line="106" w:lineRule="exact"/>
        <w:rPr>
          <w:sz w:val="20"/>
          <w:szCs w:val="20"/>
          <w:color w:val="auto"/>
        </w:rPr>
      </w:pPr>
    </w:p>
    <w:p>
      <w:pPr>
        <w:ind w:firstLine="409"/>
        <w:spacing w:after="0" w:line="288" w:lineRule="auto"/>
        <w:rPr>
          <w:sz w:val="20"/>
          <w:szCs w:val="20"/>
          <w:color w:val="auto"/>
        </w:rPr>
      </w:pPr>
      <w:r>
        <w:rPr>
          <w:rFonts w:ascii="Arial" w:cs="Arial" w:eastAsia="Arial" w:hAnsi="Arial"/>
          <w:sz w:val="15"/>
          <w:szCs w:val="15"/>
          <w:color w:val="auto"/>
        </w:rPr>
        <w:t>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58" w:lineRule="exact"/>
        <w:rPr>
          <w:sz w:val="20"/>
          <w:szCs w:val="20"/>
          <w:color w:val="auto"/>
        </w:rPr>
      </w:pPr>
    </w:p>
    <w:p>
      <w:pPr>
        <w:ind w:firstLine="409"/>
        <w:spacing w:after="0" w:line="271" w:lineRule="auto"/>
        <w:rPr>
          <w:sz w:val="20"/>
          <w:szCs w:val="20"/>
          <w:color w:val="auto"/>
        </w:rPr>
      </w:pPr>
      <w:r>
        <w:rPr>
          <w:rFonts w:ascii="Arial" w:cs="Arial" w:eastAsia="Arial" w:hAnsi="Arial"/>
          <w:sz w:val="16"/>
          <w:szCs w:val="16"/>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7.3 MULTIPLES CLASSES OR SERIES OF STOCK.</w:t>
      </w:r>
    </w:p>
    <w:p>
      <w:pPr>
        <w:spacing w:after="0" w:line="106" w:lineRule="exact"/>
        <w:rPr>
          <w:sz w:val="20"/>
          <w:szCs w:val="20"/>
          <w:color w:val="auto"/>
        </w:rPr>
      </w:pPr>
    </w:p>
    <w:p>
      <w:pPr>
        <w:ind w:right="40" w:firstLine="409"/>
        <w:spacing w:after="0" w:line="251" w:lineRule="auto"/>
        <w:rPr>
          <w:sz w:val="20"/>
          <w:szCs w:val="20"/>
          <w:color w:val="auto"/>
        </w:rPr>
      </w:pPr>
      <w:r>
        <w:rPr>
          <w:rFonts w:ascii="Arial" w:cs="Arial" w:eastAsia="Arial" w:hAnsi="Arial"/>
          <w:sz w:val="17"/>
          <w:szCs w:val="17"/>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except as otherwise provided in Section 202 of the DGCL, in lieu of the foregoing requirements, there may be set forth on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40"/>
          </w:cols>
          <w:pgMar w:left="820" w:top="261" w:right="839" w:bottom="1440" w:gutter="0" w:footer="0" w:header="0"/>
        </w:sectPr>
      </w:pPr>
    </w:p>
    <w:bookmarkStart w:id="352" w:name="page353"/>
    <w:bookmarkEnd w:id="352"/>
    <w:p>
      <w:pPr>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7.4 LOST CERTIFICATES.</w:t>
      </w:r>
    </w:p>
    <w:p>
      <w:pPr>
        <w:spacing w:after="0" w:line="106" w:lineRule="exact"/>
        <w:rPr>
          <w:sz w:val="20"/>
          <w:szCs w:val="20"/>
          <w:color w:val="auto"/>
        </w:rPr>
      </w:pPr>
    </w:p>
    <w:p>
      <w:pPr>
        <w:ind w:right="80" w:firstLine="409"/>
        <w:spacing w:after="0" w:line="250" w:lineRule="auto"/>
        <w:rPr>
          <w:sz w:val="20"/>
          <w:szCs w:val="20"/>
          <w:color w:val="auto"/>
        </w:rPr>
      </w:pPr>
      <w:r>
        <w:rPr>
          <w:rFonts w:ascii="Arial" w:cs="Arial" w:eastAsia="Arial" w:hAnsi="Arial"/>
          <w:sz w:val="17"/>
          <w:szCs w:val="17"/>
          <w:color w:val="auto"/>
        </w:rPr>
        <w:t>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7.5 CONSTRUCTION; DEFINITIONS.</w:t>
      </w:r>
    </w:p>
    <w:p>
      <w:pPr>
        <w:spacing w:after="0" w:line="106" w:lineRule="exact"/>
        <w:rPr>
          <w:sz w:val="20"/>
          <w:szCs w:val="20"/>
          <w:color w:val="auto"/>
        </w:rPr>
      </w:pPr>
    </w:p>
    <w:p>
      <w:pPr>
        <w:jc w:val="both"/>
        <w:ind w:right="120" w:firstLine="409"/>
        <w:spacing w:after="0" w:line="257" w:lineRule="auto"/>
        <w:rPr>
          <w:sz w:val="20"/>
          <w:szCs w:val="20"/>
          <w:color w:val="auto"/>
        </w:rPr>
      </w:pPr>
      <w:r>
        <w:rPr>
          <w:rFonts w:ascii="Arial" w:cs="Arial" w:eastAsia="Arial" w:hAnsi="Arial"/>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7.6 DIVIDENDS.</w:t>
      </w:r>
    </w:p>
    <w:p>
      <w:pPr>
        <w:spacing w:after="0" w:line="106" w:lineRule="exact"/>
        <w:rPr>
          <w:sz w:val="20"/>
          <w:szCs w:val="20"/>
          <w:color w:val="auto"/>
        </w:rPr>
      </w:pPr>
    </w:p>
    <w:p>
      <w:pPr>
        <w:ind w:right="40" w:firstLine="409"/>
        <w:spacing w:after="0" w:line="268" w:lineRule="auto"/>
        <w:rPr>
          <w:sz w:val="20"/>
          <w:szCs w:val="20"/>
          <w:color w:val="auto"/>
        </w:rPr>
      </w:pPr>
      <w:r>
        <w:rPr>
          <w:rFonts w:ascii="Arial" w:cs="Arial" w:eastAsia="Arial" w:hAnsi="Arial"/>
          <w:sz w:val="17"/>
          <w:szCs w:val="17"/>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66" w:lineRule="exact"/>
        <w:rPr>
          <w:sz w:val="20"/>
          <w:szCs w:val="20"/>
          <w:color w:val="auto"/>
        </w:rPr>
      </w:pPr>
    </w:p>
    <w:p>
      <w:pPr>
        <w:ind w:right="180" w:firstLine="409"/>
        <w:spacing w:after="0" w:line="257" w:lineRule="auto"/>
        <w:rPr>
          <w:sz w:val="20"/>
          <w:szCs w:val="20"/>
          <w:color w:val="auto"/>
        </w:rPr>
      </w:pPr>
      <w:r>
        <w:rPr>
          <w:rFonts w:ascii="Arial" w:cs="Arial" w:eastAsia="Arial" w:hAnsi="Arial"/>
          <w:sz w:val="17"/>
          <w:szCs w:val="17"/>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40"/>
          </w:cols>
          <w:pgMar w:left="820" w:top="264" w:right="839" w:bottom="1440" w:gutter="0" w:footer="0" w:header="0"/>
        </w:sectPr>
      </w:pPr>
    </w:p>
    <w:bookmarkStart w:id="353" w:name="page354"/>
    <w:bookmarkEnd w:id="353"/>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7.7 FISCAL YEAR.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fiscal year of the Corporation shall be fixed by resolution of the Board and may be changed by the Board.</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7.8 SEAL.</w:t>
      </w:r>
    </w:p>
    <w:p>
      <w:pPr>
        <w:spacing w:after="0" w:line="106" w:lineRule="exact"/>
        <w:rPr>
          <w:sz w:val="20"/>
          <w:szCs w:val="20"/>
          <w:color w:val="auto"/>
        </w:rPr>
      </w:pPr>
    </w:p>
    <w:p>
      <w:pPr>
        <w:ind w:right="540" w:firstLine="409"/>
        <w:spacing w:after="0" w:line="299" w:lineRule="auto"/>
        <w:rPr>
          <w:sz w:val="20"/>
          <w:szCs w:val="20"/>
          <w:color w:val="auto"/>
        </w:rPr>
      </w:pPr>
      <w:r>
        <w:rPr>
          <w:rFonts w:ascii="Arial" w:cs="Arial" w:eastAsia="Arial" w:hAnsi="Arial"/>
          <w:sz w:val="16"/>
          <w:szCs w:val="16"/>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7.9 TRANSFER OF STOCK.</w:t>
      </w:r>
    </w:p>
    <w:p>
      <w:pPr>
        <w:spacing w:after="0" w:line="106" w:lineRule="exact"/>
        <w:rPr>
          <w:sz w:val="20"/>
          <w:szCs w:val="20"/>
          <w:color w:val="auto"/>
        </w:rPr>
      </w:pPr>
    </w:p>
    <w:p>
      <w:pPr>
        <w:ind w:right="20" w:firstLine="409"/>
        <w:spacing w:after="0" w:line="268" w:lineRule="auto"/>
        <w:rPr>
          <w:sz w:val="20"/>
          <w:szCs w:val="20"/>
          <w:color w:val="auto"/>
        </w:rPr>
      </w:pPr>
      <w:r>
        <w:rPr>
          <w:rFonts w:ascii="Arial" w:cs="Arial" w:eastAsia="Arial" w:hAnsi="Arial"/>
          <w:sz w:val="16"/>
          <w:szCs w:val="16"/>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7.10 STOCK TRANSFER AGREEMENTS.</w:t>
      </w:r>
    </w:p>
    <w:p>
      <w:pPr>
        <w:spacing w:after="0" w:line="106"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7.11 REGISTERED STOCKHOLDERS.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Corporation, to the fullest extent permitted by law,:</w:t>
      </w:r>
    </w:p>
    <w:p>
      <w:pPr>
        <w:spacing w:after="0" w:line="106" w:lineRule="exact"/>
        <w:rPr>
          <w:sz w:val="20"/>
          <w:szCs w:val="20"/>
          <w:color w:val="auto"/>
        </w:rPr>
      </w:pPr>
    </w:p>
    <w:p>
      <w:pPr>
        <w:ind w:right="160" w:firstLine="924"/>
        <w:spacing w:after="0" w:line="268" w:lineRule="auto"/>
        <w:tabs>
          <w:tab w:leader="none" w:pos="1149" w:val="left"/>
        </w:tabs>
        <w:numPr>
          <w:ilvl w:val="0"/>
          <w:numId w:val="289"/>
        </w:numPr>
        <w:rPr>
          <w:rFonts w:ascii="Arial" w:cs="Arial" w:eastAsia="Arial" w:hAnsi="Arial"/>
          <w:sz w:val="17"/>
          <w:szCs w:val="17"/>
          <w:color w:val="auto"/>
        </w:rPr>
      </w:pPr>
      <w:r>
        <w:rPr>
          <w:rFonts w:ascii="Arial" w:cs="Arial" w:eastAsia="Arial" w:hAnsi="Arial"/>
          <w:sz w:val="17"/>
          <w:szCs w:val="17"/>
          <w:color w:val="auto"/>
        </w:rPr>
        <w:t>shall be entitled to recognize the exclusive right of a person registered on its books as the owner of shares to receive dividends and to vote as such owner;</w:t>
      </w:r>
    </w:p>
    <w:p>
      <w:pPr>
        <w:spacing w:after="0" w:line="65" w:lineRule="exact"/>
        <w:rPr>
          <w:rFonts w:ascii="Arial" w:cs="Arial" w:eastAsia="Arial" w:hAnsi="Arial"/>
          <w:sz w:val="17"/>
          <w:szCs w:val="17"/>
          <w:color w:val="auto"/>
        </w:rPr>
      </w:pPr>
    </w:p>
    <w:p>
      <w:pPr>
        <w:ind w:left="1160" w:hanging="236"/>
        <w:spacing w:after="0"/>
        <w:tabs>
          <w:tab w:leader="none" w:pos="11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shall be entitled to hold liable for calls and assessments the person registered on its books as the owner of shares;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20"/>
          </w:cols>
          <w:pgMar w:left="820" w:top="264" w:right="859" w:bottom="1440" w:gutter="0" w:footer="0" w:header="0"/>
        </w:sectPr>
      </w:pPr>
    </w:p>
    <w:bookmarkStart w:id="354" w:name="page355"/>
    <w:bookmarkEnd w:id="354"/>
    <w:p>
      <w:pPr>
        <w:ind w:right="20" w:firstLine="924"/>
        <w:spacing w:after="0" w:line="268" w:lineRule="auto"/>
        <w:tabs>
          <w:tab w:leader="none" w:pos="1149" w:val="left"/>
        </w:tabs>
        <w:numPr>
          <w:ilvl w:val="0"/>
          <w:numId w:val="2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7.12 WAIVER OF NOTICE.</w:t>
      </w:r>
    </w:p>
    <w:p>
      <w:pPr>
        <w:spacing w:after="0" w:line="106" w:lineRule="exact"/>
        <w:rPr>
          <w:sz w:val="20"/>
          <w:szCs w:val="20"/>
          <w:color w:val="auto"/>
        </w:rPr>
      </w:pPr>
    </w:p>
    <w:p>
      <w:pPr>
        <w:ind w:right="180" w:firstLine="409"/>
        <w:spacing w:after="0" w:line="268" w:lineRule="auto"/>
        <w:rPr>
          <w:sz w:val="20"/>
          <w:szCs w:val="20"/>
          <w:color w:val="auto"/>
        </w:rPr>
      </w:pPr>
      <w:r>
        <w:rPr>
          <w:rFonts w:ascii="Arial" w:cs="Arial" w:eastAsia="Arial" w:hAnsi="Arial"/>
          <w:sz w:val="16"/>
          <w:szCs w:val="16"/>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65"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ARTICLE VIII - NOTICE BY ELECTRONIC TRANSMISSION</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8.1 NOTICE BY ELECTRONIC TRANSMISSION.</w:t>
      </w:r>
    </w:p>
    <w:p>
      <w:pPr>
        <w:spacing w:after="0" w:line="106" w:lineRule="exact"/>
        <w:rPr>
          <w:sz w:val="20"/>
          <w:szCs w:val="20"/>
          <w:color w:val="auto"/>
        </w:rPr>
      </w:pPr>
    </w:p>
    <w:p>
      <w:pPr>
        <w:ind w:right="80" w:firstLine="409"/>
        <w:spacing w:after="0" w:line="298" w:lineRule="auto"/>
        <w:rPr>
          <w:sz w:val="20"/>
          <w:szCs w:val="20"/>
          <w:color w:val="auto"/>
        </w:rPr>
      </w:pPr>
      <w:r>
        <w:rPr>
          <w:rFonts w:ascii="Arial" w:cs="Arial" w:eastAsia="Arial" w:hAnsi="Arial"/>
          <w:sz w:val="15"/>
          <w:szCs w:val="15"/>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47" w:lineRule="exact"/>
        <w:rPr>
          <w:sz w:val="20"/>
          <w:szCs w:val="20"/>
          <w:color w:val="auto"/>
        </w:rPr>
      </w:pPr>
    </w:p>
    <w:p>
      <w:pPr>
        <w:ind w:firstLine="924"/>
        <w:spacing w:after="0" w:line="268" w:lineRule="auto"/>
        <w:tabs>
          <w:tab w:leader="none" w:pos="114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Corporation is unable to deliver by electronic transmission two (2) consecutive notices given by the Corporation in accordance with such consent; and</w:t>
      </w:r>
    </w:p>
    <w:p>
      <w:pPr>
        <w:spacing w:after="0" w:line="65" w:lineRule="exact"/>
        <w:rPr>
          <w:rFonts w:ascii="Arial" w:cs="Arial" w:eastAsia="Arial" w:hAnsi="Arial"/>
          <w:sz w:val="17"/>
          <w:szCs w:val="17"/>
          <w:color w:val="auto"/>
        </w:rPr>
      </w:pPr>
    </w:p>
    <w:p>
      <w:pPr>
        <w:ind w:right="400" w:firstLine="924"/>
        <w:spacing w:after="0" w:line="268" w:lineRule="auto"/>
        <w:tabs>
          <w:tab w:leader="none" w:pos="115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such inability becomes known to the secretary or an assistant secretary of the Corporation or to the transfer agent, or other person responsible for the giving of notice.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However, the inadvertent failure to treat such inability as a revocation shall not invalidate any meeting or other action.</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Any notice given pursuant to the preceding paragraph shall be deemed given:</w:t>
      </w:r>
    </w:p>
    <w:p>
      <w:pPr>
        <w:spacing w:after="0" w:line="118" w:lineRule="exact"/>
        <w:rPr>
          <w:sz w:val="20"/>
          <w:szCs w:val="20"/>
          <w:color w:val="auto"/>
        </w:rPr>
      </w:pPr>
    </w:p>
    <w:p>
      <w:pPr>
        <w:jc w:val="center"/>
        <w:ind w:left="4980" w:right="900" w:hanging="4061"/>
        <w:spacing w:after="0" w:line="437" w:lineRule="auto"/>
        <w:tabs>
          <w:tab w:leader="none" w:pos="1316" w:val="left"/>
        </w:tabs>
        <w:numPr>
          <w:ilvl w:val="0"/>
          <w:numId w:val="292"/>
        </w:numPr>
        <w:rPr>
          <w:rFonts w:ascii="Arial" w:cs="Arial" w:eastAsia="Arial" w:hAnsi="Arial"/>
          <w:sz w:val="17"/>
          <w:szCs w:val="17"/>
          <w:color w:val="auto"/>
        </w:rPr>
      </w:pPr>
      <w:r>
        <w:rPr>
          <w:rFonts w:ascii="Arial" w:cs="Arial" w:eastAsia="Arial" w:hAnsi="Arial"/>
          <w:sz w:val="17"/>
          <w:szCs w:val="17"/>
          <w:color w:val="auto"/>
        </w:rPr>
        <w:t>if by facsimile telecommunication, when directed to a number at which the stockholder has consented to receive notice; -26-</w:t>
      </w:r>
    </w:p>
    <w:p>
      <w:pPr>
        <w:sectPr>
          <w:pgSz w:w="11900" w:h="16838" w:orient="portrait"/>
          <w:cols w:equalWidth="0" w:num="1">
            <w:col w:w="10220"/>
          </w:cols>
          <w:pgMar w:left="820" w:top="265" w:right="859" w:bottom="1440" w:gutter="0" w:footer="0" w:header="0"/>
        </w:sectPr>
      </w:pPr>
    </w:p>
    <w:bookmarkStart w:id="355" w:name="page356"/>
    <w:bookmarkEnd w:id="355"/>
    <w:p>
      <w:pPr>
        <w:ind w:left="1320" w:hanging="401"/>
        <w:spacing w:after="0"/>
        <w:tabs>
          <w:tab w:leader="none" w:pos="13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if by electronic mail, when directed to an electronic mail address at which the stockholder has consented to receive notice;</w:t>
      </w:r>
    </w:p>
    <w:p>
      <w:pPr>
        <w:spacing w:after="0" w:line="129" w:lineRule="exact"/>
        <w:rPr>
          <w:rFonts w:ascii="Arial" w:cs="Arial" w:eastAsia="Arial" w:hAnsi="Arial"/>
          <w:sz w:val="16"/>
          <w:szCs w:val="16"/>
          <w:color w:val="auto"/>
        </w:rPr>
      </w:pPr>
    </w:p>
    <w:p>
      <w:pPr>
        <w:ind w:left="1320" w:hanging="401"/>
        <w:spacing w:after="0"/>
        <w:tabs>
          <w:tab w:leader="none" w:pos="132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if by a posting on an electronic network together with separate notice to the stockholder of such specific posting, upon the later of</w:t>
      </w:r>
    </w:p>
    <w:p>
      <w:pPr>
        <w:spacing w:after="0" w:line="40" w:lineRule="exact"/>
        <w:rPr>
          <w:rFonts w:ascii="Arial" w:cs="Arial" w:eastAsia="Arial" w:hAnsi="Arial"/>
          <w:sz w:val="15"/>
          <w:szCs w:val="15"/>
          <w:color w:val="auto"/>
        </w:rPr>
      </w:pPr>
    </w:p>
    <w:p>
      <w:pPr>
        <w:ind w:left="1320"/>
        <w:spacing w:after="0"/>
        <w:rPr>
          <w:rFonts w:ascii="Arial" w:cs="Arial" w:eastAsia="Arial" w:hAnsi="Arial"/>
          <w:sz w:val="15"/>
          <w:szCs w:val="15"/>
          <w:color w:val="auto"/>
        </w:rPr>
      </w:pPr>
      <w:r>
        <w:rPr>
          <w:rFonts w:ascii="Arial" w:cs="Arial" w:eastAsia="Arial" w:hAnsi="Arial"/>
          <w:sz w:val="17"/>
          <w:szCs w:val="17"/>
          <w:color w:val="auto"/>
        </w:rPr>
        <w:t>(i) such posting and (ii) the giving of such separate notice; and</w:t>
      </w:r>
    </w:p>
    <w:p>
      <w:pPr>
        <w:spacing w:after="0" w:line="106" w:lineRule="exact"/>
        <w:rPr>
          <w:rFonts w:ascii="Arial" w:cs="Arial" w:eastAsia="Arial" w:hAnsi="Arial"/>
          <w:sz w:val="15"/>
          <w:szCs w:val="15"/>
          <w:color w:val="auto"/>
        </w:rPr>
      </w:pPr>
    </w:p>
    <w:p>
      <w:pPr>
        <w:ind w:left="1320" w:hanging="401"/>
        <w:spacing w:after="0"/>
        <w:tabs>
          <w:tab w:leader="none" w:pos="132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if by any other form of electronic transmission, when directed to the stockholder.</w:t>
      </w:r>
    </w:p>
    <w:p>
      <w:pPr>
        <w:spacing w:after="0" w:line="206" w:lineRule="exact"/>
        <w:rPr>
          <w:sz w:val="20"/>
          <w:szCs w:val="20"/>
          <w:color w:val="auto"/>
        </w:rPr>
      </w:pPr>
    </w:p>
    <w:p>
      <w:pPr>
        <w:ind w:right="220" w:firstLine="409"/>
        <w:spacing w:after="0" w:line="335" w:lineRule="auto"/>
        <w:rPr>
          <w:sz w:val="20"/>
          <w:szCs w:val="20"/>
          <w:color w:val="auto"/>
        </w:rPr>
      </w:pPr>
      <w:r>
        <w:rPr>
          <w:rFonts w:ascii="Arial" w:cs="Arial" w:eastAsia="Arial" w:hAnsi="Arial"/>
          <w:sz w:val="15"/>
          <w:szCs w:val="15"/>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8.2 DEFINITION OF ELECTRONIC TRANSMISSION.</w:t>
      </w:r>
    </w:p>
    <w:p>
      <w:pPr>
        <w:spacing w:after="0" w:line="106"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color w:val="auto"/>
        </w:rPr>
        <w:t>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 - INDEMNIFICATION AND ADVANCEMENT</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9.1 ACTIONS, SUITS AND PROCEEDINGS OTHER THAN BY OR IN THE RIGHT OF THE CORPORATION.</w:t>
      </w:r>
    </w:p>
    <w:p>
      <w:pPr>
        <w:spacing w:after="0" w:line="106" w:lineRule="exact"/>
        <w:rPr>
          <w:sz w:val="20"/>
          <w:szCs w:val="20"/>
          <w:color w:val="auto"/>
        </w:rPr>
      </w:pPr>
    </w:p>
    <w:p>
      <w:pPr>
        <w:ind w:firstLine="409"/>
        <w:spacing w:after="0" w:line="266" w:lineRule="auto"/>
        <w:rPr>
          <w:sz w:val="20"/>
          <w:szCs w:val="20"/>
          <w:color w:val="auto"/>
        </w:rPr>
      </w:pPr>
      <w:r>
        <w:rPr>
          <w:rFonts w:ascii="Arial" w:cs="Arial" w:eastAsia="Arial" w:hAnsi="Arial"/>
          <w:sz w:val="16"/>
          <w:szCs w:val="16"/>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Arial" w:cs="Arial" w:eastAsia="Arial" w:hAnsi="Arial"/>
          <w:sz w:val="16"/>
          <w:szCs w:val="16"/>
          <w:u w:val="single" w:color="auto"/>
          <w:color w:val="auto"/>
        </w:rPr>
        <w:t>Indemnitee</w:t>
      </w:r>
      <w:r>
        <w:rPr>
          <w:rFonts w:ascii="Arial" w:cs="Arial" w:eastAsia="Arial" w:hAnsi="Arial"/>
          <w:sz w:val="16"/>
          <w:szCs w:val="16"/>
          <w:color w:val="auto"/>
        </w:rPr>
        <w:t>”),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40"/>
          </w:cols>
          <w:pgMar w:left="820" w:top="265" w:right="839" w:bottom="1440" w:gutter="0" w:footer="0" w:header="0"/>
        </w:sectPr>
      </w:pPr>
    </w:p>
    <w:bookmarkStart w:id="356" w:name="page357"/>
    <w:bookmarkEnd w:id="356"/>
    <w:p>
      <w:pPr>
        <w:ind w:right="20"/>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9.2 ACTIONS OR SUITS BY OR IN THE RIGHT OF THE CORPORATION.</w:t>
      </w:r>
    </w:p>
    <w:p>
      <w:pPr>
        <w:spacing w:after="0" w:line="106" w:lineRule="exact"/>
        <w:rPr>
          <w:sz w:val="20"/>
          <w:szCs w:val="20"/>
          <w:color w:val="auto"/>
        </w:rPr>
      </w:pPr>
    </w:p>
    <w:p>
      <w:pPr>
        <w:ind w:firstLine="409"/>
        <w:spacing w:after="0" w:line="284" w:lineRule="auto"/>
        <w:rPr>
          <w:sz w:val="20"/>
          <w:szCs w:val="20"/>
          <w:color w:val="auto"/>
        </w:rPr>
      </w:pPr>
      <w:r>
        <w:rPr>
          <w:rFonts w:ascii="Arial" w:cs="Arial" w:eastAsia="Arial" w:hAnsi="Arial"/>
          <w:sz w:val="15"/>
          <w:szCs w:val="15"/>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9.3 INDEMNIFICATION FOR EXPENSES OF SUCCESSFUL PARTY.</w:t>
      </w:r>
    </w:p>
    <w:p>
      <w:pPr>
        <w:spacing w:after="0" w:line="106" w:lineRule="exact"/>
        <w:rPr>
          <w:sz w:val="20"/>
          <w:szCs w:val="20"/>
          <w:color w:val="auto"/>
        </w:rPr>
      </w:pPr>
    </w:p>
    <w:p>
      <w:pPr>
        <w:ind w:right="120" w:firstLine="409"/>
        <w:spacing w:after="0" w:line="274" w:lineRule="auto"/>
        <w:rPr>
          <w:sz w:val="20"/>
          <w:szCs w:val="20"/>
          <w:color w:val="auto"/>
        </w:rPr>
      </w:pPr>
      <w:r>
        <w:rPr>
          <w:rFonts w:ascii="Arial" w:cs="Arial" w:eastAsia="Arial" w:hAnsi="Arial"/>
          <w:sz w:val="16"/>
          <w:szCs w:val="16"/>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00"/>
          </w:cols>
          <w:pgMar w:left="820" w:top="265" w:right="879" w:bottom="1440" w:gutter="0" w:footer="0" w:header="0"/>
        </w:sectPr>
      </w:pPr>
    </w:p>
    <w:bookmarkStart w:id="357" w:name="page358"/>
    <w:bookmarkEnd w:id="357"/>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9.4 NOTIFICATION AND DEFENSE OF CLAIM.</w:t>
      </w:r>
    </w:p>
    <w:p>
      <w:pPr>
        <w:spacing w:after="0" w:line="106" w:lineRule="exact"/>
        <w:rPr>
          <w:sz w:val="20"/>
          <w:szCs w:val="20"/>
          <w:color w:val="auto"/>
        </w:rPr>
      </w:pPr>
    </w:p>
    <w:p>
      <w:pPr>
        <w:ind w:firstLine="409"/>
        <w:spacing w:after="0" w:line="282" w:lineRule="auto"/>
        <w:rPr>
          <w:sz w:val="20"/>
          <w:szCs w:val="20"/>
          <w:color w:val="auto"/>
        </w:rPr>
      </w:pPr>
      <w:r>
        <w:rPr>
          <w:rFonts w:ascii="Arial" w:cs="Arial" w:eastAsia="Arial" w:hAnsi="Arial"/>
          <w:sz w:val="15"/>
          <w:szCs w:val="15"/>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9.4.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9.5 ADVANCE OF EXPENSES.</w:t>
      </w:r>
    </w:p>
    <w:p>
      <w:pPr>
        <w:spacing w:after="0" w:line="106" w:lineRule="exact"/>
        <w:rPr>
          <w:sz w:val="20"/>
          <w:szCs w:val="20"/>
          <w:color w:val="auto"/>
        </w:rPr>
      </w:pPr>
    </w:p>
    <w:p>
      <w:pPr>
        <w:ind w:right="60" w:firstLine="409"/>
        <w:spacing w:after="0" w:line="285" w:lineRule="auto"/>
        <w:rPr>
          <w:sz w:val="20"/>
          <w:szCs w:val="20"/>
          <w:color w:val="auto"/>
        </w:rPr>
      </w:pPr>
      <w:r>
        <w:rPr>
          <w:rFonts w:ascii="Arial" w:cs="Arial" w:eastAsia="Arial" w:hAnsi="Arial"/>
          <w:sz w:val="15"/>
          <w:szCs w:val="15"/>
          <w:color w:val="auto"/>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Arial" w:cs="Arial" w:eastAsia="Arial" w:hAnsi="Arial"/>
          <w:sz w:val="15"/>
          <w:szCs w:val="15"/>
          <w:i w:val="1"/>
          <w:iCs w:val="1"/>
          <w:u w:val="single" w:color="auto"/>
          <w:color w:val="auto"/>
        </w:rPr>
        <w:t>provided</w:t>
      </w:r>
      <w:r>
        <w:rPr>
          <w:rFonts w:ascii="Arial" w:cs="Arial" w:eastAsia="Arial" w:hAnsi="Arial"/>
          <w:sz w:val="15"/>
          <w:szCs w:val="15"/>
          <w:u w:val="single" w:color="auto"/>
          <w:color w:val="auto"/>
        </w:rPr>
        <w: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Arial" w:cs="Arial" w:eastAsia="Arial" w:hAnsi="Arial"/>
          <w:sz w:val="15"/>
          <w:szCs w:val="15"/>
          <w:i w:val="1"/>
          <w:iCs w:val="1"/>
          <w:u w:val="single" w:color="auto"/>
          <w:color w:val="auto"/>
        </w:rPr>
        <w:t>provided further</w:t>
      </w:r>
      <w:r>
        <w:rPr>
          <w:rFonts w:ascii="Arial" w:cs="Arial" w:eastAsia="Arial" w:hAnsi="Arial"/>
          <w:sz w:val="15"/>
          <w:szCs w:val="15"/>
          <w:i w:val="1"/>
          <w:iCs w:val="1"/>
          <w:color w:val="auto"/>
        </w:rPr>
        <w:t xml:space="preserve"> </w:t>
      </w:r>
      <w:r>
        <w:rPr>
          <w:rFonts w:ascii="Arial" w:cs="Arial" w:eastAsia="Arial" w:hAnsi="Arial"/>
          <w:sz w:val="15"/>
          <w:szCs w:val="15"/>
          <w:color w:val="auto"/>
        </w:rPr>
        <w:t>that no such advancement of expenses shall be made under this Article IX if it is determined (in the manner described in Section 9.6 of</w:t>
      </w:r>
      <w:r>
        <w:rPr>
          <w:rFonts w:ascii="Arial" w:cs="Arial" w:eastAsia="Arial" w:hAnsi="Arial"/>
          <w:sz w:val="15"/>
          <w:szCs w:val="15"/>
          <w:i w:val="1"/>
          <w:iCs w:val="1"/>
          <w:color w:val="auto"/>
        </w:rPr>
        <w:t xml:space="preserve"> </w:t>
      </w:r>
      <w:r>
        <w:rPr>
          <w:rFonts w:ascii="Arial" w:cs="Arial" w:eastAsia="Arial" w:hAnsi="Arial"/>
          <w:sz w:val="15"/>
          <w:szCs w:val="15"/>
          <w:color w:val="auto"/>
        </w:rPr>
        <w:t>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240"/>
          </w:cols>
          <w:pgMar w:left="820" w:top="264" w:right="839" w:bottom="1440" w:gutter="0" w:footer="0" w:header="0"/>
        </w:sectPr>
      </w:pPr>
    </w:p>
    <w:bookmarkStart w:id="358" w:name="page359"/>
    <w:bookmarkEnd w:id="358"/>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9.6 PROCEDURE FOR INDEMNIFICATION AND ADVANCEMENT OF EXPENSES.</w:t>
      </w:r>
    </w:p>
    <w:p>
      <w:pPr>
        <w:spacing w:after="0" w:line="106" w:lineRule="exact"/>
        <w:rPr>
          <w:sz w:val="20"/>
          <w:szCs w:val="20"/>
          <w:color w:val="auto"/>
        </w:rPr>
      </w:pPr>
    </w:p>
    <w:p>
      <w:pPr>
        <w:ind w:firstLine="409"/>
        <w:spacing w:after="0" w:line="284" w:lineRule="auto"/>
        <w:rPr>
          <w:sz w:val="20"/>
          <w:szCs w:val="20"/>
          <w:color w:val="auto"/>
        </w:rPr>
      </w:pPr>
      <w:r>
        <w:rPr>
          <w:rFonts w:ascii="Arial" w:cs="Arial" w:eastAsia="Arial" w:hAnsi="Arial"/>
          <w:sz w:val="15"/>
          <w:szCs w:val="15"/>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Arial" w:cs="Arial" w:eastAsia="Arial" w:hAnsi="Arial"/>
          <w:sz w:val="15"/>
          <w:szCs w:val="15"/>
          <w:u w:val="single" w:color="auto"/>
          <w:color w:val="auto"/>
        </w:rPr>
        <w:t>disinterested directors</w:t>
      </w:r>
      <w:r>
        <w:rPr>
          <w:rFonts w:ascii="Arial" w:cs="Arial" w:eastAsia="Arial" w:hAnsi="Arial"/>
          <w:sz w:val="15"/>
          <w:szCs w:val="15"/>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9.7 REMEDIES.</w:t>
      </w:r>
    </w:p>
    <w:p>
      <w:pPr>
        <w:spacing w:after="0" w:line="106" w:lineRule="exact"/>
        <w:rPr>
          <w:sz w:val="20"/>
          <w:szCs w:val="20"/>
          <w:color w:val="auto"/>
        </w:rPr>
      </w:pPr>
    </w:p>
    <w:p>
      <w:pPr>
        <w:ind w:right="20" w:firstLine="409"/>
        <w:spacing w:after="0" w:line="288" w:lineRule="auto"/>
        <w:rPr>
          <w:sz w:val="20"/>
          <w:szCs w:val="20"/>
          <w:color w:val="auto"/>
        </w:rPr>
      </w:pPr>
      <w:r>
        <w:rPr>
          <w:rFonts w:ascii="Arial" w:cs="Arial" w:eastAsia="Arial" w:hAnsi="Arial"/>
          <w:sz w:val="15"/>
          <w:szCs w:val="15"/>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220"/>
          </w:cols>
          <w:pgMar w:left="820" w:top="265" w:right="859" w:bottom="1440" w:gutter="0" w:footer="0" w:header="0"/>
        </w:sectPr>
      </w:pPr>
    </w:p>
    <w:bookmarkStart w:id="359" w:name="page360"/>
    <w:bookmarkEnd w:id="359"/>
    <w:p>
      <w:pPr>
        <w:ind w:right="40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 shall be a defense that the Indemnitee has not met any applicable standard for indemnification set forth in the DGCL.</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9.8 LIMITATIONS.</w:t>
      </w:r>
    </w:p>
    <w:p>
      <w:pPr>
        <w:spacing w:after="0" w:line="106" w:lineRule="exact"/>
        <w:rPr>
          <w:sz w:val="20"/>
          <w:szCs w:val="20"/>
          <w:color w:val="auto"/>
        </w:rPr>
      </w:pPr>
    </w:p>
    <w:p>
      <w:pPr>
        <w:ind w:firstLine="409"/>
        <w:spacing w:after="0" w:line="290" w:lineRule="auto"/>
        <w:rPr>
          <w:sz w:val="20"/>
          <w:szCs w:val="20"/>
          <w:color w:val="auto"/>
        </w:rPr>
      </w:pPr>
      <w:r>
        <w:rPr>
          <w:rFonts w:ascii="Arial" w:cs="Arial" w:eastAsia="Arial" w:hAnsi="Arial"/>
          <w:sz w:val="15"/>
          <w:szCs w:val="15"/>
          <w:color w:val="auto"/>
        </w:rPr>
        <w:t>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9.9 SUBSEQUENT AMENDMENT.</w:t>
      </w:r>
    </w:p>
    <w:p>
      <w:pPr>
        <w:spacing w:after="0" w:line="106" w:lineRule="exact"/>
        <w:rPr>
          <w:sz w:val="20"/>
          <w:szCs w:val="20"/>
          <w:color w:val="auto"/>
        </w:rPr>
      </w:pPr>
    </w:p>
    <w:p>
      <w:pPr>
        <w:jc w:val="both"/>
        <w:ind w:right="200" w:firstLine="409"/>
        <w:spacing w:after="0" w:line="253" w:lineRule="auto"/>
        <w:rPr>
          <w:sz w:val="20"/>
          <w:szCs w:val="20"/>
          <w:color w:val="auto"/>
        </w:rPr>
      </w:pPr>
      <w:r>
        <w:rPr>
          <w:rFonts w:ascii="Arial" w:cs="Arial" w:eastAsia="Arial" w:hAnsi="Arial"/>
          <w:sz w:val="17"/>
          <w:szCs w:val="17"/>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9.10 OTHER RIGHTS.</w:t>
      </w:r>
    </w:p>
    <w:p>
      <w:pPr>
        <w:spacing w:after="0" w:line="106" w:lineRule="exact"/>
        <w:rPr>
          <w:sz w:val="20"/>
          <w:szCs w:val="20"/>
          <w:color w:val="auto"/>
        </w:rPr>
      </w:pPr>
    </w:p>
    <w:p>
      <w:pPr>
        <w:ind w:right="60" w:firstLine="409"/>
        <w:spacing w:after="0" w:line="266" w:lineRule="auto"/>
        <w:rPr>
          <w:sz w:val="20"/>
          <w:szCs w:val="20"/>
          <w:color w:val="auto"/>
        </w:rPr>
      </w:pPr>
      <w:r>
        <w:rPr>
          <w:rFonts w:ascii="Arial" w:cs="Arial" w:eastAsia="Arial" w:hAnsi="Arial"/>
          <w:sz w:val="16"/>
          <w:szCs w:val="16"/>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200"/>
          </w:cols>
          <w:pgMar w:left="820" w:top="265" w:right="879" w:bottom="1440" w:gutter="0" w:footer="0" w:header="0"/>
        </w:sectPr>
      </w:pPr>
    </w:p>
    <w:bookmarkStart w:id="360" w:name="page361"/>
    <w:bookmarkEnd w:id="36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9.11 PARTIAL INDEMNIFICATION.</w:t>
      </w:r>
    </w:p>
    <w:p>
      <w:pPr>
        <w:spacing w:after="0" w:line="106" w:lineRule="exact"/>
        <w:rPr>
          <w:sz w:val="20"/>
          <w:szCs w:val="20"/>
          <w:color w:val="auto"/>
        </w:rPr>
      </w:pPr>
    </w:p>
    <w:p>
      <w:pPr>
        <w:ind w:firstLine="409"/>
        <w:spacing w:after="0" w:line="268" w:lineRule="auto"/>
        <w:rPr>
          <w:sz w:val="20"/>
          <w:szCs w:val="20"/>
          <w:color w:val="auto"/>
        </w:rPr>
      </w:pPr>
      <w:r>
        <w:rPr>
          <w:rFonts w:ascii="Arial" w:cs="Arial" w:eastAsia="Arial" w:hAnsi="Arial"/>
          <w:sz w:val="16"/>
          <w:szCs w:val="16"/>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9.12 INSURANCE.</w:t>
      </w:r>
    </w:p>
    <w:p>
      <w:pPr>
        <w:spacing w:after="0" w:line="106" w:lineRule="exact"/>
        <w:rPr>
          <w:sz w:val="20"/>
          <w:szCs w:val="20"/>
          <w:color w:val="auto"/>
        </w:rPr>
      </w:pPr>
    </w:p>
    <w:p>
      <w:pPr>
        <w:ind w:firstLine="409"/>
        <w:spacing w:after="0" w:line="274" w:lineRule="auto"/>
        <w:rPr>
          <w:sz w:val="20"/>
          <w:szCs w:val="20"/>
          <w:color w:val="auto"/>
        </w:rPr>
      </w:pPr>
      <w:r>
        <w:rPr>
          <w:rFonts w:ascii="Arial" w:cs="Arial" w:eastAsia="Arial" w:hAnsi="Arial"/>
          <w:sz w:val="16"/>
          <w:szCs w:val="16"/>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9.13 SAVINGS CLAUSE.</w:t>
      </w:r>
    </w:p>
    <w:p>
      <w:pPr>
        <w:spacing w:after="0" w:line="106" w:lineRule="exact"/>
        <w:rPr>
          <w:sz w:val="20"/>
          <w:szCs w:val="20"/>
          <w:color w:val="auto"/>
        </w:rPr>
      </w:pPr>
    </w:p>
    <w:p>
      <w:pPr>
        <w:ind w:right="60" w:firstLine="409"/>
        <w:spacing w:after="0" w:line="269" w:lineRule="auto"/>
        <w:rPr>
          <w:sz w:val="20"/>
          <w:szCs w:val="20"/>
          <w:color w:val="auto"/>
        </w:rPr>
      </w:pPr>
      <w:r>
        <w:rPr>
          <w:rFonts w:ascii="Arial" w:cs="Arial" w:eastAsia="Arial" w:hAnsi="Arial"/>
          <w:sz w:val="16"/>
          <w:szCs w:val="16"/>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9.14 DEFINITIONS.</w:t>
      </w:r>
    </w:p>
    <w:p>
      <w:pPr>
        <w:spacing w:after="0" w:line="106" w:lineRule="exact"/>
        <w:rPr>
          <w:sz w:val="20"/>
          <w:szCs w:val="20"/>
          <w:color w:val="auto"/>
        </w:rPr>
      </w:pPr>
    </w:p>
    <w:p>
      <w:pPr>
        <w:ind w:right="120" w:firstLine="409"/>
        <w:spacing w:after="0" w:line="268" w:lineRule="auto"/>
        <w:rPr>
          <w:sz w:val="20"/>
          <w:szCs w:val="20"/>
          <w:color w:val="auto"/>
        </w:rPr>
      </w:pPr>
      <w:r>
        <w:rPr>
          <w:rFonts w:ascii="Arial" w:cs="Arial" w:eastAsia="Arial" w:hAnsi="Arial"/>
          <w:sz w:val="17"/>
          <w:szCs w:val="17"/>
          <w:color w:val="auto"/>
        </w:rPr>
        <w:t>Terms used in this Article IX and defined in Section 145(h) and Section 145(i) of the DGCL shall have the respective meanings assigned to such terms in such Section 145(h) and Section 145(i).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220"/>
          </w:cols>
          <w:pgMar w:left="820" w:top="265" w:right="859" w:bottom="1440" w:gutter="0" w:footer="0" w:header="0"/>
        </w:sectPr>
      </w:pPr>
    </w:p>
    <w:bookmarkStart w:id="361" w:name="page362"/>
    <w:bookmarkEnd w:id="36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ARTICLE X - AMENDMENTS.</w:t>
      </w:r>
    </w:p>
    <w:p>
      <w:pPr>
        <w:spacing w:after="0" w:line="210" w:lineRule="exact"/>
        <w:rPr>
          <w:sz w:val="20"/>
          <w:szCs w:val="20"/>
          <w:color w:val="auto"/>
        </w:rPr>
      </w:pPr>
    </w:p>
    <w:p>
      <w:pPr>
        <w:ind w:firstLine="409"/>
        <w:spacing w:after="0" w:line="271" w:lineRule="auto"/>
        <w:rPr>
          <w:sz w:val="20"/>
          <w:szCs w:val="20"/>
          <w:color w:val="auto"/>
        </w:rPr>
      </w:pPr>
      <w:r>
        <w:rPr>
          <w:rFonts w:ascii="Arial" w:cs="Arial" w:eastAsia="Arial" w:hAnsi="Arial"/>
          <w:sz w:val="16"/>
          <w:szCs w:val="16"/>
          <w:color w:val="auto"/>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addition to any vote of the holders of any class or series of stock of the Corporation required by law or by the certificate of incorporation, such action by stockholders shall require the affirmative vote of the holders of at least two-thirds in voting power of the outstanding shares of capital stock of the Corporation entitled to vote thereon.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220"/>
          </w:cols>
          <w:pgMar w:left="820" w:top="261" w:right="859" w:bottom="1440" w:gutter="0" w:footer="0" w:header="0"/>
        </w:sectPr>
      </w:pPr>
    </w:p>
    <w:bookmarkStart w:id="362" w:name="page363"/>
    <w:bookmarkEnd w:id="362"/>
    <w:p>
      <w:pPr>
        <w:ind w:left="8840"/>
        <w:spacing w:after="0"/>
        <w:rPr>
          <w:sz w:val="20"/>
          <w:szCs w:val="20"/>
          <w:color w:val="auto"/>
        </w:rPr>
      </w:pPr>
      <w:r>
        <w:rPr>
          <w:rFonts w:ascii="Arial" w:cs="Arial" w:eastAsia="Arial" w:hAnsi="Arial"/>
          <w:sz w:val="15"/>
          <w:szCs w:val="15"/>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28575</wp:posOffset>
            </wp:positionV>
            <wp:extent cx="6881495" cy="47110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6881495" cy="4711065"/>
                    </a:xfrm>
                    <a:prstGeom prst="rect">
                      <a:avLst/>
                    </a:prstGeom>
                    <a:noFill/>
                  </pic:spPr>
                </pic:pic>
              </a:graphicData>
            </a:graphic>
          </wp:anchor>
        </w:drawing>
      </w:r>
    </w:p>
    <w:p>
      <w:pPr>
        <w:sectPr>
          <w:pgSz w:w="11900" w:h="16838" w:orient="portrait"/>
          <w:cols w:equalWidth="0" w:num="1">
            <w:col w:w="9620"/>
          </w:cols>
          <w:pgMar w:left="1440" w:top="123" w:right="839" w:bottom="1440"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64643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157720" cy="6464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7"/>
                <w:szCs w:val="17"/>
                <w:b w:val="1"/>
                <w:bCs w:val="1"/>
                <w:color w:val="auto"/>
                <w:w w:val="89"/>
              </w:rPr>
              <w:t>Exhibit 4.3</w:t>
            </w:r>
          </w:p>
        </w:tc>
        <w:tc>
          <w:tcPr>
            <w:tcW w:w="0" w:type="dxa"/>
            <w:vAlign w:val="bottom"/>
          </w:tcPr>
          <w:p>
            <w:pPr>
              <w:spacing w:after="0"/>
              <w:rPr>
                <w:sz w:val="1"/>
                <w:szCs w:val="1"/>
                <w:color w:val="auto"/>
              </w:rPr>
            </w:pPr>
          </w:p>
        </w:tc>
      </w:tr>
      <w:tr>
        <w:trPr>
          <w:trHeight w:val="385"/>
        </w:trPr>
        <w:tc>
          <w:tcPr>
            <w:tcW w:w="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7"/>
              </w:rPr>
              <w:t>Schedule of Holders of</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8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89"/>
              </w:rPr>
              <w:t>Warrants to Purchase Common Stock</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3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Holder</w:t>
            </w:r>
          </w:p>
        </w:tc>
        <w:tc>
          <w:tcPr>
            <w:tcW w:w="2000" w:type="dxa"/>
            <w:vAlign w:val="bottom"/>
          </w:tcPr>
          <w:p>
            <w:pPr>
              <w:spacing w:after="0"/>
              <w:rPr>
                <w:sz w:val="24"/>
                <w:szCs w:val="2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Warrant</w:t>
            </w:r>
          </w:p>
        </w:tc>
        <w:tc>
          <w:tcPr>
            <w:tcW w:w="1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Number of Shares</w:t>
            </w: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9"/>
              </w:rPr>
              <w:t>Issuance Date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Expiration Date /</w:t>
            </w:r>
          </w:p>
        </w:tc>
        <w:tc>
          <w:tcPr>
            <w:tcW w:w="0" w:type="dxa"/>
            <w:vAlign w:val="bottom"/>
          </w:tcPr>
          <w:p>
            <w:pPr>
              <w:spacing w:after="0"/>
              <w:rPr>
                <w:sz w:val="1"/>
                <w:szCs w:val="1"/>
                <w:color w:val="auto"/>
              </w:rPr>
            </w:pPr>
          </w:p>
        </w:tc>
      </w:tr>
      <w:tr>
        <w:trPr>
          <w:trHeight w:val="146"/>
        </w:trPr>
        <w:tc>
          <w:tcPr>
            <w:tcW w:w="376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5"/>
              </w:rPr>
              <w:t>No.</w:t>
            </w:r>
          </w:p>
        </w:tc>
        <w:tc>
          <w:tcPr>
            <w:tcW w:w="14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Void After</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60" w:type="dxa"/>
            <w:vAlign w:val="bottom"/>
            <w:gridSpan w:val="2"/>
          </w:tcPr>
          <w:p>
            <w:pPr>
              <w:spacing w:after="0" w:line="174" w:lineRule="exact"/>
              <w:rPr>
                <w:sz w:val="20"/>
                <w:szCs w:val="20"/>
                <w:color w:val="auto"/>
              </w:rPr>
            </w:pPr>
            <w:r>
              <w:rPr>
                <w:rFonts w:ascii="Arial" w:cs="Arial" w:eastAsia="Arial" w:hAnsi="Arial"/>
                <w:sz w:val="17"/>
                <w:szCs w:val="17"/>
                <w:color w:val="auto"/>
              </w:rPr>
              <w:t>ArrowMark Fundamental Opportunity Fund, L.P.</w:t>
            </w:r>
          </w:p>
        </w:tc>
        <w:tc>
          <w:tcPr>
            <w:tcW w:w="2000" w:type="dxa"/>
            <w:vAlign w:val="bottom"/>
          </w:tcPr>
          <w:p>
            <w:pPr>
              <w:spacing w:after="0"/>
              <w:rPr>
                <w:sz w:val="15"/>
                <w:szCs w:val="15"/>
                <w:color w:val="auto"/>
              </w:rPr>
            </w:pPr>
          </w:p>
        </w:tc>
        <w:tc>
          <w:tcPr>
            <w:tcW w:w="500" w:type="dxa"/>
            <w:vAlign w:val="bottom"/>
          </w:tcPr>
          <w:p>
            <w:pPr>
              <w:jc w:val="center"/>
              <w:spacing w:after="0" w:line="174" w:lineRule="exact"/>
              <w:rPr>
                <w:sz w:val="20"/>
                <w:szCs w:val="20"/>
                <w:color w:val="auto"/>
              </w:rPr>
            </w:pPr>
            <w:r>
              <w:rPr>
                <w:rFonts w:ascii="Arial" w:cs="Arial" w:eastAsia="Arial" w:hAnsi="Arial"/>
                <w:sz w:val="17"/>
                <w:szCs w:val="17"/>
                <w:color w:val="auto"/>
                <w:w w:val="98"/>
              </w:rPr>
              <w:t>1-A</w:t>
            </w:r>
          </w:p>
        </w:tc>
        <w:tc>
          <w:tcPr>
            <w:tcW w:w="380" w:type="dxa"/>
            <w:vAlign w:val="bottom"/>
          </w:tcPr>
          <w:p>
            <w:pPr>
              <w:spacing w:after="0"/>
              <w:rPr>
                <w:sz w:val="15"/>
                <w:szCs w:val="15"/>
                <w:color w:val="auto"/>
              </w:rPr>
            </w:pPr>
          </w:p>
        </w:tc>
        <w:tc>
          <w:tcPr>
            <w:tcW w:w="1040" w:type="dxa"/>
            <w:vAlign w:val="bottom"/>
          </w:tcPr>
          <w:p>
            <w:pPr>
              <w:jc w:val="right"/>
              <w:spacing w:after="0" w:line="174" w:lineRule="exact"/>
              <w:rPr>
                <w:sz w:val="20"/>
                <w:szCs w:val="20"/>
                <w:color w:val="auto"/>
              </w:rPr>
            </w:pPr>
            <w:r>
              <w:rPr>
                <w:rFonts w:ascii="Arial" w:cs="Arial" w:eastAsia="Arial" w:hAnsi="Arial"/>
                <w:sz w:val="17"/>
                <w:szCs w:val="17"/>
                <w:color w:val="auto"/>
              </w:rPr>
              <w:t>11,208</w:t>
            </w:r>
          </w:p>
        </w:tc>
        <w:tc>
          <w:tcPr>
            <w:tcW w:w="400" w:type="dxa"/>
            <w:vAlign w:val="bottom"/>
          </w:tcPr>
          <w:p>
            <w:pPr>
              <w:spacing w:after="0"/>
              <w:rPr>
                <w:sz w:val="15"/>
                <w:szCs w:val="15"/>
                <w:color w:val="auto"/>
              </w:rPr>
            </w:pPr>
          </w:p>
        </w:tc>
        <w:tc>
          <w:tcPr>
            <w:tcW w:w="800" w:type="dxa"/>
            <w:vAlign w:val="bottom"/>
          </w:tcPr>
          <w:p>
            <w:pPr>
              <w:jc w:val="center"/>
              <w:spacing w:after="0" w:line="174" w:lineRule="exact"/>
              <w:rPr>
                <w:sz w:val="20"/>
                <w:szCs w:val="20"/>
                <w:color w:val="auto"/>
              </w:rPr>
            </w:pPr>
            <w:r>
              <w:rPr>
                <w:rFonts w:ascii="Arial" w:cs="Arial" w:eastAsia="Arial" w:hAnsi="Arial"/>
                <w:sz w:val="17"/>
                <w:szCs w:val="17"/>
                <w:color w:val="auto"/>
                <w:w w:val="89"/>
              </w:rPr>
              <w:t>1/10/2020</w:t>
            </w:r>
          </w:p>
        </w:tc>
        <w:tc>
          <w:tcPr>
            <w:tcW w:w="380" w:type="dxa"/>
            <w:vAlign w:val="bottom"/>
          </w:tcPr>
          <w:p>
            <w:pPr>
              <w:spacing w:after="0"/>
              <w:rPr>
                <w:sz w:val="15"/>
                <w:szCs w:val="15"/>
                <w:color w:val="auto"/>
              </w:rPr>
            </w:pPr>
          </w:p>
        </w:tc>
        <w:tc>
          <w:tcPr>
            <w:tcW w:w="980" w:type="dxa"/>
            <w:vAlign w:val="bottom"/>
          </w:tcPr>
          <w:p>
            <w:pPr>
              <w:jc w:val="center"/>
              <w:spacing w:after="0" w:line="174" w:lineRule="exact"/>
              <w:rPr>
                <w:sz w:val="20"/>
                <w:szCs w:val="20"/>
                <w:color w:val="auto"/>
              </w:rPr>
            </w:pPr>
            <w:r>
              <w:rPr>
                <w:rFonts w:ascii="Arial" w:cs="Arial" w:eastAsia="Arial" w:hAnsi="Arial"/>
                <w:sz w:val="17"/>
                <w:szCs w:val="17"/>
                <w:color w:val="auto"/>
                <w:w w:val="87"/>
              </w:rPr>
              <w:t>1/10/2030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Meridian Small Cap Growth Fund</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1-B</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22,416</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1/10/2020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1/10/2030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Intersouth Partners VII, L.P.</w:t>
            </w:r>
          </w:p>
        </w:tc>
        <w:tc>
          <w:tcPr>
            <w:tcW w:w="2500" w:type="dxa"/>
            <w:vAlign w:val="bottom"/>
            <w:gridSpan w:val="2"/>
          </w:tcPr>
          <w:p>
            <w:pPr>
              <w:jc w:val="center"/>
              <w:ind w:left="1936"/>
              <w:spacing w:after="0"/>
              <w:rPr>
                <w:sz w:val="20"/>
                <w:szCs w:val="20"/>
                <w:color w:val="auto"/>
              </w:rPr>
            </w:pPr>
            <w:r>
              <w:rPr>
                <w:rFonts w:ascii="Arial" w:cs="Arial" w:eastAsia="Arial" w:hAnsi="Arial"/>
                <w:sz w:val="17"/>
                <w:szCs w:val="17"/>
                <w:color w:val="auto"/>
                <w:w w:val="84"/>
              </w:rPr>
              <w:t>2</w:t>
            </w:r>
          </w:p>
        </w:tc>
        <w:tc>
          <w:tcPr>
            <w:tcW w:w="380" w:type="dxa"/>
            <w:vAlign w:val="bottom"/>
          </w:tcPr>
          <w:p>
            <w:pPr>
              <w:spacing w:after="0"/>
              <w:rPr>
                <w:sz w:val="17"/>
                <w:szCs w:val="17"/>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8,966</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1/10/2020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1/10/2030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North Bridge Venture Partners V-A, L.P.</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3-A</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21,060</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1/17/2020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1/17/2030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North Bridge Venture Partners V-B, L.P.</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3-B</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10,322</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1/17/2020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1/17/2030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North Bridge Venture Partners VI, L.P</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3-C</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13,449</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1/17/2020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1/17/2030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Polaris Venture Partners V, L.P.</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4-A</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17,304</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1/10/2020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1/10/2030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w w:val="93"/>
              </w:rPr>
              <w:t>Polaris Venture Partners Entrepreneurs’ Fund V, L.P.</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4-B</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337</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1/10/2020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1/10/2030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Polaris Venture Partners Founders’ Fund V, L.P.</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4-C</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118</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1/10/2020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1/10/2030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w w:val="87"/>
              </w:rPr>
              <w:t>Polaris Venture Partners Special Founders’ Fund V, L.P.</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4-D</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173</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1/10/2020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1/10/2030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Perceptive Life Sciences Master Fund, Ltd</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5-A</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141,221</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1/17/2020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1/17/2030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Perceptive LS (A), LLC</w:t>
            </w:r>
          </w:p>
        </w:tc>
        <w:tc>
          <w:tcPr>
            <w:tcW w:w="20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5-B</w:t>
            </w: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339,604</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1/17/2020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1/17/2030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RA Capital Healthcare Fund, L.P.</w:t>
            </w:r>
          </w:p>
        </w:tc>
        <w:tc>
          <w:tcPr>
            <w:tcW w:w="2500" w:type="dxa"/>
            <w:vAlign w:val="bottom"/>
            <w:gridSpan w:val="2"/>
          </w:tcPr>
          <w:p>
            <w:pPr>
              <w:jc w:val="center"/>
              <w:ind w:left="1936"/>
              <w:spacing w:after="0"/>
              <w:rPr>
                <w:sz w:val="20"/>
                <w:szCs w:val="20"/>
                <w:color w:val="auto"/>
              </w:rPr>
            </w:pPr>
            <w:r>
              <w:rPr>
                <w:rFonts w:ascii="Arial" w:cs="Arial" w:eastAsia="Arial" w:hAnsi="Arial"/>
                <w:sz w:val="17"/>
                <w:szCs w:val="17"/>
                <w:color w:val="auto"/>
                <w:w w:val="84"/>
              </w:rPr>
              <w:t>6</w:t>
            </w:r>
          </w:p>
        </w:tc>
        <w:tc>
          <w:tcPr>
            <w:tcW w:w="380" w:type="dxa"/>
            <w:vAlign w:val="bottom"/>
          </w:tcPr>
          <w:p>
            <w:pPr>
              <w:spacing w:after="0"/>
              <w:rPr>
                <w:sz w:val="17"/>
                <w:szCs w:val="17"/>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11,208</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1/17/2020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1/17/2030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Soleus Private Equity Fund I, L.P.</w:t>
            </w:r>
          </w:p>
        </w:tc>
        <w:tc>
          <w:tcPr>
            <w:tcW w:w="2500" w:type="dxa"/>
            <w:vAlign w:val="bottom"/>
            <w:gridSpan w:val="2"/>
          </w:tcPr>
          <w:p>
            <w:pPr>
              <w:jc w:val="center"/>
              <w:ind w:left="1936"/>
              <w:spacing w:after="0"/>
              <w:rPr>
                <w:sz w:val="20"/>
                <w:szCs w:val="20"/>
                <w:color w:val="auto"/>
              </w:rPr>
            </w:pPr>
            <w:r>
              <w:rPr>
                <w:rFonts w:ascii="Arial" w:cs="Arial" w:eastAsia="Arial" w:hAnsi="Arial"/>
                <w:sz w:val="17"/>
                <w:szCs w:val="17"/>
                <w:color w:val="auto"/>
                <w:w w:val="84"/>
              </w:rPr>
              <w:t>7</w:t>
            </w:r>
          </w:p>
        </w:tc>
        <w:tc>
          <w:tcPr>
            <w:tcW w:w="380" w:type="dxa"/>
            <w:vAlign w:val="bottom"/>
          </w:tcPr>
          <w:p>
            <w:pPr>
              <w:spacing w:after="0"/>
              <w:rPr>
                <w:sz w:val="17"/>
                <w:szCs w:val="17"/>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31,382</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1/27/2020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1/27/2030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Emmant, LLC</w:t>
            </w:r>
          </w:p>
        </w:tc>
        <w:tc>
          <w:tcPr>
            <w:tcW w:w="2500" w:type="dxa"/>
            <w:vAlign w:val="bottom"/>
            <w:gridSpan w:val="2"/>
          </w:tcPr>
          <w:p>
            <w:pPr>
              <w:jc w:val="center"/>
              <w:ind w:left="1936"/>
              <w:spacing w:after="0"/>
              <w:rPr>
                <w:sz w:val="20"/>
                <w:szCs w:val="20"/>
                <w:color w:val="auto"/>
              </w:rPr>
            </w:pPr>
            <w:r>
              <w:rPr>
                <w:rFonts w:ascii="Arial" w:cs="Arial" w:eastAsia="Arial" w:hAnsi="Arial"/>
                <w:sz w:val="17"/>
                <w:szCs w:val="17"/>
                <w:color w:val="auto"/>
                <w:w w:val="84"/>
              </w:rPr>
              <w:t>8</w:t>
            </w:r>
          </w:p>
        </w:tc>
        <w:tc>
          <w:tcPr>
            <w:tcW w:w="380" w:type="dxa"/>
            <w:vAlign w:val="bottom"/>
          </w:tcPr>
          <w:p>
            <w:pPr>
              <w:spacing w:after="0"/>
              <w:rPr>
                <w:sz w:val="17"/>
                <w:szCs w:val="17"/>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2,052</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1/31/2020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1/31/2030</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7"/>
                <w:szCs w:val="17"/>
                <w:color w:val="auto"/>
              </w:rPr>
              <w:t>Clifton Capital LP</w:t>
            </w:r>
          </w:p>
        </w:tc>
        <w:tc>
          <w:tcPr>
            <w:tcW w:w="2500" w:type="dxa"/>
            <w:vAlign w:val="bottom"/>
            <w:gridSpan w:val="2"/>
          </w:tcPr>
          <w:p>
            <w:pPr>
              <w:jc w:val="center"/>
              <w:ind w:left="1936"/>
              <w:spacing w:after="0"/>
              <w:rPr>
                <w:sz w:val="20"/>
                <w:szCs w:val="20"/>
                <w:color w:val="auto"/>
              </w:rPr>
            </w:pPr>
            <w:r>
              <w:rPr>
                <w:rFonts w:ascii="Arial" w:cs="Arial" w:eastAsia="Arial" w:hAnsi="Arial"/>
                <w:sz w:val="17"/>
                <w:szCs w:val="17"/>
                <w:color w:val="auto"/>
                <w:w w:val="84"/>
              </w:rPr>
              <w:t>9</w:t>
            </w:r>
          </w:p>
        </w:tc>
        <w:tc>
          <w:tcPr>
            <w:tcW w:w="380" w:type="dxa"/>
            <w:vAlign w:val="bottom"/>
          </w:tcPr>
          <w:p>
            <w:pPr>
              <w:spacing w:after="0"/>
              <w:rPr>
                <w:sz w:val="17"/>
                <w:szCs w:val="17"/>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44,832</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1/29/2020</w:t>
            </w:r>
          </w:p>
        </w:tc>
        <w:tc>
          <w:tcPr>
            <w:tcW w:w="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1/29/2030</w:t>
            </w:r>
          </w:p>
        </w:tc>
        <w:tc>
          <w:tcPr>
            <w:tcW w:w="0" w:type="dxa"/>
            <w:vAlign w:val="bottom"/>
          </w:tcPr>
          <w:p>
            <w:pPr>
              <w:spacing w:after="0"/>
              <w:rPr>
                <w:sz w:val="1"/>
                <w:szCs w:val="1"/>
                <w:color w:val="auto"/>
              </w:rPr>
            </w:pPr>
          </w:p>
        </w:tc>
      </w:tr>
      <w:tr>
        <w:trPr>
          <w:trHeight w:val="213"/>
        </w:trPr>
        <w:tc>
          <w:tcPr>
            <w:tcW w:w="3760" w:type="dxa"/>
            <w:vAlign w:val="bottom"/>
            <w:gridSpan w:val="2"/>
          </w:tcPr>
          <w:p>
            <w:pPr>
              <w:spacing w:after="0"/>
              <w:rPr>
                <w:sz w:val="20"/>
                <w:szCs w:val="20"/>
                <w:color w:val="auto"/>
              </w:rPr>
            </w:pPr>
            <w:r>
              <w:rPr>
                <w:rFonts w:ascii="Arial" w:cs="Arial" w:eastAsia="Arial" w:hAnsi="Arial"/>
                <w:sz w:val="17"/>
                <w:szCs w:val="17"/>
                <w:color w:val="auto"/>
              </w:rPr>
              <w:t>RFA Holding LLC</w:t>
            </w:r>
          </w:p>
        </w:tc>
        <w:tc>
          <w:tcPr>
            <w:tcW w:w="2500" w:type="dxa"/>
            <w:vAlign w:val="bottom"/>
            <w:gridSpan w:val="2"/>
          </w:tcPr>
          <w:p>
            <w:pPr>
              <w:jc w:val="center"/>
              <w:ind w:left="1936"/>
              <w:spacing w:after="0"/>
              <w:rPr>
                <w:sz w:val="20"/>
                <w:szCs w:val="20"/>
                <w:color w:val="auto"/>
              </w:rPr>
            </w:pPr>
            <w:r>
              <w:rPr>
                <w:rFonts w:ascii="Arial" w:cs="Arial" w:eastAsia="Arial" w:hAnsi="Arial"/>
                <w:sz w:val="17"/>
                <w:szCs w:val="17"/>
                <w:color w:val="auto"/>
                <w:w w:val="84"/>
              </w:rPr>
              <w:t>11</w:t>
            </w:r>
          </w:p>
        </w:tc>
        <w:tc>
          <w:tcPr>
            <w:tcW w:w="3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7"/>
                <w:szCs w:val="17"/>
                <w:color w:val="auto"/>
              </w:rPr>
              <w:t>5,604</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1/29/2020</w:t>
            </w:r>
          </w:p>
        </w:tc>
        <w:tc>
          <w:tcPr>
            <w:tcW w:w="3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1/29/2030</w:t>
            </w:r>
          </w:p>
        </w:tc>
        <w:tc>
          <w:tcPr>
            <w:tcW w:w="0" w:type="dxa"/>
            <w:vAlign w:val="bottom"/>
          </w:tcPr>
          <w:p>
            <w:pPr>
              <w:spacing w:after="0"/>
              <w:rPr>
                <w:sz w:val="1"/>
                <w:szCs w:val="1"/>
                <w:color w:val="auto"/>
              </w:rPr>
            </w:pPr>
          </w:p>
        </w:tc>
      </w:tr>
    </w:tbl>
    <w:p>
      <w:pPr>
        <w:sectPr>
          <w:pgSz w:w="11900" w:h="16838" w:orient="portrait"/>
          <w:cols w:equalWidth="0" w:num="1">
            <w:col w:w="10240"/>
          </w:cols>
          <w:pgMar w:left="820" w:top="123" w:right="839" w:bottom="1440" w:gutter="0" w:footer="0" w:header="0"/>
        </w:sectPr>
      </w:pPr>
    </w:p>
    <w:bookmarkStart w:id="365" w:name="page366"/>
    <w:bookmarkEnd w:id="365"/>
    <w:p>
      <w:pPr>
        <w:ind w:right="60"/>
        <w:spacing w:after="0" w:line="24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THIS WARRANT AND THE UNDERLYING SECURITIES HAVE BEEN ACQUIRED FOR INVESTMENT AND HAS NOT BEEN REGISTERED UNDER THE SECURITIES ACT OF 1933, AS AMENDED. THIS WARRANT AND THE UNDERLYING SECURITIES MAY NOT BE SOLD OR TRANSFERRED WITHOUT (I) AN EFFECTIVE REGISTRATION STATEMENT RELATED THERETO, (II) AN OPINION OF COUNSEL FOR THE HOLDER, SATISFACTORY TO THE COMPANY, THAT SUCH REGISTRATION IS NOT REQUIRED UNDER THE ACT OR (III) RECEIPT OF A NO ACTION LETTER FROM THE SECURITIES AND EXCHANGE COMMISSION. COPIES OF THE AGREEMENT COVERING THE ACQUISITION OF THIS WARRANT AND RESTRICTING ITS TRANSFER MAY BE OBTAINED AT NO COST BY WRITTEN REQUEST MADE BY THE HOLDER OF RECORD OF THIS WARRANT TO THE SECRETARY OF THE COMPANY AT THE PRINCIPAL EXECUTIVE OFFICES OF THE COMPANY.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Void after _________________</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LYRA THERAPEUTICS, INC.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WARRANT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No. __</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THIS CERTIFIES THAT, for value received, ___________ or its registered assigns (hereinafter called the “</w:t>
      </w:r>
      <w:r>
        <w:rPr>
          <w:rFonts w:ascii="Arial" w:cs="Arial" w:eastAsia="Arial" w:hAnsi="Arial"/>
          <w:sz w:val="15"/>
          <w:szCs w:val="15"/>
          <w:u w:val="single" w:color="auto"/>
          <w:color w:val="auto"/>
        </w:rPr>
        <w:t>Holder</w:t>
      </w:r>
      <w:r>
        <w:rPr>
          <w:rFonts w:ascii="Arial" w:cs="Arial" w:eastAsia="Arial" w:hAnsi="Arial"/>
          <w:sz w:val="15"/>
          <w:szCs w:val="15"/>
          <w:color w:val="auto"/>
        </w:rPr>
        <w:t>”) is entitled to purchase from</w:t>
      </w:r>
    </w:p>
    <w:p>
      <w:pPr>
        <w:spacing w:after="0" w:line="41"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Lyra Therapeutics, Inc., a Delaware corporation, with its principal place of business at 480 Arsenal Way, Watertown, MA 02472 (the “</w:t>
      </w:r>
      <w:r>
        <w:rPr>
          <w:rFonts w:ascii="Arial" w:cs="Arial" w:eastAsia="Arial" w:hAnsi="Arial"/>
          <w:sz w:val="17"/>
          <w:szCs w:val="17"/>
          <w:u w:val="single" w:color="auto"/>
          <w:color w:val="auto"/>
        </w:rPr>
        <w:t>Company</w:t>
      </w:r>
      <w:r>
        <w:rPr>
          <w:rFonts w:ascii="Arial" w:cs="Arial" w:eastAsia="Arial" w:hAnsi="Arial"/>
          <w:sz w:val="17"/>
          <w:szCs w:val="17"/>
          <w:color w:val="auto"/>
        </w:rPr>
        <w:t>”), at any time after the date specified in Section 1 hereof and ending at 5:00 p.m. Eastern Time on the Expiration Date, as such term is defined in Section 1 hereof, up to ______ shares of the Company’s common stock, par value $0.001 per share (the “Common Stock”), subject to adjustment as set forth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is being issued pursuant to the terms of that certain Series C Convertible Preferred Stock and Warrant Purchase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Agreement, dated as of January 10, 2020, by and among, the Company and the purchasers set forth on Schedule A therein (the “</w:t>
      </w:r>
      <w:r>
        <w:rPr>
          <w:rFonts w:ascii="Arial" w:cs="Arial" w:eastAsia="Arial" w:hAnsi="Arial"/>
          <w:sz w:val="15"/>
          <w:szCs w:val="15"/>
          <w:b w:val="1"/>
          <w:bCs w:val="1"/>
          <w:color w:val="auto"/>
        </w:rPr>
        <w:t>Purchase Agreement</w:t>
      </w:r>
      <w:r>
        <w:rPr>
          <w:rFonts w:ascii="Arial" w:cs="Arial" w:eastAsia="Arial" w:hAnsi="Arial"/>
          <w:sz w:val="15"/>
          <w:szCs w:val="15"/>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This Warrant may be exercised in whole or in part, at any time through to the Expiration Date (as defined below) at the option of the Holder.</w:t>
      </w:r>
    </w:p>
    <w:p>
      <w:pPr>
        <w:spacing w:after="0" w:line="201" w:lineRule="exact"/>
        <w:rPr>
          <w:sz w:val="20"/>
          <w:szCs w:val="20"/>
          <w:color w:val="auto"/>
        </w:rPr>
      </w:pPr>
    </w:p>
    <w:p>
      <w:pPr>
        <w:ind w:right="180" w:firstLine="412"/>
        <w:spacing w:after="0" w:line="273" w:lineRule="auto"/>
        <w:tabs>
          <w:tab w:leader="none" w:pos="577" w:val="left"/>
        </w:tabs>
        <w:numPr>
          <w:ilvl w:val="0"/>
          <w:numId w:val="294"/>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As used herein, the following terms shall have the following respective meanings. Any capitalized terms not defined herein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meaning given to them in the Purchase Agreement.</w:t>
      </w:r>
    </w:p>
    <w:p>
      <w:pPr>
        <w:spacing w:after="0" w:line="161" w:lineRule="exact"/>
        <w:rPr>
          <w:rFonts w:ascii="Arial" w:cs="Arial" w:eastAsia="Arial" w:hAnsi="Arial"/>
          <w:sz w:val="17"/>
          <w:szCs w:val="17"/>
          <w:color w:val="auto"/>
        </w:rPr>
      </w:pPr>
    </w:p>
    <w:p>
      <w:pPr>
        <w:ind w:right="40" w:firstLine="924"/>
        <w:spacing w:after="0" w:line="274" w:lineRule="auto"/>
        <w:tabs>
          <w:tab w:leader="none" w:pos="1149"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shall mean the fair market value of the Company’s Common Stock following the Initial Closing (as determined by the Board of Directors, in good faith, based on the most recent independent third party valuation of the Company available following the Initial Closing performed pursuant to Section 409A of the Code, and taking into account any changes to the Company’s business between the date of such third party valuation and the Initial Closing), subject to adjustments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below.</w:t>
      </w:r>
    </w:p>
    <w:p>
      <w:pPr>
        <w:sectPr>
          <w:pgSz w:w="11900" w:h="16838" w:orient="portrait"/>
          <w:cols w:equalWidth="0" w:num="1">
            <w:col w:w="10240"/>
          </w:cols>
          <w:pgMar w:left="820" w:top="265" w:right="839" w:bottom="1440" w:gutter="0" w:footer="0" w:header="0"/>
        </w:sectPr>
      </w:pPr>
    </w:p>
    <w:bookmarkStart w:id="366" w:name="page367"/>
    <w:bookmarkEnd w:id="366"/>
    <w:p>
      <w:pPr>
        <w:jc w:val="both"/>
        <w:ind w:right="160" w:firstLine="924"/>
        <w:spacing w:after="0" w:line="257" w:lineRule="auto"/>
        <w:tabs>
          <w:tab w:leader="none" w:pos="1159" w:val="left"/>
        </w:tabs>
        <w:numPr>
          <w:ilvl w:val="1"/>
          <w:numId w:val="2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Subject to </w:t>
      </w:r>
      <w:r>
        <w:rPr>
          <w:rFonts w:ascii="Arial" w:cs="Arial" w:eastAsia="Arial" w:hAnsi="Arial"/>
          <w:sz w:val="17"/>
          <w:szCs w:val="17"/>
          <w:u w:val="single" w:color="auto"/>
          <w:color w:val="auto"/>
        </w:rPr>
        <w:t>Section 2</w:t>
      </w:r>
      <w:r>
        <w:rPr>
          <w:rFonts w:ascii="Arial" w:cs="Arial" w:eastAsia="Arial" w:hAnsi="Arial"/>
          <w:sz w:val="17"/>
          <w:szCs w:val="17"/>
          <w:color w:val="auto"/>
        </w:rPr>
        <w:t>, “</w:t>
      </w:r>
      <w:r>
        <w:rPr>
          <w:rFonts w:ascii="Arial" w:cs="Arial" w:eastAsia="Arial" w:hAnsi="Arial"/>
          <w:sz w:val="17"/>
          <w:szCs w:val="17"/>
          <w:u w:val="single" w:color="auto"/>
          <w:color w:val="auto"/>
        </w:rPr>
        <w:t>Expiration Date</w:t>
      </w:r>
      <w:r>
        <w:rPr>
          <w:rFonts w:ascii="Arial" w:cs="Arial" w:eastAsia="Arial" w:hAnsi="Arial"/>
          <w:sz w:val="17"/>
          <w:szCs w:val="17"/>
          <w:color w:val="auto"/>
        </w:rPr>
        <w:t>” shall mean the period ending on the earlier of (i) _________________, (ii) immediately prior to the closing of the initial public offering of Common Stock (“</w:t>
      </w:r>
      <w:r>
        <w:rPr>
          <w:rFonts w:ascii="Arial" w:cs="Arial" w:eastAsia="Arial" w:hAnsi="Arial"/>
          <w:sz w:val="17"/>
          <w:szCs w:val="17"/>
          <w:u w:val="single" w:color="auto"/>
          <w:color w:val="auto"/>
        </w:rPr>
        <w:t>IPO</w:t>
      </w:r>
      <w:r>
        <w:rPr>
          <w:rFonts w:ascii="Arial" w:cs="Arial" w:eastAsia="Arial" w:hAnsi="Arial"/>
          <w:sz w:val="17"/>
          <w:szCs w:val="17"/>
          <w:color w:val="auto"/>
        </w:rPr>
        <w:t>”), (iii) immediately prior to the closing of a Liquidation Transaction, or (iv) unless terminated earlier as provided below.</w:t>
      </w:r>
    </w:p>
    <w:p>
      <w:pPr>
        <w:spacing w:after="0" w:line="175" w:lineRule="exact"/>
        <w:rPr>
          <w:rFonts w:ascii="Arial" w:cs="Arial" w:eastAsia="Arial" w:hAnsi="Arial"/>
          <w:sz w:val="17"/>
          <w:szCs w:val="17"/>
          <w:color w:val="auto"/>
        </w:rPr>
      </w:pPr>
    </w:p>
    <w:p>
      <w:pPr>
        <w:ind w:right="560" w:firstLine="924"/>
        <w:spacing w:after="0" w:line="268" w:lineRule="auto"/>
        <w:tabs>
          <w:tab w:leader="none" w:pos="1149" w:val="left"/>
        </w:tabs>
        <w:numPr>
          <w:ilvl w:val="1"/>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Transaction</w:t>
      </w:r>
      <w:r>
        <w:rPr>
          <w:rFonts w:ascii="Arial" w:cs="Arial" w:eastAsia="Arial" w:hAnsi="Arial"/>
          <w:sz w:val="17"/>
          <w:szCs w:val="17"/>
          <w:color w:val="auto"/>
        </w:rPr>
        <w:t>” shall be deemed to be occasioned by, or to include, any Deemed Liquidation Event (as defined in the Amended and Restated Certificate of Incorporation of the Company, as in effect as of the date hereof).</w:t>
      </w:r>
    </w:p>
    <w:p>
      <w:pPr>
        <w:spacing w:after="0" w:line="165" w:lineRule="exact"/>
        <w:rPr>
          <w:rFonts w:ascii="Arial" w:cs="Arial" w:eastAsia="Arial" w:hAnsi="Arial"/>
          <w:sz w:val="17"/>
          <w:szCs w:val="17"/>
          <w:color w:val="auto"/>
        </w:rPr>
      </w:pPr>
    </w:p>
    <w:p>
      <w:pPr>
        <w:ind w:right="140" w:firstLine="924"/>
        <w:spacing w:after="0" w:line="268" w:lineRule="auto"/>
        <w:tabs>
          <w:tab w:leader="none" w:pos="1159" w:val="left"/>
        </w:tabs>
        <w:numPr>
          <w:ilvl w:val="1"/>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Shares</w:t>
      </w:r>
      <w:r>
        <w:rPr>
          <w:rFonts w:ascii="Arial" w:cs="Arial" w:eastAsia="Arial" w:hAnsi="Arial"/>
          <w:sz w:val="17"/>
          <w:szCs w:val="17"/>
          <w:color w:val="auto"/>
        </w:rPr>
        <w:t xml:space="preserve">” shall mean the shares of the Common Stock issuable upon exercise of this Warrant, subject to adjustments pursuant to the terms herein, including but not limited to adjustment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w:t>
      </w:r>
    </w:p>
    <w:p>
      <w:pPr>
        <w:spacing w:after="0" w:line="161" w:lineRule="exact"/>
        <w:rPr>
          <w:rFonts w:ascii="Arial" w:cs="Arial" w:eastAsia="Arial" w:hAnsi="Arial"/>
          <w:sz w:val="17"/>
          <w:szCs w:val="17"/>
          <w:color w:val="auto"/>
        </w:rPr>
      </w:pPr>
    </w:p>
    <w:p>
      <w:pPr>
        <w:ind w:firstLine="412"/>
        <w:spacing w:after="0" w:line="267" w:lineRule="auto"/>
        <w:tabs>
          <w:tab w:leader="none" w:pos="577" w:val="left"/>
        </w:tabs>
        <w:numPr>
          <w:ilvl w:val="0"/>
          <w:numId w:val="29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and Exercise Schedule</w:t>
      </w:r>
      <w:r>
        <w:rPr>
          <w:rFonts w:ascii="Arial" w:cs="Arial" w:eastAsia="Arial" w:hAnsi="Arial"/>
          <w:sz w:val="16"/>
          <w:szCs w:val="16"/>
          <w:color w:val="auto"/>
        </w:rPr>
        <w:t>. This Warrant shall be exercisable, in whole or in part, at any time, through the Expiration Date. If the Expiration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is occasioned by either the closing of the IPO or a Liquidation Transaction and to the extent that the fair market value of one Warrant Share (as determined in accordance with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would be greater than the Exercise Price in effect on such date immediately prior to such IPO or Liquidation Transaction, and the Holder has not exercised this Warrant pursuant to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below as to all Warrant Shares, then this Warrant shall automatically be deemed to be Net Exercised pursuant to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as to all Warrant Shares for which it shall not previously have been exercised, effective immediately prior to and contingent upon the closing of the IPO or Liquidation Transaction. In the event of an IPO or Liquidation Transaction where the fair market value of one Warrant Share as determined in accordance with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would be less than the Exercise Price in effect immediately prior to such IPO or Liquidation Transaction, then this Warrant will expire immediately prior to the closing of such IPO or Liquidation Transaction.</w:t>
      </w:r>
    </w:p>
    <w:p>
      <w:pPr>
        <w:spacing w:after="0" w:line="166" w:lineRule="exact"/>
        <w:rPr>
          <w:rFonts w:ascii="Arial" w:cs="Arial" w:eastAsia="Arial" w:hAnsi="Arial"/>
          <w:sz w:val="16"/>
          <w:szCs w:val="16"/>
          <w:color w:val="auto"/>
        </w:rPr>
      </w:pPr>
    </w:p>
    <w:p>
      <w:pPr>
        <w:ind w:right="40" w:firstLine="412"/>
        <w:spacing w:after="0" w:line="273" w:lineRule="auto"/>
        <w:tabs>
          <w:tab w:leader="none" w:pos="577" w:val="left"/>
        </w:tabs>
        <w:numPr>
          <w:ilvl w:val="0"/>
          <w:numId w:val="296"/>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Exercise; Payment; Issuance of New Warrant</w:t>
      </w:r>
      <w:r>
        <w:rPr>
          <w:rFonts w:ascii="Arial" w:cs="Arial" w:eastAsia="Arial" w:hAnsi="Arial"/>
          <w:sz w:val="17"/>
          <w:szCs w:val="17"/>
          <w:color w:val="auto"/>
        </w:rPr>
        <w:t>. The purchase right represented by this Warrant may be exercised by the Holder,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by:</w:t>
      </w:r>
    </w:p>
    <w:p>
      <w:pPr>
        <w:spacing w:after="0" w:line="61" w:lineRule="exact"/>
        <w:rPr>
          <w:sz w:val="20"/>
          <w:szCs w:val="20"/>
          <w:color w:val="auto"/>
        </w:rPr>
      </w:pPr>
    </w:p>
    <w:p>
      <w:pPr>
        <w:jc w:val="both"/>
        <w:ind w:right="200" w:firstLine="922"/>
        <w:spacing w:after="0" w:line="257" w:lineRule="auto"/>
        <w:rPr>
          <w:sz w:val="20"/>
          <w:szCs w:val="20"/>
          <w:color w:val="auto"/>
        </w:rPr>
      </w:pPr>
      <w:r>
        <w:rPr>
          <w:rFonts w:ascii="Arial" w:cs="Arial" w:eastAsia="Arial" w:hAnsi="Arial"/>
          <w:sz w:val="17"/>
          <w:szCs w:val="17"/>
          <w:color w:val="auto"/>
        </w:rPr>
        <w:t xml:space="preserve">3.1. the surrender of this Warrant (with an executed notice of exercise in the form attached hereto as </w:t>
      </w:r>
      <w:r>
        <w:rPr>
          <w:rFonts w:ascii="Arial" w:cs="Arial" w:eastAsia="Arial" w:hAnsi="Arial"/>
          <w:sz w:val="17"/>
          <w:szCs w:val="17"/>
          <w:u w:val="single" w:color="auto"/>
          <w:color w:val="auto"/>
        </w:rPr>
        <w:t>Attachment A</w:t>
      </w:r>
      <w:r>
        <w:rPr>
          <w:rFonts w:ascii="Arial" w:cs="Arial" w:eastAsia="Arial" w:hAnsi="Arial"/>
          <w:sz w:val="17"/>
          <w:szCs w:val="17"/>
          <w:color w:val="auto"/>
        </w:rPr>
        <w:t xml:space="preserve"> and an duly executed Investment Representation Statement in the form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by delivery to the Company at its address set forth above (or such other address as it may designate by notice in writing to the Holder); and</w:t>
      </w:r>
    </w:p>
    <w:p>
      <w:pPr>
        <w:spacing w:after="0" w:line="175" w:lineRule="exact"/>
        <w:rPr>
          <w:sz w:val="20"/>
          <w:szCs w:val="20"/>
          <w:color w:val="auto"/>
        </w:rPr>
      </w:pPr>
    </w:p>
    <w:p>
      <w:pPr>
        <w:ind w:right="80" w:firstLine="922"/>
        <w:spacing w:after="0" w:line="299" w:lineRule="auto"/>
        <w:rPr>
          <w:sz w:val="20"/>
          <w:szCs w:val="20"/>
          <w:color w:val="auto"/>
        </w:rPr>
      </w:pPr>
      <w:r>
        <w:rPr>
          <w:rFonts w:ascii="Arial" w:cs="Arial" w:eastAsia="Arial" w:hAnsi="Arial"/>
          <w:sz w:val="16"/>
          <w:szCs w:val="16"/>
          <w:color w:val="auto"/>
        </w:rPr>
        <w:t>3.2. the payment to the Company, by check, wire transfer, forgiveness of indebtedness, or any combination of the foregoing, of an amount equal to the then applicable Exercise Price per share multiplied by the number of Warrant Shares then being purchased.</w:t>
      </w:r>
    </w:p>
    <w:p>
      <w:pPr>
        <w:spacing w:after="0" w:line="144" w:lineRule="exact"/>
        <w:rPr>
          <w:sz w:val="20"/>
          <w:szCs w:val="20"/>
          <w:color w:val="auto"/>
        </w:rPr>
      </w:pPr>
    </w:p>
    <w:p>
      <w:pPr>
        <w:ind w:right="180" w:firstLine="922"/>
        <w:spacing w:after="0" w:line="257" w:lineRule="auto"/>
        <w:rPr>
          <w:sz w:val="20"/>
          <w:szCs w:val="20"/>
          <w:color w:val="auto"/>
        </w:rPr>
      </w:pPr>
      <w:r>
        <w:rPr>
          <w:rFonts w:ascii="Arial" w:cs="Arial" w:eastAsia="Arial" w:hAnsi="Arial"/>
          <w:sz w:val="17"/>
          <w:szCs w:val="17"/>
          <w:color w:val="auto"/>
        </w:rPr>
        <w:t>If this Warrant should be exercised, the Company shall, upon surrender of this Warrant, execute and deliver a certificate representing the Common Stock issued to the Holder upon such exercise, and if this Warrant should be exercised in part only, a new Warrant of the same tenor evidencing the rights of the Holder thereof to purchase the balance of the Warrant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4" w:right="839" w:bottom="1440" w:gutter="0" w:footer="0" w:header="0"/>
        </w:sectPr>
      </w:pPr>
    </w:p>
    <w:bookmarkStart w:id="367" w:name="page368"/>
    <w:bookmarkEnd w:id="367"/>
    <w:p>
      <w:pPr>
        <w:ind w:right="2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Shares purchasable hereunder. Upon receipt by the Company of this Warrant and such notice of exercise, together with, if applicable, the aggregate Exercise Price, at such office, or by the stock transfer agent or warrant agent of the Company at its office, the Holder shall be deemed to be the holder of record of the applicable Warrant Shares, notwithstanding that the stock transfer books of the Company shall then be closed. The Company shall pay any and all documentary stamp or similar issue or transfer taxes payable in respect of the issue or delivery of the Warrant Shares.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Net Exercise</w:t>
      </w:r>
      <w:r>
        <w:rPr>
          <w:rFonts w:ascii="Arial" w:cs="Arial" w:eastAsia="Arial" w:hAnsi="Arial"/>
          <w:sz w:val="17"/>
          <w:szCs w:val="17"/>
          <w:u w:val="single" w:color="auto"/>
          <w:color w:val="auto"/>
        </w:rPr>
        <w:t>.</w:t>
      </w:r>
    </w:p>
    <w:p>
      <w:pPr>
        <w:spacing w:after="0" w:line="206" w:lineRule="exact"/>
        <w:rPr>
          <w:sz w:val="20"/>
          <w:szCs w:val="20"/>
          <w:color w:val="auto"/>
        </w:rPr>
      </w:pPr>
    </w:p>
    <w:p>
      <w:pPr>
        <w:ind w:right="120" w:firstLine="1334"/>
        <w:spacing w:after="0" w:line="294" w:lineRule="auto"/>
        <w:tabs>
          <w:tab w:leader="none" w:pos="1559" w:val="left"/>
        </w:tabs>
        <w:numPr>
          <w:ilvl w:val="0"/>
          <w:numId w:val="297"/>
        </w:numPr>
        <w:rPr>
          <w:rFonts w:ascii="Arial" w:cs="Arial" w:eastAsia="Arial" w:hAnsi="Arial"/>
          <w:sz w:val="15"/>
          <w:szCs w:val="15"/>
          <w:color w:val="auto"/>
        </w:rPr>
      </w:pPr>
      <w:r>
        <w:rPr>
          <w:rFonts w:ascii="Arial" w:cs="Arial" w:eastAsia="Arial" w:hAnsi="Arial"/>
          <w:sz w:val="15"/>
          <w:szCs w:val="15"/>
          <w:b w:val="1"/>
          <w:bCs w:val="1"/>
          <w:u w:val="single" w:color="auto"/>
          <w:color w:val="auto"/>
        </w:rPr>
        <w:t>Conversion Right</w:t>
      </w:r>
      <w:r>
        <w:rPr>
          <w:rFonts w:ascii="Arial" w:cs="Arial" w:eastAsia="Arial" w:hAnsi="Arial"/>
          <w:sz w:val="15"/>
          <w:szCs w:val="15"/>
          <w:color w:val="auto"/>
        </w:rPr>
        <w:t>. In addition to and without limiting the rights of the Holder under the terms of this Warrant, the Holder may</w:t>
      </w:r>
      <w:r>
        <w:rPr>
          <w:rFonts w:ascii="Arial" w:cs="Arial" w:eastAsia="Arial" w:hAnsi="Arial"/>
          <w:sz w:val="15"/>
          <w:szCs w:val="15"/>
          <w:b w:val="1"/>
          <w:bCs w:val="1"/>
          <w:color w:val="auto"/>
        </w:rPr>
        <w:t xml:space="preserve"> </w:t>
      </w:r>
      <w:r>
        <w:rPr>
          <w:rFonts w:ascii="Arial" w:cs="Arial" w:eastAsia="Arial" w:hAnsi="Arial"/>
          <w:sz w:val="15"/>
          <w:szCs w:val="15"/>
          <w:color w:val="auto"/>
        </w:rPr>
        <w:t>elect to convert this Warrant or any portion thereof (the “</w:t>
      </w:r>
      <w:r>
        <w:rPr>
          <w:rFonts w:ascii="Arial" w:cs="Arial" w:eastAsia="Arial" w:hAnsi="Arial"/>
          <w:sz w:val="15"/>
          <w:szCs w:val="15"/>
          <w:u w:val="single" w:color="auto"/>
          <w:color w:val="auto"/>
        </w:rPr>
        <w:t>Conversion Right</w:t>
      </w:r>
      <w:r>
        <w:rPr>
          <w:rFonts w:ascii="Arial" w:cs="Arial" w:eastAsia="Arial" w:hAnsi="Arial"/>
          <w:sz w:val="15"/>
          <w:szCs w:val="15"/>
          <w:color w:val="auto"/>
        </w:rPr>
        <w:t>”) into Warrant Shares, the aggregate value of such Warrant Shares shall be equal to the value of this Warrant or the portion thereof being converted. The Conversion Right may be exercised automatically as provided herein and by the Holder by surrender of this Warrant at the principal office of the Company together with notice of the Holder’s intention to exercise the Conversion Right, in which event the Company shall issue to the Holder a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120650</wp:posOffset>
            </wp:positionV>
            <wp:extent cx="685800" cy="3270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685800" cy="32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0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X - The number of Warrant Shares to be issued to the Holder upon exercise of the Conversion Right.</w:t>
      </w:r>
    </w:p>
    <w:p>
      <w:pPr>
        <w:spacing w:after="0" w:line="106"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Y - The number of Warrant Shares issuable upon exercise of this Warrant (or such lesser number as are being exercised).</w:t>
      </w:r>
    </w:p>
    <w:p>
      <w:pPr>
        <w:spacing w:after="0" w:line="129" w:lineRule="exact"/>
        <w:rPr>
          <w:sz w:val="20"/>
          <w:szCs w:val="20"/>
          <w:color w:val="auto"/>
        </w:rPr>
      </w:pPr>
    </w:p>
    <w:p>
      <w:pPr>
        <w:ind w:left="1340" w:right="40" w:firstLine="356"/>
        <w:spacing w:after="0" w:line="268" w:lineRule="auto"/>
        <w:rPr>
          <w:sz w:val="20"/>
          <w:szCs w:val="20"/>
          <w:color w:val="auto"/>
        </w:rPr>
      </w:pPr>
      <w:r>
        <w:rPr>
          <w:rFonts w:ascii="Arial" w:cs="Arial" w:eastAsia="Arial" w:hAnsi="Arial"/>
          <w:sz w:val="17"/>
          <w:szCs w:val="17"/>
          <w:color w:val="auto"/>
        </w:rPr>
        <w:t xml:space="preserve">A - The fair market value of one Warrant Share, as determined pursuant to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hereof, as of the time the Conversion Right is exercised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6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B - Exercise Price for one Warrant Share under this Warrant (as adjusted to the date of such calculations).</w:t>
      </w:r>
    </w:p>
    <w:p>
      <w:pPr>
        <w:spacing w:after="0" w:line="20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Notwithstanding the foregoing, this Warrant shall be deemed to have converted into Warrant Shares pursuant to this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upon the Expiration Date if not previously exercised or converted before such date.</w:t>
      </w:r>
    </w:p>
    <w:p>
      <w:pPr>
        <w:spacing w:after="0" w:line="162" w:lineRule="exact"/>
        <w:rPr>
          <w:sz w:val="20"/>
          <w:szCs w:val="20"/>
          <w:color w:val="auto"/>
        </w:rPr>
      </w:pPr>
    </w:p>
    <w:p>
      <w:pPr>
        <w:ind w:firstLine="1334"/>
        <w:spacing w:after="0" w:line="273" w:lineRule="auto"/>
        <w:tabs>
          <w:tab w:leader="none" w:pos="1568" w:val="left"/>
        </w:tabs>
        <w:numPr>
          <w:ilvl w:val="0"/>
          <w:numId w:val="298"/>
        </w:numPr>
        <w:rPr>
          <w:rFonts w:ascii="Arial" w:cs="Arial" w:eastAsia="Arial" w:hAnsi="Arial"/>
          <w:sz w:val="17"/>
          <w:szCs w:val="17"/>
          <w:color w:val="auto"/>
        </w:rPr>
      </w:pPr>
      <w:r>
        <w:rPr>
          <w:rFonts w:ascii="Arial" w:cs="Arial" w:eastAsia="Arial" w:hAnsi="Arial"/>
          <w:sz w:val="17"/>
          <w:szCs w:val="17"/>
          <w:b w:val="1"/>
          <w:bCs w:val="1"/>
          <w:u w:val="single" w:color="auto"/>
          <w:color w:val="auto"/>
        </w:rPr>
        <w:t>Fair Market Value</w:t>
      </w:r>
      <w:r>
        <w:rPr>
          <w:rFonts w:ascii="Arial" w:cs="Arial" w:eastAsia="Arial" w:hAnsi="Arial"/>
          <w:sz w:val="17"/>
          <w:szCs w:val="17"/>
          <w:color w:val="auto"/>
        </w:rPr>
        <w:t>. For purposes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3.3(a)</w:t>
      </w:r>
      <w:r>
        <w:rPr>
          <w:rFonts w:ascii="Arial" w:cs="Arial" w:eastAsia="Arial" w:hAnsi="Arial"/>
          <w:sz w:val="17"/>
          <w:szCs w:val="17"/>
          <w:color w:val="auto"/>
        </w:rPr>
        <w:t>, the fair market value of one Warrant Share shall be determined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Directors of the Company, acting in good faith;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61" w:lineRule="exact"/>
        <w:rPr>
          <w:rFonts w:ascii="Arial" w:cs="Arial" w:eastAsia="Arial" w:hAnsi="Arial"/>
          <w:sz w:val="17"/>
          <w:szCs w:val="17"/>
          <w:color w:val="auto"/>
        </w:rPr>
      </w:pPr>
    </w:p>
    <w:p>
      <w:pPr>
        <w:ind w:left="2040" w:hanging="194"/>
        <w:spacing w:after="0"/>
        <w:tabs>
          <w:tab w:leader="none" w:pos="2040" w:val="left"/>
        </w:tabs>
        <w:numPr>
          <w:ilvl w:val="1"/>
          <w:numId w:val="298"/>
        </w:numPr>
        <w:rPr>
          <w:rFonts w:ascii="Arial" w:cs="Arial" w:eastAsia="Arial" w:hAnsi="Arial"/>
          <w:sz w:val="17"/>
          <w:szCs w:val="17"/>
          <w:color w:val="auto"/>
        </w:rPr>
      </w:pPr>
      <w:r>
        <w:rPr>
          <w:rFonts w:ascii="Arial" w:cs="Arial" w:eastAsia="Arial" w:hAnsi="Arial"/>
          <w:sz w:val="17"/>
          <w:szCs w:val="17"/>
          <w:color w:val="auto"/>
        </w:rPr>
        <w:t>where a public market exists for the Common Stock at the time of such exercise, then:</w:t>
      </w:r>
    </w:p>
    <w:p>
      <w:pPr>
        <w:spacing w:after="0" w:line="105" w:lineRule="exact"/>
        <w:rPr>
          <w:rFonts w:ascii="Arial" w:cs="Arial" w:eastAsia="Arial" w:hAnsi="Arial"/>
          <w:sz w:val="17"/>
          <w:szCs w:val="17"/>
          <w:color w:val="auto"/>
        </w:rPr>
      </w:pPr>
    </w:p>
    <w:p>
      <w:pPr>
        <w:ind w:right="240" w:firstLine="2256"/>
        <w:spacing w:after="0" w:line="268" w:lineRule="auto"/>
        <w:tabs>
          <w:tab w:leader="none" w:pos="2527" w:val="left"/>
        </w:tabs>
        <w:numPr>
          <w:ilvl w:val="2"/>
          <w:numId w:val="298"/>
        </w:numPr>
        <w:rPr>
          <w:rFonts w:ascii="Arial" w:cs="Arial" w:eastAsia="Arial" w:hAnsi="Arial"/>
          <w:sz w:val="17"/>
          <w:szCs w:val="17"/>
          <w:color w:val="auto"/>
        </w:rPr>
      </w:pPr>
      <w:r>
        <w:rPr>
          <w:rFonts w:ascii="Arial" w:cs="Arial" w:eastAsia="Arial" w:hAnsi="Arial"/>
          <w:sz w:val="17"/>
          <w:szCs w:val="17"/>
          <w:color w:val="auto"/>
        </w:rPr>
        <w:t>the fair market value of one Warrant Share shall be the last closing price per share of the Common Stock on the principal national securities exchange on which the Common Stock is listed or admitted to trading;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20"/>
          </w:cols>
          <w:pgMar w:left="820" w:top="265" w:right="859" w:bottom="1440" w:gutter="0" w:footer="0" w:header="0"/>
        </w:sectPr>
      </w:pPr>
    </w:p>
    <w:bookmarkStart w:id="368" w:name="page369"/>
    <w:bookmarkEnd w:id="368"/>
    <w:p>
      <w:pPr>
        <w:ind w:right="620" w:firstLine="2256"/>
        <w:spacing w:after="0" w:line="268" w:lineRule="auto"/>
        <w:tabs>
          <w:tab w:leader="none" w:pos="2518" w:val="left"/>
        </w:tabs>
        <w:numPr>
          <w:ilvl w:val="2"/>
          <w:numId w:val="2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average of the bid and asked price per share as reported in the “pink sheets” published by the National Quotation Bureau, Inc. if the Common Stock is not listed or traded on any exchange; or</w:t>
      </w:r>
    </w:p>
    <w:p>
      <w:pPr>
        <w:spacing w:after="0" w:line="165" w:lineRule="exact"/>
        <w:rPr>
          <w:rFonts w:ascii="Arial" w:cs="Arial" w:eastAsia="Arial" w:hAnsi="Arial"/>
          <w:sz w:val="17"/>
          <w:szCs w:val="17"/>
          <w:color w:val="auto"/>
        </w:rPr>
      </w:pPr>
    </w:p>
    <w:p>
      <w:pPr>
        <w:ind w:right="100" w:firstLine="2256"/>
        <w:spacing w:after="0" w:line="257" w:lineRule="auto"/>
        <w:tabs>
          <w:tab w:leader="none" w:pos="2518" w:val="left"/>
        </w:tabs>
        <w:numPr>
          <w:ilvl w:val="2"/>
          <w:numId w:val="299"/>
        </w:numPr>
        <w:rPr>
          <w:rFonts w:ascii="Arial" w:cs="Arial" w:eastAsia="Arial" w:hAnsi="Arial"/>
          <w:sz w:val="17"/>
          <w:szCs w:val="17"/>
          <w:color w:val="auto"/>
        </w:rPr>
      </w:pPr>
      <w:r>
        <w:rPr>
          <w:rFonts w:ascii="Arial" w:cs="Arial" w:eastAsia="Arial" w:hAnsi="Arial"/>
          <w:sz w:val="17"/>
          <w:szCs w:val="17"/>
          <w:color w:val="auto"/>
        </w:rPr>
        <w:t>if such quotations are not available, the fair market value of that number of shares of the Common Stock into which one Warrant Share is convertible on the date such notice was received by the Company, as determined in good faith by the Board of Directors of the Company.</w:t>
      </w:r>
    </w:p>
    <w:p>
      <w:pPr>
        <w:spacing w:after="0" w:line="175" w:lineRule="exact"/>
        <w:rPr>
          <w:rFonts w:ascii="Arial" w:cs="Arial" w:eastAsia="Arial" w:hAnsi="Arial"/>
          <w:sz w:val="17"/>
          <w:szCs w:val="17"/>
          <w:color w:val="auto"/>
        </w:rPr>
      </w:pPr>
    </w:p>
    <w:p>
      <w:pPr>
        <w:ind w:right="140" w:firstLine="1846"/>
        <w:spacing w:after="0" w:line="268" w:lineRule="auto"/>
        <w:tabs>
          <w:tab w:leader="none" w:pos="2090" w:val="left"/>
        </w:tabs>
        <w:numPr>
          <w:ilvl w:val="1"/>
          <w:numId w:val="300"/>
        </w:numPr>
        <w:rPr>
          <w:rFonts w:ascii="Arial" w:cs="Arial" w:eastAsia="Arial" w:hAnsi="Arial"/>
          <w:sz w:val="17"/>
          <w:szCs w:val="17"/>
          <w:color w:val="auto"/>
        </w:rPr>
      </w:pPr>
      <w:r>
        <w:rPr>
          <w:rFonts w:ascii="Arial" w:cs="Arial" w:eastAsia="Arial" w:hAnsi="Arial"/>
          <w:sz w:val="17"/>
          <w:szCs w:val="17"/>
          <w:color w:val="auto"/>
        </w:rPr>
        <w:t>if the Warrant is exercised in connection with the IPO, the fair market value of one Warrant Share shall be the per share offering price of Common Stock to the public in the IPO; and</w:t>
      </w:r>
    </w:p>
    <w:p>
      <w:pPr>
        <w:spacing w:after="0" w:line="165" w:lineRule="exact"/>
        <w:rPr>
          <w:rFonts w:ascii="Arial" w:cs="Arial" w:eastAsia="Arial" w:hAnsi="Arial"/>
          <w:sz w:val="17"/>
          <w:szCs w:val="17"/>
          <w:color w:val="auto"/>
        </w:rPr>
      </w:pPr>
    </w:p>
    <w:p>
      <w:pPr>
        <w:ind w:right="220" w:firstLine="1846"/>
        <w:spacing w:after="0" w:line="268" w:lineRule="auto"/>
        <w:tabs>
          <w:tab w:leader="none" w:pos="2136" w:val="left"/>
        </w:tabs>
        <w:numPr>
          <w:ilvl w:val="1"/>
          <w:numId w:val="300"/>
        </w:numPr>
        <w:rPr>
          <w:rFonts w:ascii="Arial" w:cs="Arial" w:eastAsia="Arial" w:hAnsi="Arial"/>
          <w:sz w:val="17"/>
          <w:szCs w:val="17"/>
          <w:color w:val="auto"/>
        </w:rPr>
      </w:pPr>
      <w:r>
        <w:rPr>
          <w:rFonts w:ascii="Arial" w:cs="Arial" w:eastAsia="Arial" w:hAnsi="Arial"/>
          <w:sz w:val="17"/>
          <w:szCs w:val="17"/>
          <w:color w:val="auto"/>
        </w:rPr>
        <w:t>all such determinations to be appropriately adjusted for stock dividend, stock split, stock combination or other similar transactions during the applicable calculation period.</w:t>
      </w:r>
    </w:p>
    <w:p>
      <w:pPr>
        <w:spacing w:after="0" w:line="161" w:lineRule="exact"/>
        <w:rPr>
          <w:rFonts w:ascii="Arial" w:cs="Arial" w:eastAsia="Arial" w:hAnsi="Arial"/>
          <w:sz w:val="17"/>
          <w:szCs w:val="17"/>
          <w:color w:val="auto"/>
        </w:rPr>
      </w:pPr>
    </w:p>
    <w:p>
      <w:pPr>
        <w:ind w:firstLine="412"/>
        <w:spacing w:after="0" w:line="291" w:lineRule="auto"/>
        <w:tabs>
          <w:tab w:leader="none" w:pos="577" w:val="left"/>
        </w:tabs>
        <w:numPr>
          <w:ilvl w:val="0"/>
          <w:numId w:val="301"/>
        </w:numPr>
        <w:rPr>
          <w:rFonts w:ascii="Arial" w:cs="Arial" w:eastAsia="Arial" w:hAnsi="Arial"/>
          <w:sz w:val="15"/>
          <w:szCs w:val="15"/>
          <w:color w:val="auto"/>
        </w:rPr>
      </w:pPr>
      <w:r>
        <w:rPr>
          <w:rFonts w:ascii="Arial" w:cs="Arial" w:eastAsia="Arial" w:hAnsi="Arial"/>
          <w:sz w:val="15"/>
          <w:szCs w:val="15"/>
          <w:b w:val="1"/>
          <w:bCs w:val="1"/>
          <w:u w:val="single" w:color="auto"/>
          <w:color w:val="auto"/>
        </w:rPr>
        <w:t>Stock Fully Paid; Reservation of Warrant Shares</w:t>
      </w:r>
      <w:r>
        <w:rPr>
          <w:rFonts w:ascii="Arial" w:cs="Arial" w:eastAsia="Arial" w:hAnsi="Arial"/>
          <w:sz w:val="15"/>
          <w:szCs w:val="15"/>
          <w:color w:val="auto"/>
        </w:rPr>
        <w:t>. All shares of stock which may be issued upon the exercise of the rights represented by this</w:t>
      </w:r>
      <w:r>
        <w:rPr>
          <w:rFonts w:ascii="Arial" w:cs="Arial" w:eastAsia="Arial" w:hAnsi="Arial"/>
          <w:sz w:val="15"/>
          <w:szCs w:val="15"/>
          <w:b w:val="1"/>
          <w:bCs w:val="1"/>
          <w:color w:val="auto"/>
        </w:rPr>
        <w:t xml:space="preserve"> </w:t>
      </w:r>
      <w:r>
        <w:rPr>
          <w:rFonts w:ascii="Arial" w:cs="Arial" w:eastAsia="Arial" w:hAnsi="Arial"/>
          <w:sz w:val="15"/>
          <w:szCs w:val="15"/>
          <w:color w:val="auto"/>
        </w:rPr>
        <w:t>Warrant will, upon issuance, be duly authorized, validly issued, fully paid and nonassessable, and free from all taxes, liens, encumbrances and charges with respect to the issue thereof, except for the restrictions on transfer provided herein or under applicable federal and state securities laws and any liens or encumbrances created by or imposed by the Holder. During the period within which the rights represented by this Warrant may be exercised, the Company covenants that it will at all times cause to be reserved and kept available out of its authorized and unissued capital stock a sufficient number of shares of its Common Stock to provide for the exercise of the rights represented by this Warrant into Common Stock.</w:t>
      </w:r>
    </w:p>
    <w:p>
      <w:pPr>
        <w:spacing w:after="0" w:line="151" w:lineRule="exact"/>
        <w:rPr>
          <w:rFonts w:ascii="Arial" w:cs="Arial" w:eastAsia="Arial" w:hAnsi="Arial"/>
          <w:sz w:val="15"/>
          <w:szCs w:val="15"/>
          <w:color w:val="auto"/>
        </w:rPr>
      </w:pPr>
    </w:p>
    <w:p>
      <w:pPr>
        <w:ind w:right="240" w:firstLine="412"/>
        <w:spacing w:after="0" w:line="341" w:lineRule="auto"/>
        <w:tabs>
          <w:tab w:leader="none" w:pos="577" w:val="left"/>
        </w:tabs>
        <w:numPr>
          <w:ilvl w:val="0"/>
          <w:numId w:val="301"/>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 of Exercise Price and Number of Warrant Shares</w:t>
      </w:r>
      <w:r>
        <w:rPr>
          <w:rFonts w:ascii="Arial" w:cs="Arial" w:eastAsia="Arial" w:hAnsi="Arial"/>
          <w:sz w:val="15"/>
          <w:szCs w:val="15"/>
          <w:color w:val="auto"/>
        </w:rPr>
        <w:t>. The number and kind of Warrant Shares purchasable upon the exercise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and the Exercise Price shall be subject to adjustment from time to time upon the occurrence of certain events, as follows:</w:t>
      </w:r>
    </w:p>
    <w:p>
      <w:pPr>
        <w:spacing w:after="0" w:line="12" w:lineRule="exact"/>
        <w:rPr>
          <w:sz w:val="20"/>
          <w:szCs w:val="20"/>
          <w:color w:val="auto"/>
        </w:rPr>
      </w:pPr>
    </w:p>
    <w:p>
      <w:pPr>
        <w:ind w:right="200" w:firstLine="922"/>
        <w:spacing w:after="0" w:line="291"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b w:val="1"/>
          <w:bCs w:val="1"/>
          <w:u w:val="single" w:color="auto"/>
          <w:color w:val="auto"/>
        </w:rPr>
        <w:t>Reclassification</w:t>
      </w:r>
      <w:r>
        <w:rPr>
          <w:rFonts w:ascii="Arial" w:cs="Arial" w:eastAsia="Arial" w:hAnsi="Arial"/>
          <w:sz w:val="15"/>
          <w:szCs w:val="15"/>
          <w:b w:val="1"/>
          <w:bCs w:val="1"/>
          <w:color w:val="auto"/>
        </w:rPr>
        <w:t>.</w:t>
      </w:r>
      <w:r>
        <w:rPr>
          <w:rFonts w:ascii="Arial" w:cs="Arial" w:eastAsia="Arial" w:hAnsi="Arial"/>
          <w:sz w:val="15"/>
          <w:szCs w:val="15"/>
          <w:color w:val="auto"/>
        </w:rPr>
        <w:t xml:space="preserve"> Upon any event whereby all of the outstanding shares of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the Holder would have had, if the Warrant Shares been outstanding on and as of the consummation of such event, provided that the aggregate purchase price shall remain the same and subject to further adjustment thereafter from time to time in accordance with the provisions of this Warrant. The provisions of this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shall similarly apply to successive reclassifications, exchanges, combinations, substitutions, replacements or similar events.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20"/>
          </w:cols>
          <w:pgMar w:left="820" w:top="265" w:right="859" w:bottom="1440" w:gutter="0" w:footer="0" w:header="0"/>
        </w:sectPr>
      </w:pPr>
    </w:p>
    <w:bookmarkStart w:id="369" w:name="page370"/>
    <w:bookmarkEnd w:id="369"/>
    <w:p>
      <w:pPr>
        <w:ind w:right="80" w:firstLine="922"/>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5.2 </w:t>
      </w:r>
      <w:r>
        <w:rPr>
          <w:rFonts w:ascii="Arial" w:cs="Arial" w:eastAsia="Arial" w:hAnsi="Arial"/>
          <w:sz w:val="15"/>
          <w:szCs w:val="15"/>
          <w:b w:val="1"/>
          <w:bCs w:val="1"/>
          <w:u w:val="single" w:color="auto"/>
          <w:color w:val="auto"/>
        </w:rPr>
        <w:t>Subdivision or Combination of Warrant Shares</w:t>
      </w:r>
      <w:r>
        <w:rPr>
          <w:rFonts w:ascii="Arial" w:cs="Arial" w:eastAsia="Arial" w:hAnsi="Arial"/>
          <w:sz w:val="15"/>
          <w:szCs w:val="15"/>
          <w:color w:val="auto"/>
        </w:rPr>
        <w:t>. If the Company at any time while this Warrant remains outstanding and unexpired shall subdivide the outstanding Common Stock into a greater number of shares, the number of Warrant Shares purchasable hereunder shall be proportionally increased and the Exercise Price shall be proportionately decreased, provided that the aggregate purchase price shall remain the same. If the Company at any time while this Warrant remains outstanding and unexpired shall combine or consolidate the outstanding Common Stock, into a lesser number of shares, then the number of Warrant Shares purchasable hereunder shall be proportionately decreased and the Exercise Price shall be proportionately increased, provided that the aggregate purchase price shall remain the same.</w:t>
      </w:r>
    </w:p>
    <w:p>
      <w:pPr>
        <w:spacing w:after="0" w:line="151" w:lineRule="exact"/>
        <w:rPr>
          <w:sz w:val="20"/>
          <w:szCs w:val="20"/>
          <w:color w:val="auto"/>
        </w:rPr>
      </w:pPr>
    </w:p>
    <w:p>
      <w:pPr>
        <w:ind w:right="20" w:firstLine="922"/>
        <w:spacing w:after="0" w:line="25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Stock Dividends</w:t>
      </w:r>
      <w:r>
        <w:rPr>
          <w:rFonts w:ascii="Arial" w:cs="Arial" w:eastAsia="Arial" w:hAnsi="Arial"/>
          <w:sz w:val="17"/>
          <w:szCs w:val="17"/>
          <w:color w:val="auto"/>
        </w:rPr>
        <w:t xml:space="preserve">. If the Company at any time while this Warrant is outstanding and unexpired declares or pays a dividend or distribution (other than as set forth in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5.2</w:t>
      </w:r>
      <w:r>
        <w:rPr>
          <w:rFonts w:ascii="Arial" w:cs="Arial" w:eastAsia="Arial" w:hAnsi="Arial"/>
          <w:sz w:val="17"/>
          <w:szCs w:val="17"/>
          <w:color w:val="auto"/>
        </w:rPr>
        <w:t>) on the outstanding shares of Common Stock payable in Common Stock or other securities or property (other than cash), then upon exercise of this Warrant, for each Warrant Share acquired, Holder shall receive, without additional cost to Holder, the total number and kind of securities and property which Holder would have received had Holder owned the Warrant Shares of record as of the date the dividend or distribution occurred.</w:t>
      </w:r>
    </w:p>
    <w:p>
      <w:pPr>
        <w:spacing w:after="0" w:line="175" w:lineRule="exact"/>
        <w:rPr>
          <w:sz w:val="20"/>
          <w:szCs w:val="20"/>
          <w:color w:val="auto"/>
        </w:rPr>
      </w:pPr>
    </w:p>
    <w:p>
      <w:pPr>
        <w:ind w:firstLine="922"/>
        <w:spacing w:after="0" w:line="27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Adjustment of Number of Warrant Shares</w:t>
      </w:r>
      <w:r>
        <w:rPr>
          <w:rFonts w:ascii="Arial" w:cs="Arial" w:eastAsia="Arial" w:hAnsi="Arial"/>
          <w:sz w:val="16"/>
          <w:szCs w:val="16"/>
          <w:color w:val="auto"/>
        </w:rPr>
        <w:t>. Upon each adjustment in the Exercise Price, the number of shares of stock purchasable hereunder shall be adjusted, to the nearest whole share, to the product obtained by multiplying the number of Warrant Shares purchasable immediately prior to such adjustment in the Exercise Price by a fraction, the numerator of which shall be the Exercise Price immediately prior to such adjustment and the denominator of which shall be the Exercise Price immediately thereafter.</w:t>
      </w:r>
    </w:p>
    <w:p>
      <w:pPr>
        <w:spacing w:after="0" w:line="158" w:lineRule="exact"/>
        <w:rPr>
          <w:sz w:val="20"/>
          <w:szCs w:val="20"/>
          <w:color w:val="auto"/>
        </w:rPr>
      </w:pPr>
    </w:p>
    <w:p>
      <w:pPr>
        <w:ind w:right="20" w:firstLine="922"/>
        <w:spacing w:after="0" w:line="27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Notice/Certificate of Adjustment</w:t>
      </w:r>
      <w:r>
        <w:rPr>
          <w:rFonts w:ascii="Arial" w:cs="Arial" w:eastAsia="Arial" w:hAnsi="Arial"/>
          <w:sz w:val="16"/>
          <w:szCs w:val="16"/>
          <w:color w:val="auto"/>
        </w:rPr>
        <w:t>. Upon each adjustment of the Exercise Price, class and/or number of Warrant Shares, the Company, at the Company’s expense, shall notify the Holder in writing within a reasonable time setting forth the adjustments to the Exercise Price, class and/or number of Warrant Shares and facts upon which any such adjustment is based. The Company shall, upon written request from the Holder, furnish the Holder with a certificate of its Chief Executive Officer or Chief Financial Officer, including computations of such adjustment and the Exercise Price, class and number of shares of Common Stock in effect upon the date of such adjustment.</w:t>
      </w:r>
    </w:p>
    <w:p>
      <w:pPr>
        <w:spacing w:after="0" w:line="162" w:lineRule="exact"/>
        <w:rPr>
          <w:sz w:val="20"/>
          <w:szCs w:val="20"/>
          <w:color w:val="auto"/>
        </w:rPr>
      </w:pPr>
    </w:p>
    <w:p>
      <w:pPr>
        <w:ind w:right="560" w:firstLine="412"/>
        <w:spacing w:after="0" w:line="305" w:lineRule="auto"/>
        <w:tabs>
          <w:tab w:leader="none" w:pos="577"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auto"/>
        </w:rPr>
        <w:t>Fractional Warrant Shares</w:t>
      </w:r>
      <w:r>
        <w:rPr>
          <w:rFonts w:ascii="Arial" w:cs="Arial" w:eastAsia="Arial" w:hAnsi="Arial"/>
          <w:sz w:val="16"/>
          <w:szCs w:val="16"/>
          <w:color w:val="auto"/>
        </w:rPr>
        <w:t>. No fractional Warrant Shares will be issued in connection with any exercise hereunder, but in lieu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fractional shares the Company shall make a cash payment therefor upon the basis of the Exercise Price then in effect.</w:t>
      </w:r>
    </w:p>
    <w:p>
      <w:pPr>
        <w:spacing w:after="0" w:line="134" w:lineRule="exact"/>
        <w:rPr>
          <w:rFonts w:ascii="Arial" w:cs="Arial" w:eastAsia="Arial" w:hAnsi="Arial"/>
          <w:sz w:val="16"/>
          <w:szCs w:val="16"/>
          <w:color w:val="auto"/>
        </w:rPr>
      </w:pPr>
    </w:p>
    <w:p>
      <w:pPr>
        <w:ind w:right="80" w:firstLine="412"/>
        <w:spacing w:after="0" w:line="272" w:lineRule="auto"/>
        <w:tabs>
          <w:tab w:leader="none" w:pos="577"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of the Company</w:t>
      </w:r>
      <w:r>
        <w:rPr>
          <w:rFonts w:ascii="Arial" w:cs="Arial" w:eastAsia="Arial" w:hAnsi="Arial"/>
          <w:sz w:val="16"/>
          <w:szCs w:val="16"/>
          <w:color w:val="auto"/>
        </w:rPr>
        <w:t>. The Company represents and warrants to the Holder that (i)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2.2(j)</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Schedule of 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sets forth a true and correct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capitalization table of the Company reflecting the Company’s fully diluted equity capitalization immediately following the Initial Closing (including all shares, options (including shares reserved under the Stock Plan), warrants, and other rights to acquire capital stock) and (ii) such capitalization table includes the names of the Company’s securityholders, the number of shares of capital stock issued or issuable to such securityholder, and the fully diluted percentage interest of each such securityholder.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20"/>
          </w:cols>
          <w:pgMar w:left="820" w:top="261" w:right="859" w:bottom="1440" w:gutter="0" w:footer="0" w:header="0"/>
        </w:sectPr>
      </w:pPr>
    </w:p>
    <w:bookmarkStart w:id="370" w:name="page371"/>
    <w:bookmarkEnd w:id="370"/>
    <w:p>
      <w:pPr>
        <w:ind w:left="580" w:hanging="168"/>
        <w:spacing w:after="0"/>
        <w:tabs>
          <w:tab w:leader="none" w:pos="580" w:val="left"/>
        </w:tabs>
        <w:numPr>
          <w:ilvl w:val="0"/>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Compliance with Securities Act; Non-transferability of Warrant; Disposition of Shares of Stock</w:t>
      </w:r>
      <w:r>
        <w:rPr>
          <w:rFonts w:ascii="Arial" w:cs="Arial" w:eastAsia="Arial" w:hAnsi="Arial"/>
          <w:sz w:val="17"/>
          <w:szCs w:val="17"/>
          <w:color w:val="auto"/>
        </w:rPr>
        <w:t>.</w:t>
      </w:r>
    </w:p>
    <w:p>
      <w:pPr>
        <w:spacing w:after="0" w:line="206" w:lineRule="exact"/>
        <w:rPr>
          <w:sz w:val="20"/>
          <w:szCs w:val="20"/>
          <w:color w:val="auto"/>
        </w:rPr>
      </w:pPr>
    </w:p>
    <w:p>
      <w:pPr>
        <w:ind w:right="20" w:firstLine="922"/>
        <w:spacing w:after="0" w:line="26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Compliance with Securities Act</w:t>
      </w:r>
      <w:r>
        <w:rPr>
          <w:rFonts w:ascii="Arial" w:cs="Arial" w:eastAsia="Arial" w:hAnsi="Arial"/>
          <w:sz w:val="16"/>
          <w:szCs w:val="16"/>
          <w:color w:val="auto"/>
        </w:rPr>
        <w:t>. The Holder, by acceptance hereof, agrees that this Warrant and the Warrant Shares are being acquired for investment and that he, she or it will not offer, sell or otherwise dispose of this Warrant or any Warrant Shares except under circumstances which will not result in a violation of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Upon exercise of this Warrant, the Holder hereof shall confirm in writing, in a form attached hereto as </w:t>
      </w:r>
      <w:r>
        <w:rPr>
          <w:rFonts w:ascii="Arial" w:cs="Arial" w:eastAsia="Arial" w:hAnsi="Arial"/>
          <w:sz w:val="16"/>
          <w:szCs w:val="16"/>
          <w:u w:val="single" w:color="auto"/>
          <w:color w:val="auto"/>
        </w:rPr>
        <w:t>Attachment B</w:t>
      </w:r>
      <w:r>
        <w:rPr>
          <w:rFonts w:ascii="Arial" w:cs="Arial" w:eastAsia="Arial" w:hAnsi="Arial"/>
          <w:sz w:val="16"/>
          <w:szCs w:val="16"/>
          <w:color w:val="auto"/>
        </w:rPr>
        <w:t>, that the Warrant Shares so purchased are being acquired for investment and not with a view toward distribution or resale. In addition, the Holder shall provide such additional information regarding such Holder’s financial and investment background, as the Company may reasonably request, as is relevant for purposes of determining the Holder’s suitability with respect to a purchase of the Warrant Shares. All Warrant Shares (unless registered under the Act) shall be stamped or imprinted with a legend in substantially the following form (in addition to any legend required under applicable state securities laws):</w:t>
      </w:r>
    </w:p>
    <w:p>
      <w:pPr>
        <w:spacing w:after="0" w:line="68" w:lineRule="exact"/>
        <w:rPr>
          <w:sz w:val="20"/>
          <w:szCs w:val="20"/>
          <w:color w:val="auto"/>
        </w:rPr>
      </w:pPr>
    </w:p>
    <w:p>
      <w:pPr>
        <w:ind w:left="420"/>
        <w:spacing w:after="0" w:line="268" w:lineRule="auto"/>
        <w:rPr>
          <w:sz w:val="20"/>
          <w:szCs w:val="20"/>
          <w:color w:val="auto"/>
        </w:rPr>
      </w:pPr>
      <w:r>
        <w:rPr>
          <w:rFonts w:ascii="Arial" w:cs="Arial" w:eastAsia="Arial" w:hAnsi="Arial"/>
          <w:sz w:val="16"/>
          <w:szCs w:val="16"/>
          <w:color w:val="auto"/>
        </w:rPr>
        <w:t>THIS SECURITY HAS NOT BEEN REGISTERED UNDER THE SECURITIES ACT OF 1933, AS AMENDED. THIS SECURITY MAY NOT BE SOLD OR TRANSFERRED WITHOUT (I) AN EFFECTIVE REGISTRATION STATEMENT RELATED THERETO, (II) AN OPINION OF COUNSEL FOR THE HOLDER, SATISFACTORY TO THE COMPANY, THAT SUCH REGISTRATION IS NOT REQUIRED UNDER THE ACT OR (III) RECEIPT OF A NO ACTION LETTER FROM THE SECURITIES AND EXCHANGE COMMISSION. COPIES OF THE WARRANT AGREEMENT COVERING THE ACQUISITION OF THIS SECURITY AND RESTRICTING ITS TRANSFER MAY BE OBTAINED AT NO COST BY WRITTEN REQUEST MADE BY THE HOLDER OF RECORD OF THIS SECURITY TO THE SECRETARY OF THE COMPANY AT THE PRINCIPAL EXECUTIVE OFFICES OF THE COMPANY.</w:t>
      </w:r>
    </w:p>
    <w:p>
      <w:pPr>
        <w:spacing w:after="0" w:line="165" w:lineRule="exact"/>
        <w:rPr>
          <w:sz w:val="20"/>
          <w:szCs w:val="20"/>
          <w:color w:val="auto"/>
        </w:rPr>
      </w:pPr>
    </w:p>
    <w:p>
      <w:pPr>
        <w:ind w:right="140" w:firstLine="922"/>
        <w:spacing w:after="0" w:line="290"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b w:val="1"/>
          <w:bCs w:val="1"/>
          <w:u w:val="single" w:color="auto"/>
          <w:color w:val="auto"/>
        </w:rPr>
        <w:t>Transferability of Warrant</w:t>
      </w:r>
      <w:r>
        <w:rPr>
          <w:rFonts w:ascii="Arial" w:cs="Arial" w:eastAsia="Arial" w:hAnsi="Arial"/>
          <w:sz w:val="15"/>
          <w:szCs w:val="15"/>
          <w:color w:val="auto"/>
        </w:rPr>
        <w:t>. This Warrant may not be transferred or assigned in whole or in part without (i) an effective registration statement related thereto, (ii) an opinion of counsel for the Holder, satisfactory to the Company, that such registration is not required under the Act or</w:t>
      </w:r>
    </w:p>
    <w:p>
      <w:pPr>
        <w:spacing w:after="0" w:line="1" w:lineRule="exact"/>
        <w:rPr>
          <w:sz w:val="20"/>
          <w:szCs w:val="20"/>
          <w:color w:val="auto"/>
        </w:rPr>
      </w:pPr>
    </w:p>
    <w:p>
      <w:pPr>
        <w:ind w:firstLine="3"/>
        <w:spacing w:after="0" w:line="248" w:lineRule="auto"/>
        <w:tabs>
          <w:tab w:leader="none" w:pos="293" w:val="left"/>
        </w:tabs>
        <w:numPr>
          <w:ilvl w:val="0"/>
          <w:numId w:val="304"/>
        </w:numPr>
        <w:rPr>
          <w:rFonts w:ascii="Arial" w:cs="Arial" w:eastAsia="Arial" w:hAnsi="Arial"/>
          <w:sz w:val="17"/>
          <w:szCs w:val="17"/>
          <w:color w:val="auto"/>
        </w:rPr>
      </w:pPr>
      <w:r>
        <w:rPr>
          <w:rFonts w:ascii="Arial" w:cs="Arial" w:eastAsia="Arial" w:hAnsi="Arial"/>
          <w:sz w:val="17"/>
          <w:szCs w:val="17"/>
          <w:color w:val="auto"/>
        </w:rPr>
        <w:t>receipt of a no action letter from the Securities and Exchange Commission (together, “</w:t>
      </w:r>
      <w:r>
        <w:rPr>
          <w:rFonts w:ascii="Arial" w:cs="Arial" w:eastAsia="Arial" w:hAnsi="Arial"/>
          <w:sz w:val="17"/>
          <w:szCs w:val="17"/>
          <w:u w:val="single" w:color="auto"/>
          <w:color w:val="auto"/>
        </w:rPr>
        <w:t>Securities Law Compliance Guarantees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Warrant may be transferred in whole or in part without Securities Law Compliance Guarantees upon any of the following provided that the transferee agrees in writing, by way of documentation reasonably acceptable to the Company, to be subject to the terms hereof to the same extent as if he/she were an original Holder hereunder:</w:t>
      </w:r>
    </w:p>
    <w:p>
      <w:pPr>
        <w:spacing w:after="0" w:line="83" w:lineRule="exact"/>
        <w:rPr>
          <w:rFonts w:ascii="Arial" w:cs="Arial" w:eastAsia="Arial" w:hAnsi="Arial"/>
          <w:sz w:val="17"/>
          <w:szCs w:val="17"/>
          <w:color w:val="auto"/>
        </w:rPr>
      </w:pPr>
    </w:p>
    <w:p>
      <w:pPr>
        <w:ind w:right="100" w:firstLine="1334"/>
        <w:spacing w:after="0" w:line="251" w:lineRule="auto"/>
        <w:tabs>
          <w:tab w:leader="none" w:pos="1559" w:val="left"/>
        </w:tabs>
        <w:numPr>
          <w:ilvl w:val="1"/>
          <w:numId w:val="304"/>
        </w:numPr>
        <w:rPr>
          <w:rFonts w:ascii="Arial" w:cs="Arial" w:eastAsia="Arial" w:hAnsi="Arial"/>
          <w:sz w:val="17"/>
          <w:szCs w:val="17"/>
          <w:color w:val="auto"/>
        </w:rPr>
      </w:pPr>
      <w:r>
        <w:rPr>
          <w:rFonts w:ascii="Arial" w:cs="Arial" w:eastAsia="Arial" w:hAnsi="Arial"/>
          <w:sz w:val="17"/>
          <w:szCs w:val="17"/>
          <w:color w:val="auto"/>
        </w:rPr>
        <w:t>A transfer of the Warrant by a Holder who is a natural person during such Holder’s lifetime or on death by will or intestacy to such Holder’s immediate family or to any custodian or trustee for the account of such Holder or such Holder’s immediate family, or a transfer of the Warrant by a Holder that is a trust to a natural person who is the beneficiary of such trust, to such beneficiary’s immediate family or to any custodian or trustee for the account of such beneficiary or such beneficiary’s immediate family. “</w:t>
      </w:r>
      <w:r>
        <w:rPr>
          <w:rFonts w:ascii="Arial" w:cs="Arial" w:eastAsia="Arial" w:hAnsi="Arial"/>
          <w:sz w:val="17"/>
          <w:szCs w:val="17"/>
          <w:u w:val="single" w:color="auto"/>
          <w:color w:val="auto"/>
        </w:rPr>
        <w:t>Immediate family</w:t>
      </w:r>
      <w:r>
        <w:rPr>
          <w:rFonts w:ascii="Arial" w:cs="Arial" w:eastAsia="Arial" w:hAnsi="Arial"/>
          <w:sz w:val="17"/>
          <w:szCs w:val="17"/>
          <w:color w:val="auto"/>
        </w:rPr>
        <w:t>” as used herein shall mean spouse, lineal descendant, father, mother, brother, or sister of the Holder;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40"/>
          </w:cols>
          <w:pgMar w:left="820" w:top="261" w:right="839" w:bottom="1440" w:gutter="0" w:footer="0" w:header="0"/>
        </w:sectPr>
      </w:pPr>
    </w:p>
    <w:bookmarkStart w:id="371" w:name="page372"/>
    <w:bookmarkEnd w:id="371"/>
    <w:p>
      <w:pPr>
        <w:ind w:left="1560" w:hanging="246"/>
        <w:spacing w:after="0"/>
        <w:tabs>
          <w:tab w:leader="none" w:pos="1560" w:val="left"/>
        </w:tabs>
        <w:numPr>
          <w:ilvl w:val="1"/>
          <w:numId w:val="3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 transfer of the Warrant to the Company;</w:t>
      </w:r>
    </w:p>
    <w:p>
      <w:pPr>
        <w:spacing w:after="0" w:line="206" w:lineRule="exact"/>
        <w:rPr>
          <w:rFonts w:ascii="Arial" w:cs="Arial" w:eastAsia="Arial" w:hAnsi="Arial"/>
          <w:sz w:val="17"/>
          <w:szCs w:val="17"/>
          <w:color w:val="auto"/>
        </w:rPr>
      </w:pPr>
    </w:p>
    <w:p>
      <w:pPr>
        <w:ind w:left="1540" w:hanging="226"/>
        <w:spacing w:after="0"/>
        <w:tabs>
          <w:tab w:leader="none" w:pos="154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A transfer of the Warrant to a parent, subsidiary or affiliate of a Holder ; or</w:t>
      </w:r>
    </w:p>
    <w:p>
      <w:pPr>
        <w:spacing w:after="0" w:line="206" w:lineRule="exact"/>
        <w:rPr>
          <w:rFonts w:ascii="Arial" w:cs="Arial" w:eastAsia="Arial" w:hAnsi="Arial"/>
          <w:sz w:val="17"/>
          <w:szCs w:val="17"/>
          <w:color w:val="auto"/>
        </w:rPr>
      </w:pPr>
    </w:p>
    <w:p>
      <w:pPr>
        <w:ind w:left="-20" w:firstLine="1334"/>
        <w:spacing w:after="0" w:line="268" w:lineRule="auto"/>
        <w:tabs>
          <w:tab w:leader="none" w:pos="1548" w:val="left"/>
        </w:tabs>
        <w:numPr>
          <w:ilvl w:val="1"/>
          <w:numId w:val="305"/>
        </w:numPr>
        <w:rPr>
          <w:rFonts w:ascii="Arial" w:cs="Arial" w:eastAsia="Arial" w:hAnsi="Arial"/>
          <w:sz w:val="17"/>
          <w:szCs w:val="17"/>
          <w:color w:val="auto"/>
        </w:rPr>
      </w:pPr>
      <w:r>
        <w:rPr>
          <w:rFonts w:ascii="Arial" w:cs="Arial" w:eastAsia="Arial" w:hAnsi="Arial"/>
          <w:sz w:val="17"/>
          <w:szCs w:val="17"/>
          <w:color w:val="auto"/>
        </w:rPr>
        <w:t>A transfer of the Warrant by a Holder which is a limited or general partnership to any of its partners or former partners (with, a, b and c, a “</w:t>
      </w:r>
      <w:r>
        <w:rPr>
          <w:rFonts w:ascii="Arial" w:cs="Arial" w:eastAsia="Arial" w:hAnsi="Arial"/>
          <w:sz w:val="17"/>
          <w:szCs w:val="17"/>
          <w:u w:val="single" w:color="auto"/>
          <w:color w:val="auto"/>
        </w:rPr>
        <w:t>Permitted Transfer</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ind w:left="-20" w:firstLine="412"/>
        <w:spacing w:after="0" w:line="269" w:lineRule="auto"/>
        <w:tabs>
          <w:tab w:leader="none" w:pos="557" w:val="left"/>
        </w:tabs>
        <w:numPr>
          <w:ilvl w:val="0"/>
          <w:numId w:val="30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of Stockholders</w:t>
      </w:r>
      <w:r>
        <w:rPr>
          <w:rFonts w:ascii="Arial" w:cs="Arial" w:eastAsia="Arial" w:hAnsi="Arial"/>
          <w:sz w:val="16"/>
          <w:szCs w:val="16"/>
          <w:color w:val="auto"/>
        </w:rPr>
        <w:t>. No Holder of this Warrant shall be entitled to vote or receive dividends or be deemed the holder of stock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the Company which may at any time be issuable on the exercise hereof for any purpose, nor shall anything contained herein be construed to confer upon the Holder of this Warrant, as such, any of the rights of a stockholder of the Company or any right to vote for the election of directors or upon any matter submitted to stockholders at any meeting thereof, or to give or withhold consent to any corporate action (whether upon any recapitalization, issuance of stock, reclassification of stock, change of par value or change of stock to no par value, consolidation, merger, conveyance, or otherwise) or to receive notice of meetings, or to receive dividends or subscription rights or otherwise until this Warrant has been exercised and the Warrant Shares shall have become deliverable, as provided herein.</w:t>
      </w:r>
    </w:p>
    <w:p>
      <w:pPr>
        <w:spacing w:after="0" w:line="163" w:lineRule="exact"/>
        <w:rPr>
          <w:rFonts w:ascii="Arial" w:cs="Arial" w:eastAsia="Arial" w:hAnsi="Arial"/>
          <w:sz w:val="16"/>
          <w:szCs w:val="16"/>
          <w:color w:val="auto"/>
        </w:rPr>
      </w:pPr>
    </w:p>
    <w:p>
      <w:pPr>
        <w:ind w:left="-20" w:right="520" w:firstLine="412"/>
        <w:spacing w:after="0" w:line="341" w:lineRule="auto"/>
        <w:tabs>
          <w:tab w:leader="none" w:pos="640" w:val="left"/>
        </w:tabs>
        <w:numPr>
          <w:ilvl w:val="0"/>
          <w:numId w:val="306"/>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color w:val="auto"/>
        </w:rPr>
        <w:t>. This Warrant and all acts and transactions pursuant hereto and the rights and obligations of the parties hereto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governed, construed and interpreted in accordance with the laws of the state of Delaware, without giving effect to principles of conflicts of law.</w:t>
      </w:r>
    </w:p>
    <w:p>
      <w:pPr>
        <w:spacing w:after="0" w:line="112" w:lineRule="exact"/>
        <w:rPr>
          <w:rFonts w:ascii="Arial" w:cs="Arial" w:eastAsia="Arial" w:hAnsi="Arial"/>
          <w:sz w:val="15"/>
          <w:szCs w:val="15"/>
          <w:color w:val="auto"/>
        </w:rPr>
      </w:pPr>
    </w:p>
    <w:p>
      <w:pPr>
        <w:ind w:left="-20" w:right="100" w:firstLine="412"/>
        <w:spacing w:after="0" w:line="341" w:lineRule="auto"/>
        <w:tabs>
          <w:tab w:leader="none" w:pos="634" w:val="left"/>
        </w:tabs>
        <w:numPr>
          <w:ilvl w:val="0"/>
          <w:numId w:val="306"/>
        </w:numPr>
        <w:rPr>
          <w:rFonts w:ascii="Arial" w:cs="Arial" w:eastAsia="Arial" w:hAnsi="Arial"/>
          <w:sz w:val="14"/>
          <w:szCs w:val="14"/>
          <w:color w:val="auto"/>
        </w:rPr>
      </w:pPr>
      <w:r>
        <w:rPr>
          <w:rFonts w:ascii="Arial" w:cs="Arial" w:eastAsia="Arial" w:hAnsi="Arial"/>
          <w:sz w:val="14"/>
          <w:szCs w:val="14"/>
          <w:b w:val="1"/>
          <w:bCs w:val="1"/>
          <w:u w:val="single" w:color="auto"/>
          <w:color w:val="auto"/>
        </w:rPr>
        <w:t>Miscellaneous</w:t>
      </w:r>
      <w:r>
        <w:rPr>
          <w:rFonts w:ascii="Arial" w:cs="Arial" w:eastAsia="Arial" w:hAnsi="Arial"/>
          <w:sz w:val="14"/>
          <w:szCs w:val="14"/>
          <w:color w:val="auto"/>
        </w:rPr>
        <w:t>. The headings in this Warrant are for purposes of convenience and reference only, and shall not be deemed to constitute a part</w:t>
      </w:r>
      <w:r>
        <w:rPr>
          <w:rFonts w:ascii="Arial" w:cs="Arial" w:eastAsia="Arial" w:hAnsi="Arial"/>
          <w:sz w:val="14"/>
          <w:szCs w:val="14"/>
          <w:b w:val="1"/>
          <w:bCs w:val="1"/>
          <w:color w:val="auto"/>
        </w:rPr>
        <w:t xml:space="preserve"> </w:t>
      </w:r>
      <w:r>
        <w:rPr>
          <w:rFonts w:ascii="Arial" w:cs="Arial" w:eastAsia="Arial" w:hAnsi="Arial"/>
          <w:sz w:val="14"/>
          <w:szCs w:val="14"/>
          <w:color w:val="auto"/>
        </w:rPr>
        <w:t>hereof. All notices and other communications shall be delivered by hand or mailed by first-class registered or certified mail, postage prepaid, to the respective addresses provided in the Purchase Agreement, or to such other address as the Company or Holder may designate to the other parties hereto.</w:t>
      </w:r>
    </w:p>
    <w:p>
      <w:pPr>
        <w:spacing w:after="0" w:line="117" w:lineRule="exact"/>
        <w:rPr>
          <w:rFonts w:ascii="Arial" w:cs="Arial" w:eastAsia="Arial" w:hAnsi="Arial"/>
          <w:sz w:val="14"/>
          <w:szCs w:val="14"/>
          <w:color w:val="auto"/>
        </w:rPr>
      </w:pPr>
    </w:p>
    <w:p>
      <w:pPr>
        <w:ind w:left="640" w:hanging="248"/>
        <w:spacing w:after="0"/>
        <w:tabs>
          <w:tab w:leader="none" w:pos="640" w:val="left"/>
        </w:tabs>
        <w:numPr>
          <w:ilvl w:val="0"/>
          <w:numId w:val="306"/>
        </w:numPr>
        <w:rPr>
          <w:rFonts w:ascii="Arial" w:cs="Arial" w:eastAsia="Arial" w:hAnsi="Arial"/>
          <w:sz w:val="15"/>
          <w:szCs w:val="15"/>
          <w:color w:val="auto"/>
        </w:rPr>
      </w:pPr>
      <w:r>
        <w:rPr>
          <w:rFonts w:ascii="Arial" w:cs="Arial" w:eastAsia="Arial" w:hAnsi="Arial"/>
          <w:sz w:val="15"/>
          <w:szCs w:val="15"/>
          <w:b w:val="1"/>
          <w:bCs w:val="1"/>
          <w:u w:val="single" w:color="auto"/>
          <w:color w:val="auto"/>
        </w:rPr>
        <w:t>Purchase Agreement</w:t>
      </w:r>
      <w:r>
        <w:rPr>
          <w:rFonts w:ascii="Arial" w:cs="Arial" w:eastAsia="Arial" w:hAnsi="Arial"/>
          <w:sz w:val="15"/>
          <w:szCs w:val="15"/>
          <w:color w:val="auto"/>
        </w:rPr>
        <w:t>. This Warrant is a Warrant referred to in the Purchase Agreement and is entitled to all the benefits provided therein.</w:t>
      </w:r>
    </w:p>
    <w:p>
      <w:pPr>
        <w:spacing w:after="0" w:line="229" w:lineRule="exact"/>
        <w:rPr>
          <w:rFonts w:ascii="Arial" w:cs="Arial" w:eastAsia="Arial" w:hAnsi="Arial"/>
          <w:sz w:val="15"/>
          <w:szCs w:val="15"/>
          <w:color w:val="auto"/>
        </w:rPr>
      </w:pPr>
    </w:p>
    <w:p>
      <w:pPr>
        <w:jc w:val="both"/>
        <w:ind w:left="-20" w:right="120" w:firstLine="412"/>
        <w:spacing w:after="0" w:line="300" w:lineRule="auto"/>
        <w:tabs>
          <w:tab w:leader="none" w:pos="640" w:val="left"/>
        </w:tabs>
        <w:numPr>
          <w:ilvl w:val="0"/>
          <w:numId w:val="306"/>
        </w:numPr>
        <w:rPr>
          <w:rFonts w:ascii="Arial" w:cs="Arial" w:eastAsia="Arial" w:hAnsi="Arial"/>
          <w:sz w:val="15"/>
          <w:szCs w:val="15"/>
          <w:color w:val="auto"/>
        </w:rPr>
      </w:pPr>
      <w:r>
        <w:rPr>
          <w:rFonts w:ascii="Arial" w:cs="Arial" w:eastAsia="Arial" w:hAnsi="Arial"/>
          <w:sz w:val="15"/>
          <w:szCs w:val="15"/>
          <w:b w:val="1"/>
          <w:bCs w:val="1"/>
          <w:u w:val="single" w:color="auto"/>
          <w:color w:val="auto"/>
        </w:rPr>
        <w:t>Loss, Theft or Destruction of Warrant</w:t>
      </w:r>
      <w:r>
        <w:rPr>
          <w:rFonts w:ascii="Arial" w:cs="Arial" w:eastAsia="Arial" w:hAnsi="Arial"/>
          <w:sz w:val="15"/>
          <w:szCs w:val="15"/>
          <w:color w:val="auto"/>
        </w:rPr>
        <w:t>. Upon receipt by the Company of evidence reasonably satisfactory to it of the loss, theft, mutilation</w:t>
      </w:r>
      <w:r>
        <w:rPr>
          <w:rFonts w:ascii="Arial" w:cs="Arial" w:eastAsia="Arial" w:hAnsi="Arial"/>
          <w:sz w:val="15"/>
          <w:szCs w:val="15"/>
          <w:b w:val="1"/>
          <w:bCs w:val="1"/>
          <w:color w:val="auto"/>
        </w:rPr>
        <w:t xml:space="preserve"> </w:t>
      </w:r>
      <w:r>
        <w:rPr>
          <w:rFonts w:ascii="Arial" w:cs="Arial" w:eastAsia="Arial" w:hAnsi="Arial"/>
          <w:sz w:val="15"/>
          <w:szCs w:val="15"/>
          <w:color w:val="auto"/>
        </w:rPr>
        <w:t>or destruction of this Warrant and of indemnity or security reasonably satisfactory to it, the Company will make and deliver an affidavit of lost warrant which shall carry the same rights carried by this Warrant, stating that such affidavit of lost warrant is issued in replacement of this Warrant, making reference to the original date of issuance of this Warrant (and any successors hereto) and dated as of such cancellation, in lieu of this Warrant.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00"/>
          </w:cols>
          <w:pgMar w:left="840" w:top="264" w:right="859" w:bottom="1440" w:gutter="0" w:footer="0" w:header="0"/>
        </w:sectPr>
      </w:pPr>
    </w:p>
    <w:bookmarkStart w:id="372" w:name="page373"/>
    <w:bookmarkEnd w:id="372"/>
    <w:p>
      <w:pPr>
        <w:ind w:firstLine="412"/>
        <w:spacing w:after="0" w:line="255" w:lineRule="auto"/>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Amendment and Waiver</w:t>
      </w:r>
      <w:r>
        <w:rPr>
          <w:rFonts w:ascii="Arial" w:cs="Arial" w:eastAsia="Arial" w:hAnsi="Arial"/>
          <w:sz w:val="17"/>
          <w:szCs w:val="17"/>
          <w:color w:val="auto"/>
        </w:rPr>
        <w:t>. Any term of this Warrant may be amended or waived only with the written consent of the Company and the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of at least a majority of the Warrant Shares then issuable upon exercise of the Warrants then outstanding that were issued pursuant to the Purchase Agreement. Any amendment or waiver effected in accordance with this Section 14 shall be binding upon the Holder and each transferee of the Warrant, each future holder of all such Warrants, and the Company.</w:t>
      </w:r>
    </w:p>
    <w:p>
      <w:pPr>
        <w:spacing w:after="0" w:line="173" w:lineRule="exact"/>
        <w:rPr>
          <w:rFonts w:ascii="Arial" w:cs="Arial" w:eastAsia="Arial" w:hAnsi="Arial"/>
          <w:sz w:val="17"/>
          <w:szCs w:val="17"/>
          <w:color w:val="auto"/>
        </w:rPr>
      </w:pPr>
    </w:p>
    <w:p>
      <w:pPr>
        <w:ind w:right="60" w:firstLine="412"/>
        <w:spacing w:after="0" w:line="259" w:lineRule="auto"/>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 Facsimile/Electronic Signature</w:t>
      </w:r>
      <w:r>
        <w:rPr>
          <w:rFonts w:ascii="Arial" w:cs="Arial" w:eastAsia="Arial" w:hAnsi="Arial"/>
          <w:sz w:val="17"/>
          <w:szCs w:val="17"/>
          <w:color w:val="auto"/>
        </w:rPr>
        <w:t>. This Warrant may be executed in counterparts, all of which together shall constitute one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agreement. Any signature page delivered electronically or by facsimile shall be binding to the same extent as an original signature page with regards to any agreement subject to the terms hereof or any amendment thereto.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0" w:right="839" w:bottom="1440" w:gutter="0" w:footer="0" w:header="0"/>
        </w:sectPr>
      </w:pPr>
    </w:p>
    <w:bookmarkStart w:id="373" w:name="page374"/>
    <w:bookmarkEnd w:id="373"/>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the Company has caused this Warrant to be duly executed by its officers, thereunto duly authorized this ___</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day of _______, 2020.</w:t>
      </w:r>
    </w:p>
    <w:p>
      <w:pPr>
        <w:spacing w:after="0" w:line="215"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11430</wp:posOffset>
            </wp:positionV>
            <wp:extent cx="241490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7"/>
          <w:szCs w:val="17"/>
          <w:color w:val="auto"/>
        </w:rPr>
        <w:t>Name: Maria Palasis</w:t>
      </w:r>
    </w:p>
    <w:p>
      <w:pPr>
        <w:spacing w:after="0" w:line="18" w:lineRule="exact"/>
        <w:rPr>
          <w:sz w:val="20"/>
          <w:szCs w:val="20"/>
          <w:color w:val="auto"/>
        </w:rPr>
      </w:pPr>
    </w:p>
    <w:p>
      <w:pPr>
        <w:ind w:left="6160"/>
        <w:spacing w:after="0"/>
        <w:tabs>
          <w:tab w:leader="none" w:pos="6680" w:val="left"/>
        </w:tabs>
        <w:rPr>
          <w:sz w:val="20"/>
          <w:szCs w:val="20"/>
          <w:color w:val="auto"/>
        </w:rPr>
      </w:pPr>
      <w:r>
        <w:rPr>
          <w:rFonts w:ascii="Arial" w:cs="Arial" w:eastAsia="Arial" w:hAnsi="Arial"/>
          <w:sz w:val="17"/>
          <w:szCs w:val="17"/>
          <w:color w:val="auto"/>
        </w:rPr>
        <w:t>Title:</w:t>
        <w:tab/>
        <w:t>Chief Executive Officer</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[Signature Pages to Common Stock Warrant]</w:t>
      </w:r>
    </w:p>
    <w:p>
      <w:pPr>
        <w:sectPr>
          <w:pgSz w:w="11900" w:h="16838" w:orient="portrait"/>
          <w:cols w:equalWidth="0" w:num="1">
            <w:col w:w="10000"/>
          </w:cols>
          <w:pgMar w:left="820" w:top="265" w:right="1079" w:bottom="1440" w:gutter="0" w:footer="0" w:header="0"/>
        </w:sectPr>
      </w:pPr>
    </w:p>
    <w:bookmarkStart w:id="374" w:name="page375"/>
    <w:bookmarkEnd w:id="374"/>
    <w:p>
      <w:pPr>
        <w:jc w:val="center"/>
        <w:ind w:right="-9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ATTACHMENT A TO WARRANT</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7"/>
          <w:szCs w:val="17"/>
          <w:u w:val="single" w:color="auto"/>
          <w:color w:val="auto"/>
        </w:rPr>
        <w:t>NOTICE OF EXERCISE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TO: Lyra Therapeutics, Inc.</w:t>
      </w:r>
    </w:p>
    <w:p>
      <w:pPr>
        <w:spacing w:after="0" w:line="206" w:lineRule="exact"/>
        <w:rPr>
          <w:sz w:val="20"/>
          <w:szCs w:val="20"/>
          <w:color w:val="auto"/>
        </w:rPr>
      </w:pPr>
    </w:p>
    <w:p>
      <w:pPr>
        <w:ind w:right="20" w:firstLine="412"/>
        <w:spacing w:after="0" w:line="307" w:lineRule="auto"/>
        <w:tabs>
          <w:tab w:leader="none" w:pos="577" w:val="left"/>
        </w:tabs>
        <w:numPr>
          <w:ilvl w:val="0"/>
          <w:numId w:val="308"/>
        </w:numPr>
        <w:rPr>
          <w:rFonts w:ascii="Arial" w:cs="Arial" w:eastAsia="Arial" w:hAnsi="Arial"/>
          <w:sz w:val="15"/>
          <w:szCs w:val="15"/>
          <w:color w:val="auto"/>
        </w:rPr>
      </w:pPr>
      <w:r>
        <w:rPr>
          <w:rFonts w:ascii="Arial" w:cs="Arial" w:eastAsia="Arial" w:hAnsi="Arial"/>
          <w:sz w:val="15"/>
          <w:szCs w:val="15"/>
          <w:color w:val="auto"/>
        </w:rPr>
        <w:t>The undersigned hereby elects to purchase ____________ shares of Common Stock of Lyra Therapeutics, Inc. as defined in that certain Series C Convertible Preferred Stock and Warrant Purchase Agreement, dated as of January 10, 2020, and pursuant to the terms of the attached Warrant, and tenders herewith payment of the purchase price of such shares in full, together with all applicable transfer taxes, if any.</w:t>
      </w:r>
    </w:p>
    <w:p>
      <w:pPr>
        <w:spacing w:after="0" w:line="141" w:lineRule="exact"/>
        <w:rPr>
          <w:rFonts w:ascii="Arial" w:cs="Arial" w:eastAsia="Arial" w:hAnsi="Arial"/>
          <w:sz w:val="15"/>
          <w:szCs w:val="15"/>
          <w:color w:val="auto"/>
        </w:rPr>
      </w:pPr>
    </w:p>
    <w:p>
      <w:pPr>
        <w:ind w:right="60" w:firstLine="412"/>
        <w:spacing w:after="0" w:line="268" w:lineRule="auto"/>
        <w:tabs>
          <w:tab w:leader="none" w:pos="57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undersigned hereby elects to convert the attached Warrant into Warrant Shares in the manner specified in Section 3.3 of the Warrant. This conversion is exercised with respect to _______________________ of the Shares covered by the Warrant.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[Strike paragraph above that does not apply.]</w:t>
      </w:r>
    </w:p>
    <w:p>
      <w:pPr>
        <w:spacing w:after="0" w:line="210" w:lineRule="exact"/>
        <w:rPr>
          <w:sz w:val="20"/>
          <w:szCs w:val="20"/>
          <w:color w:val="auto"/>
        </w:rPr>
      </w:pPr>
    </w:p>
    <w:p>
      <w:pPr>
        <w:ind w:left="580" w:hanging="168"/>
        <w:spacing w:after="0"/>
        <w:tabs>
          <w:tab w:leader="none" w:pos="58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Please issue a certificate or certificates representing said shares of stock in the name of the undersigned or in such other name as is specified</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below:</w:t>
      </w:r>
    </w:p>
    <w:p>
      <w:pPr>
        <w:spacing w:after="0" w:line="106"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11430</wp:posOffset>
            </wp:positionV>
            <wp:extent cx="26625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2662555" cy="8255"/>
                    </a:xfrm>
                    <a:prstGeom prst="rect">
                      <a:avLst/>
                    </a:prstGeom>
                    <a:noFill/>
                  </pic:spPr>
                </pic:pic>
              </a:graphicData>
            </a:graphic>
          </wp:anchor>
        </w:drawing>
      </w:r>
    </w:p>
    <w:p>
      <w:pPr>
        <w:spacing w:after="0" w:line="9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11430</wp:posOffset>
            </wp:positionV>
            <wp:extent cx="25984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259842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401955</wp:posOffset>
            </wp:positionV>
            <wp:extent cx="26625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2662555"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210820</wp:posOffset>
            </wp:positionV>
            <wp:extent cx="26625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2662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412"/>
        <w:spacing w:after="0" w:line="307" w:lineRule="auto"/>
        <w:tabs>
          <w:tab w:leader="none" w:pos="577" w:val="left"/>
        </w:tabs>
        <w:numPr>
          <w:ilvl w:val="0"/>
          <w:numId w:val="310"/>
        </w:numPr>
        <w:rPr>
          <w:rFonts w:ascii="Arial" w:cs="Arial" w:eastAsia="Arial" w:hAnsi="Arial"/>
          <w:sz w:val="15"/>
          <w:szCs w:val="15"/>
          <w:color w:val="auto"/>
        </w:rPr>
      </w:pPr>
      <w:r>
        <w:rPr>
          <w:rFonts w:ascii="Arial" w:cs="Arial" w:eastAsia="Arial" w:hAnsi="Arial"/>
          <w:sz w:val="15"/>
          <w:szCs w:val="15"/>
          <w:color w:val="auto"/>
        </w:rPr>
        <w:t xml:space="preserve">The undersigned represents that the aforesaid shares of stock are being acquired for the account of the undersigned for investment and not with a view to, or for resale in connection with, the distribution thereof and that the undersigned has no present intention of distributing or reselling such shares. In support thereof, the undersigned has executed an Investment Representation Statement attached hereto as </w:t>
      </w:r>
      <w:r>
        <w:rPr>
          <w:rFonts w:ascii="Arial" w:cs="Arial" w:eastAsia="Arial" w:hAnsi="Arial"/>
          <w:sz w:val="15"/>
          <w:szCs w:val="15"/>
          <w:u w:val="single" w:color="auto"/>
          <w:color w:val="auto"/>
        </w:rPr>
        <w:t>Attachment B</w:t>
      </w:r>
      <w:r>
        <w:rPr>
          <w:rFonts w:ascii="Arial" w:cs="Arial" w:eastAsia="Arial" w:hAnsi="Arial"/>
          <w:sz w:val="15"/>
          <w:szCs w:val="15"/>
          <w:color w:val="auto"/>
        </w:rPr>
        <w:t>.</w:t>
      </w:r>
    </w:p>
    <w:p>
      <w:pPr>
        <w:spacing w:after="0" w:line="163"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[H</w:t>
      </w:r>
      <w:r>
        <w:rPr>
          <w:rFonts w:ascii="Arial" w:cs="Arial" w:eastAsia="Arial" w:hAnsi="Arial"/>
          <w:sz w:val="13"/>
          <w:szCs w:val="13"/>
          <w:b w:val="1"/>
          <w:bCs w:val="1"/>
          <w:color w:val="auto"/>
        </w:rPr>
        <w:t>OLDER</w:t>
      </w:r>
      <w:r>
        <w:rPr>
          <w:rFonts w:ascii="Arial" w:cs="Arial" w:eastAsia="Arial" w:hAnsi="Arial"/>
          <w:sz w:val="17"/>
          <w:szCs w:val="17"/>
          <w:b w:val="1"/>
          <w:bCs w:val="1"/>
          <w:color w:val="auto"/>
        </w:rPr>
        <w:t>]</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11430</wp:posOffset>
            </wp:positionV>
            <wp:extent cx="24149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11430</wp:posOffset>
            </wp:positionV>
            <wp:extent cx="233553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2335530"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11430</wp:posOffset>
            </wp:positionV>
            <wp:extent cx="23355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2335530" cy="8255"/>
                    </a:xfrm>
                    <a:prstGeom prst="rect">
                      <a:avLst/>
                    </a:prstGeom>
                    <a:noFill/>
                  </pic:spPr>
                </pic:pic>
              </a:graphicData>
            </a:graphic>
          </wp:anchor>
        </w:drawing>
      </w:r>
    </w:p>
    <w:p>
      <w:pPr>
        <w:sectPr>
          <w:pgSz w:w="11900" w:h="16838" w:orient="portrait"/>
          <w:cols w:equalWidth="0" w:num="1">
            <w:col w:w="10140"/>
          </w:cols>
          <w:pgMar w:left="820" w:top="265" w:right="939" w:bottom="1440" w:gutter="0" w:footer="0" w:header="0"/>
        </w:sectPr>
      </w:pPr>
    </w:p>
    <w:bookmarkStart w:id="375" w:name="page376"/>
    <w:bookmarkEnd w:id="375"/>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ATTACHMENT B TO WARRANT</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INVESTMENT REPRESENTATION STATEMENT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20" w:type="dxa"/>
            <w:vAlign w:val="bottom"/>
          </w:tcPr>
          <w:p>
            <w:pPr>
              <w:spacing w:after="0"/>
              <w:rPr>
                <w:sz w:val="20"/>
                <w:szCs w:val="20"/>
                <w:color w:val="auto"/>
              </w:rPr>
            </w:pPr>
            <w:r>
              <w:rPr>
                <w:rFonts w:ascii="Arial" w:cs="Arial" w:eastAsia="Arial" w:hAnsi="Arial"/>
                <w:sz w:val="17"/>
                <w:szCs w:val="17"/>
                <w:color w:val="auto"/>
              </w:rPr>
              <w:t>PURCHASER</w:t>
            </w:r>
          </w:p>
        </w:tc>
        <w:tc>
          <w:tcPr>
            <w:tcW w:w="320" w:type="dxa"/>
            <w:vAlign w:val="bottom"/>
          </w:tcPr>
          <w:p>
            <w:pPr>
              <w:ind w:left="120"/>
              <w:spacing w:after="0"/>
              <w:rPr>
                <w:sz w:val="20"/>
                <w:szCs w:val="20"/>
                <w:color w:val="auto"/>
              </w:rPr>
            </w:pPr>
            <w:r>
              <w:rPr>
                <w:rFonts w:ascii="Arial" w:cs="Arial" w:eastAsia="Arial" w:hAnsi="Arial"/>
                <w:sz w:val="17"/>
                <w:szCs w:val="17"/>
                <w:color w:val="auto"/>
              </w:rPr>
              <w:t>:</w:t>
            </w:r>
          </w:p>
        </w:tc>
        <w:tc>
          <w:tcPr>
            <w:tcW w:w="4000" w:type="dxa"/>
            <w:vAlign w:val="bottom"/>
            <w:tcBorders>
              <w:bottom w:val="single" w:sz="8" w:color="auto"/>
            </w:tcBorders>
          </w:tcPr>
          <w:p>
            <w:pPr>
              <w:spacing w:after="0"/>
              <w:rPr>
                <w:sz w:val="18"/>
                <w:szCs w:val="18"/>
                <w:color w:val="auto"/>
              </w:rPr>
            </w:pPr>
          </w:p>
        </w:tc>
      </w:tr>
      <w:tr>
        <w:trPr>
          <w:trHeight w:val="194"/>
        </w:trPr>
        <w:tc>
          <w:tcPr>
            <w:tcW w:w="1120" w:type="dxa"/>
            <w:vAlign w:val="bottom"/>
          </w:tcPr>
          <w:p>
            <w:pPr>
              <w:spacing w:after="0" w:line="194" w:lineRule="exact"/>
              <w:rPr>
                <w:sz w:val="20"/>
                <w:szCs w:val="20"/>
                <w:color w:val="auto"/>
              </w:rPr>
            </w:pPr>
            <w:r>
              <w:rPr>
                <w:rFonts w:ascii="Arial" w:cs="Arial" w:eastAsia="Arial" w:hAnsi="Arial"/>
                <w:sz w:val="17"/>
                <w:szCs w:val="17"/>
                <w:color w:val="auto"/>
              </w:rPr>
              <w:t>COMPANY</w:t>
            </w:r>
          </w:p>
        </w:tc>
        <w:tc>
          <w:tcPr>
            <w:tcW w:w="432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  Lyra Therapeutics, Inc.</w:t>
            </w:r>
          </w:p>
        </w:tc>
      </w:tr>
      <w:tr>
        <w:trPr>
          <w:trHeight w:val="213"/>
        </w:trPr>
        <w:tc>
          <w:tcPr>
            <w:tcW w:w="1120" w:type="dxa"/>
            <w:vAlign w:val="bottom"/>
          </w:tcPr>
          <w:p>
            <w:pPr>
              <w:spacing w:after="0"/>
              <w:rPr>
                <w:sz w:val="20"/>
                <w:szCs w:val="20"/>
                <w:color w:val="auto"/>
              </w:rPr>
            </w:pPr>
            <w:r>
              <w:rPr>
                <w:rFonts w:ascii="Arial" w:cs="Arial" w:eastAsia="Arial" w:hAnsi="Arial"/>
                <w:sz w:val="17"/>
                <w:szCs w:val="17"/>
                <w:color w:val="auto"/>
              </w:rPr>
              <w:t>SECURITY</w:t>
            </w:r>
          </w:p>
        </w:tc>
        <w:tc>
          <w:tcPr>
            <w:tcW w:w="320" w:type="dxa"/>
            <w:vAlign w:val="bottom"/>
          </w:tcPr>
          <w:p>
            <w:pPr>
              <w:ind w:left="120"/>
              <w:spacing w:after="0"/>
              <w:rPr>
                <w:sz w:val="20"/>
                <w:szCs w:val="20"/>
                <w:color w:val="auto"/>
              </w:rPr>
            </w:pPr>
            <w:r>
              <w:rPr>
                <w:rFonts w:ascii="Arial" w:cs="Arial" w:eastAsia="Arial" w:hAnsi="Arial"/>
                <w:sz w:val="17"/>
                <w:szCs w:val="17"/>
                <w:color w:val="auto"/>
              </w:rPr>
              <w:t>:</w:t>
            </w:r>
          </w:p>
        </w:tc>
        <w:tc>
          <w:tcPr>
            <w:tcW w:w="4000" w:type="dxa"/>
            <w:vAlign w:val="bottom"/>
            <w:tcBorders>
              <w:bottom w:val="single" w:sz="8" w:color="auto"/>
            </w:tcBorders>
          </w:tcPr>
          <w:p>
            <w:pPr>
              <w:spacing w:after="0"/>
              <w:rPr>
                <w:sz w:val="18"/>
                <w:szCs w:val="18"/>
                <w:color w:val="auto"/>
              </w:rPr>
            </w:pPr>
          </w:p>
        </w:tc>
      </w:tr>
      <w:tr>
        <w:trPr>
          <w:trHeight w:val="206"/>
        </w:trPr>
        <w:tc>
          <w:tcPr>
            <w:tcW w:w="1120" w:type="dxa"/>
            <w:vAlign w:val="bottom"/>
          </w:tcPr>
          <w:p>
            <w:pPr>
              <w:spacing w:after="0"/>
              <w:rPr>
                <w:sz w:val="20"/>
                <w:szCs w:val="20"/>
                <w:color w:val="auto"/>
              </w:rPr>
            </w:pPr>
            <w:r>
              <w:rPr>
                <w:rFonts w:ascii="Arial" w:cs="Arial" w:eastAsia="Arial" w:hAnsi="Arial"/>
                <w:sz w:val="17"/>
                <w:szCs w:val="17"/>
                <w:color w:val="auto"/>
              </w:rPr>
              <w:t>AMOUNT</w:t>
            </w:r>
          </w:p>
        </w:tc>
        <w:tc>
          <w:tcPr>
            <w:tcW w:w="320" w:type="dxa"/>
            <w:vAlign w:val="bottom"/>
          </w:tcPr>
          <w:p>
            <w:pPr>
              <w:ind w:left="120"/>
              <w:spacing w:after="0"/>
              <w:rPr>
                <w:sz w:val="20"/>
                <w:szCs w:val="20"/>
                <w:color w:val="auto"/>
              </w:rPr>
            </w:pPr>
            <w:r>
              <w:rPr>
                <w:rFonts w:ascii="Arial" w:cs="Arial" w:eastAsia="Arial" w:hAnsi="Arial"/>
                <w:sz w:val="17"/>
                <w:szCs w:val="17"/>
                <w:color w:val="auto"/>
              </w:rPr>
              <w:t>:</w:t>
            </w:r>
          </w:p>
        </w:tc>
        <w:tc>
          <w:tcPr>
            <w:tcW w:w="4000" w:type="dxa"/>
            <w:vAlign w:val="bottom"/>
            <w:tcBorders>
              <w:bottom w:val="single" w:sz="8" w:color="auto"/>
            </w:tcBorders>
          </w:tcPr>
          <w:p>
            <w:pPr>
              <w:spacing w:after="0"/>
              <w:rPr>
                <w:sz w:val="17"/>
                <w:szCs w:val="17"/>
                <w:color w:val="auto"/>
              </w:rPr>
            </w:pPr>
          </w:p>
        </w:tc>
      </w:tr>
      <w:tr>
        <w:trPr>
          <w:trHeight w:val="206"/>
        </w:trPr>
        <w:tc>
          <w:tcPr>
            <w:tcW w:w="1120" w:type="dxa"/>
            <w:vAlign w:val="bottom"/>
          </w:tcPr>
          <w:p>
            <w:pPr>
              <w:spacing w:after="0"/>
              <w:rPr>
                <w:sz w:val="20"/>
                <w:szCs w:val="20"/>
                <w:color w:val="auto"/>
              </w:rPr>
            </w:pPr>
            <w:r>
              <w:rPr>
                <w:rFonts w:ascii="Arial" w:cs="Arial" w:eastAsia="Arial" w:hAnsi="Arial"/>
                <w:sz w:val="17"/>
                <w:szCs w:val="17"/>
                <w:color w:val="auto"/>
              </w:rPr>
              <w:t>DATE</w:t>
            </w:r>
          </w:p>
        </w:tc>
        <w:tc>
          <w:tcPr>
            <w:tcW w:w="320" w:type="dxa"/>
            <w:vAlign w:val="bottom"/>
          </w:tcPr>
          <w:p>
            <w:pPr>
              <w:ind w:left="120"/>
              <w:spacing w:after="0"/>
              <w:rPr>
                <w:sz w:val="20"/>
                <w:szCs w:val="20"/>
                <w:color w:val="auto"/>
              </w:rPr>
            </w:pPr>
            <w:r>
              <w:rPr>
                <w:rFonts w:ascii="Arial" w:cs="Arial" w:eastAsia="Arial" w:hAnsi="Arial"/>
                <w:sz w:val="17"/>
                <w:szCs w:val="17"/>
                <w:color w:val="auto"/>
              </w:rPr>
              <w:t>:</w:t>
            </w:r>
          </w:p>
        </w:tc>
        <w:tc>
          <w:tcPr>
            <w:tcW w:w="4000" w:type="dxa"/>
            <w:vAlign w:val="bottom"/>
            <w:tcBorders>
              <w:bottom w:val="single" w:sz="8" w:color="auto"/>
            </w:tcBorders>
          </w:tcPr>
          <w:p>
            <w:pPr>
              <w:spacing w:after="0"/>
              <w:rPr>
                <w:sz w:val="17"/>
                <w:szCs w:val="17"/>
                <w:color w:val="auto"/>
              </w:rPr>
            </w:pPr>
          </w:p>
        </w:tc>
      </w:tr>
    </w:tbl>
    <w:p>
      <w:pPr>
        <w:spacing w:after="0" w:line="197" w:lineRule="exact"/>
        <w:rPr>
          <w:sz w:val="20"/>
          <w:szCs w:val="20"/>
          <w:color w:val="auto"/>
        </w:rPr>
      </w:pPr>
    </w:p>
    <w:p>
      <w:pPr>
        <w:ind w:right="40" w:firstLine="409"/>
        <w:spacing w:after="0" w:line="273" w:lineRule="auto"/>
        <w:rPr>
          <w:sz w:val="20"/>
          <w:szCs w:val="20"/>
          <w:color w:val="auto"/>
        </w:rPr>
      </w:pPr>
      <w:r>
        <w:rPr>
          <w:rFonts w:ascii="Arial" w:cs="Arial" w:eastAsia="Arial" w:hAnsi="Arial"/>
          <w:sz w:val="17"/>
          <w:szCs w:val="17"/>
          <w:color w:val="auto"/>
        </w:rPr>
        <w:t>In connection with the purchase of the above-listed securities and underlying stock (the “</w:t>
      </w:r>
      <w:r>
        <w:rPr>
          <w:rFonts w:ascii="Arial" w:cs="Arial" w:eastAsia="Arial" w:hAnsi="Arial"/>
          <w:sz w:val="17"/>
          <w:szCs w:val="17"/>
          <w:b w:val="1"/>
          <w:bCs w:val="1"/>
          <w:color w:val="auto"/>
        </w:rPr>
        <w:t>Securities</w:t>
      </w:r>
      <w:r>
        <w:rPr>
          <w:rFonts w:ascii="Arial" w:cs="Arial" w:eastAsia="Arial" w:hAnsi="Arial"/>
          <w:sz w:val="17"/>
          <w:szCs w:val="17"/>
          <w:color w:val="auto"/>
        </w:rPr>
        <w:t>”), the undersigned represents to the Company the following:</w:t>
      </w:r>
    </w:p>
    <w:p>
      <w:pPr>
        <w:spacing w:after="0" w:line="61" w:lineRule="exact"/>
        <w:rPr>
          <w:sz w:val="20"/>
          <w:szCs w:val="20"/>
          <w:color w:val="auto"/>
        </w:rPr>
      </w:pPr>
    </w:p>
    <w:p>
      <w:pPr>
        <w:ind w:right="520" w:firstLine="924"/>
        <w:spacing w:after="0" w:line="268" w:lineRule="auto"/>
        <w:tabs>
          <w:tab w:leader="none" w:pos="1149" w:val="left"/>
        </w:tabs>
        <w:numPr>
          <w:ilvl w:val="0"/>
          <w:numId w:val="311"/>
        </w:numPr>
        <w:rPr>
          <w:rFonts w:ascii="Arial" w:cs="Arial" w:eastAsia="Arial" w:hAnsi="Arial"/>
          <w:sz w:val="17"/>
          <w:szCs w:val="17"/>
          <w:color w:val="auto"/>
        </w:rPr>
      </w:pPr>
      <w:r>
        <w:rPr>
          <w:rFonts w:ascii="Arial" w:cs="Arial" w:eastAsia="Arial" w:hAnsi="Arial"/>
          <w:sz w:val="17"/>
          <w:szCs w:val="17"/>
          <w:color w:val="auto"/>
        </w:rPr>
        <w:t>We are purchasing these Securities for our own account for investment purposes only and not with a view to, or for the resale in connection with, any “distribution” thereof for purposes of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100" w:firstLine="924"/>
        <w:spacing w:after="0" w:line="293" w:lineRule="auto"/>
        <w:tabs>
          <w:tab w:leader="none" w:pos="1159" w:val="left"/>
        </w:tabs>
        <w:numPr>
          <w:ilvl w:val="0"/>
          <w:numId w:val="311"/>
        </w:numPr>
        <w:rPr>
          <w:rFonts w:ascii="Arial" w:cs="Arial" w:eastAsia="Arial" w:hAnsi="Arial"/>
          <w:sz w:val="15"/>
          <w:szCs w:val="15"/>
          <w:color w:val="auto"/>
        </w:rPr>
      </w:pPr>
      <w:r>
        <w:rPr>
          <w:rFonts w:ascii="Arial" w:cs="Arial" w:eastAsia="Arial" w:hAnsi="Arial"/>
          <w:sz w:val="15"/>
          <w:szCs w:val="15"/>
          <w:color w:val="auto"/>
        </w:rPr>
        <w:t>We understand that the Securities have not been registered under the Act in reliance upon a specific exemption therefrom, which exemption depends upon, among other things, the bona fide nature of our investment intent as expressed herein. In this connection, we understand that, in the view of the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the statutory basis for such exemption may be unavailable if our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w:t>
      </w:r>
    </w:p>
    <w:p>
      <w:pPr>
        <w:spacing w:after="0" w:line="152" w:lineRule="exact"/>
        <w:rPr>
          <w:rFonts w:ascii="Arial" w:cs="Arial" w:eastAsia="Arial" w:hAnsi="Arial"/>
          <w:sz w:val="15"/>
          <w:szCs w:val="15"/>
          <w:color w:val="auto"/>
        </w:rPr>
      </w:pPr>
    </w:p>
    <w:p>
      <w:pPr>
        <w:ind w:firstLine="924"/>
        <w:spacing w:after="0" w:line="274" w:lineRule="auto"/>
        <w:tabs>
          <w:tab w:leader="none" w:pos="114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We further understand that the Securities must be held indefinitely unless subsequently registered under the Act or unless an exemption from registration is otherwise available. Moreover, we understand that the Company is under no obligation to register the Securities. In addition, we understand that the certificate evidencing the Securities will be imprinted with a legend which prohibits the transfer of the Securities unless they are registered or such registration is not required in the opinion of counsel for the Company.</w:t>
      </w:r>
    </w:p>
    <w:p>
      <w:pPr>
        <w:spacing w:after="0" w:line="164" w:lineRule="exact"/>
        <w:rPr>
          <w:rFonts w:ascii="Arial" w:cs="Arial" w:eastAsia="Arial" w:hAnsi="Arial"/>
          <w:sz w:val="16"/>
          <w:szCs w:val="16"/>
          <w:color w:val="auto"/>
        </w:rPr>
      </w:pPr>
    </w:p>
    <w:p>
      <w:pPr>
        <w:ind w:right="120" w:firstLine="924"/>
        <w:spacing w:after="0" w:line="257" w:lineRule="auto"/>
        <w:tabs>
          <w:tab w:leader="none" w:pos="1159" w:val="left"/>
        </w:tabs>
        <w:numPr>
          <w:ilvl w:val="0"/>
          <w:numId w:val="311"/>
        </w:numPr>
        <w:rPr>
          <w:rFonts w:ascii="Arial" w:cs="Arial" w:eastAsia="Arial" w:hAnsi="Arial"/>
          <w:sz w:val="17"/>
          <w:szCs w:val="17"/>
          <w:color w:val="auto"/>
        </w:rPr>
      </w:pPr>
      <w:r>
        <w:rPr>
          <w:rFonts w:ascii="Arial" w:cs="Arial" w:eastAsia="Arial" w:hAnsi="Arial"/>
          <w:sz w:val="17"/>
          <w:szCs w:val="17"/>
          <w:color w:val="auto"/>
        </w:rPr>
        <w:t>We are aware of the provisions of Rule 144, promulgated under the Act, which, in substance, permits limited public resale of “restricted securities” acquired, directly or indirectly, from the issuer thereof (or from an affiliate of such issuer), in a non-public offering subject to the satisfaction of certain conditions.</w:t>
      </w:r>
    </w:p>
    <w:p>
      <w:pPr>
        <w:spacing w:after="0" w:line="175" w:lineRule="exact"/>
        <w:rPr>
          <w:rFonts w:ascii="Arial" w:cs="Arial" w:eastAsia="Arial" w:hAnsi="Arial"/>
          <w:sz w:val="17"/>
          <w:szCs w:val="17"/>
          <w:color w:val="auto"/>
        </w:rPr>
      </w:pPr>
    </w:p>
    <w:p>
      <w:pPr>
        <w:ind w:left="1160" w:hanging="236"/>
        <w:spacing w:after="0"/>
        <w:tabs>
          <w:tab w:leader="none" w:pos="116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We further understand that at the time we wish to sell the Securities there may be no public market upon which to make such a sale.</w:t>
      </w:r>
    </w:p>
    <w:p>
      <w:pPr>
        <w:spacing w:after="0" w:line="250" w:lineRule="exact"/>
        <w:rPr>
          <w:rFonts w:ascii="Arial" w:cs="Arial" w:eastAsia="Arial" w:hAnsi="Arial"/>
          <w:sz w:val="15"/>
          <w:szCs w:val="15"/>
          <w:color w:val="auto"/>
        </w:rPr>
      </w:pPr>
    </w:p>
    <w:p>
      <w:pPr>
        <w:ind w:left="6160"/>
        <w:spacing w:after="0"/>
        <w:rPr>
          <w:rFonts w:ascii="Arial" w:cs="Arial" w:eastAsia="Arial" w:hAnsi="Arial"/>
          <w:sz w:val="15"/>
          <w:szCs w:val="15"/>
          <w:color w:val="auto"/>
        </w:rPr>
      </w:pPr>
      <w:r>
        <w:rPr>
          <w:rFonts w:ascii="Arial" w:cs="Arial" w:eastAsia="Arial" w:hAnsi="Arial"/>
          <w:sz w:val="17"/>
          <w:szCs w:val="17"/>
          <w:b w:val="1"/>
          <w:bCs w:val="1"/>
          <w:color w:val="auto"/>
        </w:rPr>
        <w:t>[H</w:t>
      </w:r>
      <w:r>
        <w:rPr>
          <w:rFonts w:ascii="Arial" w:cs="Arial" w:eastAsia="Arial" w:hAnsi="Arial"/>
          <w:sz w:val="13"/>
          <w:szCs w:val="13"/>
          <w:b w:val="1"/>
          <w:bCs w:val="1"/>
          <w:color w:val="auto"/>
        </w:rPr>
        <w:t>OLDER</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269240</wp:posOffset>
            </wp:positionV>
            <wp:extent cx="259080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259080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266700</wp:posOffset>
            </wp:positionV>
            <wp:extent cx="25908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2590800" cy="8255"/>
                    </a:xfrm>
                    <a:prstGeom prst="rect">
                      <a:avLst/>
                    </a:prstGeom>
                    <a:noFill/>
                  </pic:spPr>
                </pic:pic>
              </a:graphicData>
            </a:graphic>
          </wp:anchor>
        </w:drawing>
      </w:r>
    </w:p>
    <w:p>
      <w:pPr>
        <w:spacing w:after="0" w:line="40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220"/>
          </w:cols>
          <w:pgMar w:left="820" w:top="265" w:right="85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40" w:type="dxa"/>
            <w:vAlign w:val="bottom"/>
          </w:tcPr>
          <w:p>
            <w:pPr>
              <w:ind w:left="760"/>
              <w:spacing w:after="0"/>
              <w:rPr>
                <w:sz w:val="20"/>
                <w:szCs w:val="20"/>
                <w:color w:val="auto"/>
              </w:rPr>
            </w:pPr>
            <w:r>
              <w:rPr>
                <w:rFonts w:ascii="Arial" w:cs="Arial" w:eastAsia="Arial" w:hAnsi="Arial"/>
                <w:sz w:val="17"/>
                <w:szCs w:val="17"/>
                <w:b w:val="1"/>
                <w:bCs w:val="1"/>
                <w:color w:val="auto"/>
                <w:w w:val="89"/>
              </w:rPr>
              <w:t>Exhibit 5.1</w:t>
            </w:r>
          </w:p>
        </w:tc>
      </w:tr>
      <w:tr>
        <w:trPr>
          <w:trHeight w:val="415"/>
        </w:trPr>
        <w:tc>
          <w:tcPr>
            <w:tcW w:w="7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w w:val="92"/>
              </w:rPr>
              <w:t>200 Clarendon Street</w:t>
            </w:r>
          </w:p>
        </w:tc>
        <w:tc>
          <w:tcPr>
            <w:tcW w:w="1540" w:type="dxa"/>
            <w:vAlign w:val="bottom"/>
          </w:tcPr>
          <w:p>
            <w:pPr>
              <w:spacing w:after="0"/>
              <w:rPr>
                <w:sz w:val="24"/>
                <w:szCs w:val="24"/>
                <w:color w:val="auto"/>
              </w:rPr>
            </w:pP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3880" w:type="dxa"/>
            <w:vAlign w:val="bottom"/>
            <w:gridSpan w:val="2"/>
          </w:tcPr>
          <w:p>
            <w:pPr>
              <w:ind w:left="820"/>
              <w:spacing w:after="0"/>
              <w:rPr>
                <w:sz w:val="20"/>
                <w:szCs w:val="20"/>
                <w:color w:val="auto"/>
              </w:rPr>
            </w:pPr>
            <w:r>
              <w:rPr>
                <w:rFonts w:ascii="Arial" w:cs="Arial" w:eastAsia="Arial" w:hAnsi="Arial"/>
                <w:sz w:val="17"/>
                <w:szCs w:val="17"/>
                <w:color w:val="auto"/>
              </w:rPr>
              <w:t>Boston, Massachusetts 02116</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3880" w:type="dxa"/>
            <w:vAlign w:val="bottom"/>
            <w:gridSpan w:val="2"/>
          </w:tcPr>
          <w:p>
            <w:pPr>
              <w:ind w:left="820"/>
              <w:spacing w:after="0"/>
              <w:rPr>
                <w:sz w:val="20"/>
                <w:szCs w:val="20"/>
                <w:color w:val="auto"/>
              </w:rPr>
            </w:pPr>
            <w:r>
              <w:rPr>
                <w:rFonts w:ascii="Arial" w:cs="Arial" w:eastAsia="Arial" w:hAnsi="Arial"/>
                <w:sz w:val="17"/>
                <w:szCs w:val="17"/>
                <w:color w:val="auto"/>
                <w:w w:val="91"/>
              </w:rPr>
              <w:t>Tel: +1.617.948.6000 Fax: +1.617.948.6001</w:t>
            </w:r>
          </w:p>
        </w:tc>
      </w:tr>
      <w:tr>
        <w:trPr>
          <w:trHeight w:val="213"/>
        </w:trPr>
        <w:tc>
          <w:tcPr>
            <w:tcW w:w="7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www.lw.com</w:t>
            </w:r>
          </w:p>
        </w:tc>
        <w:tc>
          <w:tcPr>
            <w:tcW w:w="1540" w:type="dxa"/>
            <w:vAlign w:val="bottom"/>
          </w:tcPr>
          <w:p>
            <w:pPr>
              <w:spacing w:after="0"/>
              <w:rPr>
                <w:sz w:val="18"/>
                <w:szCs w:val="18"/>
                <w:color w:val="auto"/>
              </w:rPr>
            </w:pPr>
          </w:p>
        </w:tc>
      </w:tr>
      <w:tr>
        <w:trPr>
          <w:trHeight w:val="389"/>
        </w:trPr>
        <w:tc>
          <w:tcPr>
            <w:tcW w:w="7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880" w:type="dxa"/>
            <w:vAlign w:val="bottom"/>
            <w:gridSpan w:val="2"/>
          </w:tcPr>
          <w:p>
            <w:pPr>
              <w:ind w:left="820"/>
              <w:spacing w:after="0"/>
              <w:rPr>
                <w:sz w:val="20"/>
                <w:szCs w:val="20"/>
                <w:color w:val="auto"/>
              </w:rPr>
            </w:pPr>
            <w:r>
              <w:rPr>
                <w:rFonts w:ascii="Arial" w:cs="Arial" w:eastAsia="Arial" w:hAnsi="Arial"/>
                <w:sz w:val="17"/>
                <w:szCs w:val="17"/>
                <w:color w:val="auto"/>
              </w:rPr>
              <w:t>FIRM / AFFILIATE OFFICES</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Beijing</w:t>
            </w:r>
          </w:p>
        </w:tc>
        <w:tc>
          <w:tcPr>
            <w:tcW w:w="1540" w:type="dxa"/>
            <w:vAlign w:val="bottom"/>
          </w:tcPr>
          <w:p>
            <w:pPr>
              <w:ind w:left="120"/>
              <w:spacing w:after="0"/>
              <w:rPr>
                <w:sz w:val="20"/>
                <w:szCs w:val="20"/>
                <w:color w:val="auto"/>
              </w:rPr>
            </w:pPr>
            <w:r>
              <w:rPr>
                <w:rFonts w:ascii="Arial" w:cs="Arial" w:eastAsia="Arial" w:hAnsi="Arial"/>
                <w:sz w:val="17"/>
                <w:szCs w:val="17"/>
                <w:color w:val="auto"/>
              </w:rPr>
              <w:t>Moscow</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Boston</w:t>
            </w:r>
          </w:p>
        </w:tc>
        <w:tc>
          <w:tcPr>
            <w:tcW w:w="1540" w:type="dxa"/>
            <w:vAlign w:val="bottom"/>
          </w:tcPr>
          <w:p>
            <w:pPr>
              <w:ind w:left="120"/>
              <w:spacing w:after="0"/>
              <w:rPr>
                <w:sz w:val="20"/>
                <w:szCs w:val="20"/>
                <w:color w:val="auto"/>
              </w:rPr>
            </w:pPr>
            <w:r>
              <w:rPr>
                <w:rFonts w:ascii="Arial" w:cs="Arial" w:eastAsia="Arial" w:hAnsi="Arial"/>
                <w:sz w:val="17"/>
                <w:szCs w:val="17"/>
                <w:color w:val="auto"/>
              </w:rPr>
              <w:t>Munich</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Brussels</w:t>
            </w:r>
          </w:p>
        </w:tc>
        <w:tc>
          <w:tcPr>
            <w:tcW w:w="1540" w:type="dxa"/>
            <w:vAlign w:val="bottom"/>
          </w:tcPr>
          <w:p>
            <w:pPr>
              <w:ind w:left="120"/>
              <w:spacing w:after="0"/>
              <w:rPr>
                <w:sz w:val="20"/>
                <w:szCs w:val="20"/>
                <w:color w:val="auto"/>
              </w:rPr>
            </w:pPr>
            <w:r>
              <w:rPr>
                <w:rFonts w:ascii="Arial" w:cs="Arial" w:eastAsia="Arial" w:hAnsi="Arial"/>
                <w:sz w:val="17"/>
                <w:szCs w:val="17"/>
                <w:color w:val="auto"/>
              </w:rPr>
              <w:t>New York</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April 27, 2020</w:t>
            </w:r>
          </w:p>
        </w:tc>
        <w:tc>
          <w:tcPr>
            <w:tcW w:w="2340" w:type="dxa"/>
            <w:vAlign w:val="bottom"/>
          </w:tcPr>
          <w:p>
            <w:pPr>
              <w:ind w:left="820"/>
              <w:spacing w:after="0"/>
              <w:rPr>
                <w:sz w:val="20"/>
                <w:szCs w:val="20"/>
                <w:color w:val="auto"/>
              </w:rPr>
            </w:pPr>
            <w:r>
              <w:rPr>
                <w:rFonts w:ascii="Arial" w:cs="Arial" w:eastAsia="Arial" w:hAnsi="Arial"/>
                <w:sz w:val="17"/>
                <w:szCs w:val="17"/>
                <w:color w:val="auto"/>
              </w:rPr>
              <w:t>Century City</w:t>
            </w:r>
          </w:p>
        </w:tc>
        <w:tc>
          <w:tcPr>
            <w:tcW w:w="1540" w:type="dxa"/>
            <w:vAlign w:val="bottom"/>
          </w:tcPr>
          <w:p>
            <w:pPr>
              <w:ind w:left="120"/>
              <w:spacing w:after="0"/>
              <w:rPr>
                <w:sz w:val="20"/>
                <w:szCs w:val="20"/>
                <w:color w:val="auto"/>
              </w:rPr>
            </w:pPr>
            <w:r>
              <w:rPr>
                <w:rFonts w:ascii="Arial" w:cs="Arial" w:eastAsia="Arial" w:hAnsi="Arial"/>
                <w:sz w:val="17"/>
                <w:szCs w:val="17"/>
                <w:color w:val="auto"/>
              </w:rPr>
              <w:t>Orange County</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Chicago</w:t>
            </w:r>
          </w:p>
        </w:tc>
        <w:tc>
          <w:tcPr>
            <w:tcW w:w="1540" w:type="dxa"/>
            <w:vAlign w:val="bottom"/>
          </w:tcPr>
          <w:p>
            <w:pPr>
              <w:ind w:left="120"/>
              <w:spacing w:after="0"/>
              <w:rPr>
                <w:sz w:val="20"/>
                <w:szCs w:val="20"/>
                <w:color w:val="auto"/>
              </w:rPr>
            </w:pPr>
            <w:r>
              <w:rPr>
                <w:rFonts w:ascii="Arial" w:cs="Arial" w:eastAsia="Arial" w:hAnsi="Arial"/>
                <w:sz w:val="17"/>
                <w:szCs w:val="17"/>
                <w:color w:val="auto"/>
              </w:rPr>
              <w:t>Paris</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Dubai</w:t>
            </w:r>
          </w:p>
        </w:tc>
        <w:tc>
          <w:tcPr>
            <w:tcW w:w="1540" w:type="dxa"/>
            <w:vAlign w:val="bottom"/>
          </w:tcPr>
          <w:p>
            <w:pPr>
              <w:ind w:left="120"/>
              <w:spacing w:after="0"/>
              <w:rPr>
                <w:sz w:val="20"/>
                <w:szCs w:val="20"/>
                <w:color w:val="auto"/>
              </w:rPr>
            </w:pPr>
            <w:r>
              <w:rPr>
                <w:rFonts w:ascii="Arial" w:cs="Arial" w:eastAsia="Arial" w:hAnsi="Arial"/>
                <w:sz w:val="17"/>
                <w:szCs w:val="17"/>
                <w:color w:val="auto"/>
              </w:rPr>
              <w:t>Riyadh</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Düsseldorf</w:t>
            </w:r>
          </w:p>
        </w:tc>
        <w:tc>
          <w:tcPr>
            <w:tcW w:w="1540" w:type="dxa"/>
            <w:vAlign w:val="bottom"/>
          </w:tcPr>
          <w:p>
            <w:pPr>
              <w:ind w:left="120"/>
              <w:spacing w:after="0"/>
              <w:rPr>
                <w:sz w:val="20"/>
                <w:szCs w:val="20"/>
                <w:color w:val="auto"/>
              </w:rPr>
            </w:pPr>
            <w:r>
              <w:rPr>
                <w:rFonts w:ascii="Arial" w:cs="Arial" w:eastAsia="Arial" w:hAnsi="Arial"/>
                <w:sz w:val="17"/>
                <w:szCs w:val="17"/>
                <w:color w:val="auto"/>
              </w:rPr>
              <w:t>San Diego</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Frankfurt</w:t>
            </w:r>
          </w:p>
        </w:tc>
        <w:tc>
          <w:tcPr>
            <w:tcW w:w="1540" w:type="dxa"/>
            <w:vAlign w:val="bottom"/>
          </w:tcPr>
          <w:p>
            <w:pPr>
              <w:ind w:left="120"/>
              <w:spacing w:after="0"/>
              <w:rPr>
                <w:sz w:val="20"/>
                <w:szCs w:val="20"/>
                <w:color w:val="auto"/>
              </w:rPr>
            </w:pPr>
            <w:r>
              <w:rPr>
                <w:rFonts w:ascii="Arial" w:cs="Arial" w:eastAsia="Arial" w:hAnsi="Arial"/>
                <w:sz w:val="17"/>
                <w:szCs w:val="17"/>
                <w:color w:val="auto"/>
              </w:rPr>
              <w:t>San Francisco</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Hamburg</w:t>
            </w:r>
          </w:p>
        </w:tc>
        <w:tc>
          <w:tcPr>
            <w:tcW w:w="1540" w:type="dxa"/>
            <w:vAlign w:val="bottom"/>
          </w:tcPr>
          <w:p>
            <w:pPr>
              <w:ind w:left="120"/>
              <w:spacing w:after="0"/>
              <w:rPr>
                <w:sz w:val="20"/>
                <w:szCs w:val="20"/>
                <w:color w:val="auto"/>
              </w:rPr>
            </w:pPr>
            <w:r>
              <w:rPr>
                <w:rFonts w:ascii="Arial" w:cs="Arial" w:eastAsia="Arial" w:hAnsi="Arial"/>
                <w:sz w:val="17"/>
                <w:szCs w:val="17"/>
                <w:color w:val="auto"/>
              </w:rPr>
              <w:t>Seoul</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Hong Kong</w:t>
            </w:r>
          </w:p>
        </w:tc>
        <w:tc>
          <w:tcPr>
            <w:tcW w:w="1540" w:type="dxa"/>
            <w:vAlign w:val="bottom"/>
          </w:tcPr>
          <w:p>
            <w:pPr>
              <w:ind w:left="120"/>
              <w:spacing w:after="0"/>
              <w:rPr>
                <w:sz w:val="20"/>
                <w:szCs w:val="20"/>
                <w:color w:val="auto"/>
              </w:rPr>
            </w:pPr>
            <w:r>
              <w:rPr>
                <w:rFonts w:ascii="Arial" w:cs="Arial" w:eastAsia="Arial" w:hAnsi="Arial"/>
                <w:sz w:val="17"/>
                <w:szCs w:val="17"/>
                <w:color w:val="auto"/>
              </w:rPr>
              <w:t>Shanghai</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Houston</w:t>
            </w:r>
          </w:p>
        </w:tc>
        <w:tc>
          <w:tcPr>
            <w:tcW w:w="1540" w:type="dxa"/>
            <w:vAlign w:val="bottom"/>
          </w:tcPr>
          <w:p>
            <w:pPr>
              <w:ind w:left="120"/>
              <w:spacing w:after="0"/>
              <w:rPr>
                <w:sz w:val="20"/>
                <w:szCs w:val="20"/>
                <w:color w:val="auto"/>
              </w:rPr>
            </w:pPr>
            <w:r>
              <w:rPr>
                <w:rFonts w:ascii="Arial" w:cs="Arial" w:eastAsia="Arial" w:hAnsi="Arial"/>
                <w:sz w:val="17"/>
                <w:szCs w:val="17"/>
                <w:color w:val="auto"/>
              </w:rPr>
              <w:t>Silicon Valley</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London</w:t>
            </w:r>
          </w:p>
        </w:tc>
        <w:tc>
          <w:tcPr>
            <w:tcW w:w="1540" w:type="dxa"/>
            <w:vAlign w:val="bottom"/>
          </w:tcPr>
          <w:p>
            <w:pPr>
              <w:ind w:left="120"/>
              <w:spacing w:after="0"/>
              <w:rPr>
                <w:sz w:val="20"/>
                <w:szCs w:val="20"/>
                <w:color w:val="auto"/>
              </w:rPr>
            </w:pPr>
            <w:r>
              <w:rPr>
                <w:rFonts w:ascii="Arial" w:cs="Arial" w:eastAsia="Arial" w:hAnsi="Arial"/>
                <w:sz w:val="17"/>
                <w:szCs w:val="17"/>
                <w:color w:val="auto"/>
              </w:rPr>
              <w:t>Singapore</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Los Angeles</w:t>
            </w:r>
          </w:p>
        </w:tc>
        <w:tc>
          <w:tcPr>
            <w:tcW w:w="1540" w:type="dxa"/>
            <w:vAlign w:val="bottom"/>
          </w:tcPr>
          <w:p>
            <w:pPr>
              <w:ind w:left="120"/>
              <w:spacing w:after="0"/>
              <w:rPr>
                <w:sz w:val="20"/>
                <w:szCs w:val="20"/>
                <w:color w:val="auto"/>
              </w:rPr>
            </w:pPr>
            <w:r>
              <w:rPr>
                <w:rFonts w:ascii="Arial" w:cs="Arial" w:eastAsia="Arial" w:hAnsi="Arial"/>
                <w:sz w:val="17"/>
                <w:szCs w:val="17"/>
                <w:color w:val="auto"/>
              </w:rPr>
              <w:t>Tokyo</w:t>
            </w:r>
          </w:p>
        </w:tc>
      </w:tr>
      <w:tr>
        <w:trPr>
          <w:trHeight w:val="201"/>
        </w:trPr>
        <w:tc>
          <w:tcPr>
            <w:tcW w:w="7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Madrid</w:t>
            </w:r>
          </w:p>
        </w:tc>
        <w:tc>
          <w:tcPr>
            <w:tcW w:w="1540" w:type="dxa"/>
            <w:vAlign w:val="bottom"/>
          </w:tcPr>
          <w:p>
            <w:pPr>
              <w:ind w:left="120"/>
              <w:spacing w:after="0"/>
              <w:rPr>
                <w:sz w:val="20"/>
                <w:szCs w:val="20"/>
                <w:color w:val="auto"/>
              </w:rPr>
            </w:pPr>
            <w:r>
              <w:rPr>
                <w:rFonts w:ascii="Arial" w:cs="Arial" w:eastAsia="Arial" w:hAnsi="Arial"/>
                <w:sz w:val="17"/>
                <w:szCs w:val="17"/>
                <w:color w:val="auto"/>
              </w:rPr>
              <w:t>Washington, D.C.</w:t>
            </w:r>
          </w:p>
        </w:tc>
      </w:tr>
      <w:tr>
        <w:trPr>
          <w:trHeight w:val="213"/>
        </w:trPr>
        <w:tc>
          <w:tcPr>
            <w:tcW w:w="7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340" w:type="dxa"/>
            <w:vAlign w:val="bottom"/>
          </w:tcPr>
          <w:p>
            <w:pPr>
              <w:ind w:left="820"/>
              <w:spacing w:after="0"/>
              <w:rPr>
                <w:sz w:val="20"/>
                <w:szCs w:val="20"/>
                <w:color w:val="auto"/>
              </w:rPr>
            </w:pPr>
            <w:r>
              <w:rPr>
                <w:rFonts w:ascii="Arial" w:cs="Arial" w:eastAsia="Arial" w:hAnsi="Arial"/>
                <w:sz w:val="17"/>
                <w:szCs w:val="17"/>
                <w:color w:val="auto"/>
              </w:rPr>
              <w:t>Milan</w:t>
            </w:r>
          </w:p>
        </w:tc>
        <w:tc>
          <w:tcPr>
            <w:tcW w:w="1540" w:type="dxa"/>
            <w:vAlign w:val="bottom"/>
          </w:tcPr>
          <w:p>
            <w:pPr>
              <w:spacing w:after="0"/>
              <w:rPr>
                <w:sz w:val="18"/>
                <w:szCs w:val="18"/>
                <w:color w:val="auto"/>
              </w:rPr>
            </w:pPr>
          </w:p>
        </w:tc>
      </w:tr>
      <w:tr>
        <w:trPr>
          <w:trHeight w:val="490"/>
        </w:trPr>
        <w:tc>
          <w:tcPr>
            <w:tcW w:w="6360" w:type="dxa"/>
            <w:vAlign w:val="bottom"/>
            <w:gridSpan w:val="2"/>
          </w:tcPr>
          <w:p>
            <w:pPr>
              <w:spacing w:after="0"/>
              <w:rPr>
                <w:sz w:val="20"/>
                <w:szCs w:val="20"/>
                <w:color w:val="auto"/>
              </w:rPr>
            </w:pPr>
            <w:r>
              <w:rPr>
                <w:rFonts w:ascii="Arial" w:cs="Arial" w:eastAsia="Arial" w:hAnsi="Arial"/>
                <w:sz w:val="17"/>
                <w:szCs w:val="17"/>
                <w:color w:val="auto"/>
              </w:rPr>
              <w:t>Lyra Therapeutics, Inc.</w:t>
            </w: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480 Arsenal Way</w:t>
            </w:r>
          </w:p>
        </w:tc>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Watertown, MA 02472</w:t>
            </w:r>
          </w:p>
        </w:tc>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15"/>
        </w:trPr>
        <w:tc>
          <w:tcPr>
            <w:tcW w:w="780" w:type="dxa"/>
            <w:vAlign w:val="bottom"/>
          </w:tcPr>
          <w:p>
            <w:pPr>
              <w:ind w:left="400"/>
              <w:spacing w:after="0"/>
              <w:rPr>
                <w:sz w:val="20"/>
                <w:szCs w:val="20"/>
                <w:color w:val="auto"/>
              </w:rPr>
            </w:pPr>
            <w:r>
              <w:rPr>
                <w:rFonts w:ascii="Arial" w:cs="Arial" w:eastAsia="Arial" w:hAnsi="Arial"/>
                <w:sz w:val="17"/>
                <w:szCs w:val="17"/>
                <w:color w:val="auto"/>
              </w:rPr>
              <w:t>Re:</w:t>
            </w:r>
          </w:p>
        </w:tc>
        <w:tc>
          <w:tcPr>
            <w:tcW w:w="5580" w:type="dxa"/>
            <w:vAlign w:val="bottom"/>
          </w:tcPr>
          <w:p>
            <w:pPr>
              <w:ind w:left="120"/>
              <w:spacing w:after="0"/>
              <w:rPr>
                <w:sz w:val="20"/>
                <w:szCs w:val="20"/>
                <w:color w:val="auto"/>
              </w:rPr>
            </w:pPr>
            <w:r>
              <w:rPr>
                <w:rFonts w:ascii="Arial" w:cs="Arial" w:eastAsia="Arial" w:hAnsi="Arial"/>
                <w:sz w:val="17"/>
                <w:szCs w:val="17"/>
                <w:color w:val="auto"/>
              </w:rPr>
              <w:t>Registration Statement No. 333-236962;</w:t>
            </w: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3"/>
        </w:trPr>
        <w:tc>
          <w:tcPr>
            <w:tcW w:w="78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7"/>
                <w:szCs w:val="17"/>
                <w:color w:val="auto"/>
              </w:rPr>
              <w:t>$64,400,000 of shares of Common Stock, $0.001 par value per share</w:t>
            </w:r>
          </w:p>
        </w:tc>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-3012440</wp:posOffset>
            </wp:positionV>
            <wp:extent cx="2223770" cy="2552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2223770" cy="25527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06" w:lineRule="exact"/>
        <w:rPr>
          <w:sz w:val="20"/>
          <w:szCs w:val="20"/>
          <w:color w:val="auto"/>
        </w:rPr>
      </w:pPr>
    </w:p>
    <w:p>
      <w:pPr>
        <w:ind w:firstLine="409"/>
        <w:spacing w:after="0" w:line="287" w:lineRule="auto"/>
        <w:rPr>
          <w:sz w:val="20"/>
          <w:szCs w:val="20"/>
          <w:color w:val="auto"/>
        </w:rPr>
      </w:pPr>
      <w:r>
        <w:rPr>
          <w:rFonts w:ascii="Arial" w:cs="Arial" w:eastAsia="Arial" w:hAnsi="Arial"/>
          <w:sz w:val="15"/>
          <w:szCs w:val="15"/>
          <w:color w:val="auto"/>
        </w:rPr>
        <w:t>We have acted as special counsel to Lyra Therapeutics,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in connection with the proposed issuance of up to $64,400,000 of shares (including shares subject to the underwriters’ option to purchase additional shares) of common stock, $0.001 par value per share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The Shares are included in a registration statement on Form S-1 under the Securities Act of 1933, as amended (the “</w:t>
      </w:r>
      <w:r>
        <w:rPr>
          <w:rFonts w:ascii="Arial" w:cs="Arial" w:eastAsia="Arial" w:hAnsi="Arial"/>
          <w:sz w:val="15"/>
          <w:szCs w:val="15"/>
          <w:b w:val="1"/>
          <w:bCs w:val="1"/>
          <w:i w:val="1"/>
          <w:iCs w:val="1"/>
          <w:color w:val="auto"/>
        </w:rPr>
        <w:t>Act</w:t>
      </w:r>
      <w:r>
        <w:rPr>
          <w:rFonts w:ascii="Arial" w:cs="Arial" w:eastAsia="Arial" w:hAnsi="Arial"/>
          <w:sz w:val="15"/>
          <w:szCs w:val="15"/>
          <w:color w:val="auto"/>
        </w:rPr>
        <w:t>”), filed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on March 6, 2020 (Registration No. 333-236962) (as amended, the “</w:t>
      </w:r>
      <w:r>
        <w:rPr>
          <w:rFonts w:ascii="Arial" w:cs="Arial" w:eastAsia="Arial" w:hAnsi="Arial"/>
          <w:sz w:val="15"/>
          <w:szCs w:val="15"/>
          <w:b w:val="1"/>
          <w:bCs w:val="1"/>
          <w:i w:val="1"/>
          <w:iCs w:val="1"/>
          <w:color w:val="auto"/>
        </w:rPr>
        <w:t>Registration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Statement</w:t>
      </w:r>
      <w:r>
        <w:rPr>
          <w:rFonts w:ascii="Arial" w:cs="Arial" w:eastAsia="Arial" w:hAnsi="Arial"/>
          <w:sz w:val="15"/>
          <w:szCs w:val="15"/>
          <w:color w:val="auto"/>
        </w:rPr>
        <w:t>”). The term “Shares” shall include any additional shares of common stock registered by the Company pursuant to Rule 462(b) under the Act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57" w:lineRule="exact"/>
        <w:rPr>
          <w:sz w:val="20"/>
          <w:szCs w:val="20"/>
          <w:color w:val="auto"/>
        </w:rPr>
      </w:pPr>
    </w:p>
    <w:p>
      <w:pPr>
        <w:ind w:right="160" w:firstLine="409"/>
        <w:spacing w:after="0" w:line="253" w:lineRule="auto"/>
        <w:rPr>
          <w:sz w:val="20"/>
          <w:szCs w:val="20"/>
          <w:color w:val="auto"/>
        </w:rPr>
      </w:pPr>
      <w:r>
        <w:rPr>
          <w:rFonts w:ascii="Arial" w:cs="Arial" w:eastAsia="Arial" w:hAnsi="Arial"/>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80" w:lineRule="exact"/>
        <w:rPr>
          <w:sz w:val="20"/>
          <w:szCs w:val="20"/>
          <w:color w:val="auto"/>
        </w:rPr>
      </w:pPr>
    </w:p>
    <w:p>
      <w:pPr>
        <w:ind w:right="240" w:firstLine="409"/>
        <w:spacing w:after="0" w:line="257"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total numbers that do not</w:t>
      </w:r>
    </w:p>
    <w:p>
      <w:pPr>
        <w:sectPr>
          <w:pgSz w:w="11900" w:h="16838" w:orient="portrait"/>
          <w:cols w:equalWidth="0" w:num="1">
            <w:col w:w="10240"/>
          </w:cols>
          <w:pgMar w:left="820" w:top="122" w:right="839" w:bottom="1440" w:gutter="0" w:footer="0" w:header="0"/>
        </w:sectPr>
      </w:pPr>
    </w:p>
    <w:bookmarkStart w:id="377" w:name="page378"/>
    <w:bookmarkEnd w:id="37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April 27, 2020</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1570355" cy="1911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1570355" cy="19113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exceed the total number of shares available under the Company’s certificate of incorporation and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83" w:lineRule="exact"/>
        <w:rPr>
          <w:sz w:val="20"/>
          <w:szCs w:val="20"/>
          <w:color w:val="auto"/>
        </w:rPr>
      </w:pPr>
    </w:p>
    <w:p>
      <w:pPr>
        <w:ind w:right="60" w:firstLine="409"/>
        <w:spacing w:after="0" w:line="293" w:lineRule="auto"/>
        <w:rPr>
          <w:sz w:val="20"/>
          <w:szCs w:val="20"/>
          <w:color w:val="auto"/>
        </w:rPr>
      </w:pPr>
      <w:r>
        <w:rPr>
          <w:rFonts w:ascii="Arial" w:cs="Arial" w:eastAsia="Arial" w:hAnsi="Arial"/>
          <w:sz w:val="15"/>
          <w:szCs w:val="15"/>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77"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Very truly yours,</w:t>
      </w:r>
    </w:p>
    <w:p>
      <w:pPr>
        <w:spacing w:after="0" w:line="20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/s/ LATHAM &amp; WATKINS LLP</w:t>
      </w:r>
    </w:p>
    <w:p>
      <w:pPr>
        <w:sectPr>
          <w:pgSz w:w="11900" w:h="16838" w:orient="portrait"/>
          <w:cols w:equalWidth="0" w:num="1">
            <w:col w:w="10220"/>
          </w:cols>
          <w:pgMar w:left="820" w:top="261" w:right="859" w:bottom="1440" w:gutter="0" w:footer="0" w:header="0"/>
        </w:sectPr>
      </w:pPr>
    </w:p>
    <w:bookmarkStart w:id="378" w:name="page379"/>
    <w:bookmarkEnd w:id="378"/>
    <w:p>
      <w:pPr>
        <w:jc w:val="right"/>
        <w:spacing w:after="0"/>
        <w:rPr>
          <w:sz w:val="20"/>
          <w:szCs w:val="20"/>
          <w:color w:val="auto"/>
        </w:rPr>
      </w:pPr>
      <w:r>
        <w:rPr>
          <w:rFonts w:ascii="Arial" w:cs="Arial" w:eastAsia="Arial" w:hAnsi="Arial"/>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508750" cy="3314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6508750" cy="331470"/>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INCENTIVE AWARD PLAN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w:t>
      </w:r>
    </w:p>
    <w:p>
      <w:pPr>
        <w:spacing w:after="0" w:line="194" w:lineRule="exact"/>
        <w:rPr>
          <w:sz w:val="20"/>
          <w:szCs w:val="20"/>
          <w:color w:val="auto"/>
        </w:rPr>
      </w:pPr>
    </w:p>
    <w:p>
      <w:pPr>
        <w:jc w:val="both"/>
        <w:ind w:right="380" w:firstLine="409"/>
        <w:spacing w:after="0" w:line="257" w:lineRule="auto"/>
        <w:rPr>
          <w:sz w:val="20"/>
          <w:szCs w:val="20"/>
          <w:color w:val="auto"/>
        </w:rPr>
      </w:pPr>
      <w:r>
        <w:rPr>
          <w:rFonts w:ascii="Arial" w:cs="Arial" w:eastAsia="Arial" w:hAnsi="Arial"/>
          <w:sz w:val="17"/>
          <w:szCs w:val="17"/>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w:t>
      </w:r>
    </w:p>
    <w:p>
      <w:pPr>
        <w:spacing w:after="0" w:line="37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ARTICLE II.</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ELIGIBILITY</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ADMINISTRATION AND DELEGATION</w:t>
      </w:r>
    </w:p>
    <w:p>
      <w:pPr>
        <w:spacing w:after="0" w:line="94" w:lineRule="exact"/>
        <w:rPr>
          <w:sz w:val="20"/>
          <w:szCs w:val="20"/>
          <w:color w:val="auto"/>
        </w:rPr>
      </w:pPr>
    </w:p>
    <w:p>
      <w:pPr>
        <w:ind w:right="20" w:firstLine="409"/>
        <w:spacing w:after="0" w:line="25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81" w:lineRule="exact"/>
        <w:rPr>
          <w:sz w:val="20"/>
          <w:szCs w:val="20"/>
          <w:color w:val="auto"/>
        </w:rPr>
      </w:pPr>
    </w:p>
    <w:p>
      <w:pPr>
        <w:ind w:right="160" w:firstLine="409"/>
        <w:spacing w:after="0" w:line="25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AVAILABLE FOR AWARDS</w:t>
      </w:r>
    </w:p>
    <w:p>
      <w:pPr>
        <w:spacing w:after="0" w:line="94" w:lineRule="exact"/>
        <w:rPr>
          <w:sz w:val="20"/>
          <w:szCs w:val="20"/>
          <w:color w:val="auto"/>
        </w:rPr>
      </w:pPr>
    </w:p>
    <w:p>
      <w:pPr>
        <w:ind w:right="20" w:firstLine="409"/>
        <w:spacing w:after="0" w:line="26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Article VIII and the terms of this Article IV, Awards may be made under the Plan covering up to the sum of (i) 2,100,000 Shares; (ii) any shares of Common Stock which are subject to Prior Plan Awards which become available for issuance under the Plan pursuant to Article IV and (iii) an annual increase on the first day of each calendar year beginning January 1, 2021 and ending on and including January 1, 2030, equal to the lesser of (A) 4% of the aggregate number of shares of Common Stock outstanding on the final day of the immediately preceding calendar year and (B) such smaller number of Shares as is determined by the Board (collectively, the “</w:t>
      </w:r>
      <w:r>
        <w:rPr>
          <w:rFonts w:ascii="Arial" w:cs="Arial" w:eastAsia="Arial" w:hAnsi="Arial"/>
          <w:sz w:val="16"/>
          <w:szCs w:val="16"/>
          <w:b w:val="1"/>
          <w:bCs w:val="1"/>
          <w:i w:val="1"/>
          <w:iCs w:val="1"/>
          <w:color w:val="auto"/>
        </w:rPr>
        <w:t>Overall Share Limit</w:t>
      </w:r>
      <w:r>
        <w:rPr>
          <w:rFonts w:ascii="Arial" w:cs="Arial" w:eastAsia="Arial" w:hAnsi="Arial"/>
          <w:sz w:val="16"/>
          <w:szCs w:val="16"/>
          <w:color w:val="auto"/>
        </w:rPr>
        <w:t>”). As of the Plan’s effective date under Section 10.3, the Company will cease granting awards under the Prior Plans; however, Prior Plan Awards will remain subject to the terms of the applicable Prior Plan. Shares issued under the Plan may consist of authorized but unissued Shares, Shares purchased on the open market or treasury Shares.</w:t>
      </w:r>
    </w:p>
    <w:p>
      <w:pPr>
        <w:sectPr>
          <w:pgSz w:w="11900" w:h="16838" w:orient="portrait"/>
          <w:cols w:equalWidth="0" w:num="1">
            <w:col w:w="10240"/>
          </w:cols>
          <w:pgMar w:left="820" w:top="123" w:right="839" w:bottom="1440" w:gutter="0" w:footer="0" w:header="0"/>
        </w:sectPr>
      </w:pPr>
    </w:p>
    <w:bookmarkStart w:id="379" w:name="page380"/>
    <w:bookmarkEnd w:id="379"/>
    <w:p>
      <w:pPr>
        <w:ind w:firstLine="409"/>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4.2 </w:t>
      </w:r>
      <w:r>
        <w:rPr>
          <w:rFonts w:ascii="Arial" w:cs="Arial" w:eastAsia="Arial" w:hAnsi="Arial"/>
          <w:sz w:val="15"/>
          <w:szCs w:val="15"/>
          <w:u w:val="single" w:color="auto"/>
          <w:color w:val="auto"/>
        </w:rPr>
        <w:t>Share Recycling</w:t>
      </w:r>
      <w:r>
        <w:rPr>
          <w:rFonts w:ascii="Arial" w:cs="Arial" w:eastAsia="Arial" w:hAnsi="Arial"/>
          <w:sz w:val="15"/>
          <w:szCs w:val="15"/>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58" w:lineRule="exact"/>
        <w:rPr>
          <w:sz w:val="20"/>
          <w:szCs w:val="20"/>
          <w:color w:val="auto"/>
        </w:rPr>
      </w:pPr>
    </w:p>
    <w:p>
      <w:pPr>
        <w:ind w:right="140" w:firstLine="409"/>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Incentive Stock Option Limitations</w:t>
      </w:r>
      <w:r>
        <w:rPr>
          <w:rFonts w:ascii="Arial" w:cs="Arial" w:eastAsia="Arial" w:hAnsi="Arial"/>
          <w:sz w:val="17"/>
          <w:szCs w:val="17"/>
          <w:color w:val="auto"/>
        </w:rPr>
        <w:t>. Notwithstanding anything to the contrary herein, no more than 8,800,000 Shares may be issued pursuant to the exercise of Incentive Stock Options.</w:t>
      </w:r>
    </w:p>
    <w:p>
      <w:pPr>
        <w:spacing w:after="0" w:line="66" w:lineRule="exact"/>
        <w:rPr>
          <w:sz w:val="20"/>
          <w:szCs w:val="20"/>
          <w:color w:val="auto"/>
        </w:rPr>
      </w:pPr>
    </w:p>
    <w:p>
      <w:pPr>
        <w:ind w:right="20" w:firstLine="409"/>
        <w:spacing w:after="0" w:line="283"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Substitute Awards</w:t>
      </w:r>
      <w:r>
        <w:rPr>
          <w:rFonts w:ascii="Arial" w:cs="Arial" w:eastAsia="Arial" w:hAnsi="Arial"/>
          <w:sz w:val="15"/>
          <w:szCs w:val="15"/>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65" w:lineRule="exact"/>
        <w:rPr>
          <w:sz w:val="20"/>
          <w:szCs w:val="20"/>
          <w:color w:val="auto"/>
        </w:rPr>
      </w:pPr>
    </w:p>
    <w:p>
      <w:pPr>
        <w:ind w:right="100" w:firstLine="409"/>
        <w:spacing w:after="0" w:line="287"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Non-Employee Director Compensation</w:t>
      </w:r>
      <w:r>
        <w:rPr>
          <w:rFonts w:ascii="Arial" w:cs="Arial" w:eastAsia="Arial" w:hAnsi="Arial"/>
          <w:sz w:val="15"/>
          <w:szCs w:val="15"/>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$600,000, increased to $900,000 in the fiscal year in which the Plan’s effective date occurs or in the fiscal year of a non-employee Director’s initial service as a non-employee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5" w:right="839" w:bottom="1440" w:gutter="0" w:footer="0" w:header="0"/>
        </w:sectPr>
      </w:pPr>
    </w:p>
    <w:bookmarkStart w:id="380" w:name="page381"/>
    <w:bookmarkEnd w:id="380"/>
    <w:p>
      <w:pPr>
        <w:ind w:right="16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Director.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OPTIONS AND STOCK APPRECIATION RIGHTS</w:t>
      </w:r>
    </w:p>
    <w:p>
      <w:pPr>
        <w:spacing w:after="0" w:line="94" w:lineRule="exact"/>
        <w:rPr>
          <w:sz w:val="20"/>
          <w:szCs w:val="20"/>
          <w:color w:val="auto"/>
        </w:rPr>
      </w:pPr>
    </w:p>
    <w:p>
      <w:pPr>
        <w:ind w:right="20" w:firstLine="409"/>
        <w:spacing w:after="0" w:line="26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General</w:t>
      </w:r>
      <w:r>
        <w:rPr>
          <w:rFonts w:ascii="Arial" w:cs="Arial" w:eastAsia="Arial" w:hAnsi="Arial"/>
          <w:sz w:val="16"/>
          <w:szCs w:val="16"/>
          <w:color w:val="auto"/>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73" w:lineRule="exact"/>
        <w:rPr>
          <w:sz w:val="20"/>
          <w:szCs w:val="20"/>
          <w:color w:val="auto"/>
        </w:rPr>
      </w:pPr>
    </w:p>
    <w:p>
      <w:pPr>
        <w:ind w:right="100" w:firstLine="409"/>
        <w:spacing w:after="0" w:line="25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Exercise Price</w:t>
      </w:r>
      <w:r>
        <w:rPr>
          <w:rFonts w:ascii="Arial" w:cs="Arial" w:eastAsia="Arial" w:hAnsi="Arial"/>
          <w:sz w:val="17"/>
          <w:szCs w:val="17"/>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75" w:lineRule="exact"/>
        <w:rPr>
          <w:sz w:val="20"/>
          <w:szCs w:val="20"/>
          <w:color w:val="auto"/>
        </w:rPr>
      </w:pPr>
    </w:p>
    <w:p>
      <w:pPr>
        <w:ind w:firstLine="409"/>
        <w:spacing w:after="0" w:line="282"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Duration</w:t>
      </w:r>
      <w:r>
        <w:rPr>
          <w:rFonts w:ascii="Arial" w:cs="Arial" w:eastAsia="Arial" w:hAnsi="Arial"/>
          <w:sz w:val="15"/>
          <w:szCs w:val="15"/>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0"/>
          </w:cols>
          <w:pgMar w:left="820" w:top="265" w:right="839" w:bottom="1440" w:gutter="0" w:footer="0" w:header="0"/>
        </w:sectPr>
      </w:pPr>
    </w:p>
    <w:bookmarkStart w:id="381" w:name="page382"/>
    <w:bookmarkEnd w:id="381"/>
    <w:p>
      <w:pPr>
        <w:ind w:firstLine="409"/>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5.4 </w:t>
      </w:r>
      <w:r>
        <w:rPr>
          <w:rFonts w:ascii="Arial" w:cs="Arial" w:eastAsia="Arial" w:hAnsi="Arial"/>
          <w:sz w:val="17"/>
          <w:szCs w:val="17"/>
          <w:u w:val="single" w:color="auto"/>
          <w:color w:val="auto"/>
        </w:rPr>
        <w:t>Exercise</w:t>
      </w:r>
      <w:r>
        <w:rPr>
          <w:rFonts w:ascii="Arial" w:cs="Arial" w:eastAsia="Arial" w:hAnsi="Arial"/>
          <w:sz w:val="17"/>
          <w:szCs w:val="17"/>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82" w:lineRule="exact"/>
        <w:rPr>
          <w:sz w:val="20"/>
          <w:szCs w:val="20"/>
          <w:color w:val="auto"/>
        </w:rPr>
      </w:pPr>
    </w:p>
    <w:p>
      <w:pPr>
        <w:ind w:right="140" w:firstLine="409"/>
        <w:spacing w:after="0" w:line="26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Payment Upon Exercise</w:t>
      </w:r>
      <w:r>
        <w:rPr>
          <w:rFonts w:ascii="Arial" w:cs="Arial" w:eastAsia="Arial" w:hAnsi="Arial"/>
          <w:sz w:val="17"/>
          <w:szCs w:val="17"/>
          <w:color w:val="auto"/>
        </w:rPr>
        <w:t>. Subject to Section 10.8, any Company insider trading policy (including blackout periods) and Applicable Laws, the exercise price of an Option must be paid by:</w:t>
      </w:r>
    </w:p>
    <w:p>
      <w:pPr>
        <w:spacing w:after="0" w:line="66" w:lineRule="exact"/>
        <w:rPr>
          <w:sz w:val="20"/>
          <w:szCs w:val="20"/>
          <w:color w:val="auto"/>
        </w:rPr>
      </w:pPr>
    </w:p>
    <w:p>
      <w:pPr>
        <w:ind w:right="200" w:firstLine="924"/>
        <w:spacing w:after="0" w:line="268" w:lineRule="auto"/>
        <w:tabs>
          <w:tab w:leader="none" w:pos="114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65" w:lineRule="exact"/>
        <w:rPr>
          <w:rFonts w:ascii="Arial" w:cs="Arial" w:eastAsia="Arial" w:hAnsi="Arial"/>
          <w:sz w:val="17"/>
          <w:szCs w:val="17"/>
          <w:color w:val="auto"/>
        </w:rPr>
      </w:pPr>
    </w:p>
    <w:p>
      <w:pPr>
        <w:ind w:right="20" w:firstLine="924"/>
        <w:spacing w:after="0" w:line="271" w:lineRule="auto"/>
        <w:tabs>
          <w:tab w:leader="none" w:pos="1159"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65" w:lineRule="exact"/>
        <w:rPr>
          <w:rFonts w:ascii="Arial" w:cs="Arial" w:eastAsia="Arial" w:hAnsi="Arial"/>
          <w:sz w:val="16"/>
          <w:szCs w:val="16"/>
          <w:color w:val="auto"/>
        </w:rPr>
      </w:pPr>
    </w:p>
    <w:p>
      <w:pPr>
        <w:ind w:right="460" w:firstLine="924"/>
        <w:spacing w:after="0" w:line="268" w:lineRule="auto"/>
        <w:tabs>
          <w:tab w:leader="none" w:pos="114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to the extent permitted by the Administrator, delivery (either by actual delivery or attestation) of Shares owned by the Participant valued at their Fair Market Value;</w:t>
      </w:r>
    </w:p>
    <w:p>
      <w:pPr>
        <w:spacing w:after="0" w:line="65" w:lineRule="exact"/>
        <w:rPr>
          <w:rFonts w:ascii="Arial" w:cs="Arial" w:eastAsia="Arial" w:hAnsi="Arial"/>
          <w:sz w:val="17"/>
          <w:szCs w:val="17"/>
          <w:color w:val="auto"/>
        </w:rPr>
      </w:pPr>
    </w:p>
    <w:p>
      <w:pPr>
        <w:ind w:right="140" w:firstLine="924"/>
        <w:spacing w:after="0" w:line="268" w:lineRule="auto"/>
        <w:tabs>
          <w:tab w:leader="none" w:pos="115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to the extent permitted by the Administrator, surrendering Shares then issuable upon the Option’s exercise valued at their Fair Market Value on the exercise date;</w:t>
      </w:r>
    </w:p>
    <w:p>
      <w:pPr>
        <w:spacing w:after="0" w:line="65" w:lineRule="exact"/>
        <w:rPr>
          <w:rFonts w:ascii="Arial" w:cs="Arial" w:eastAsia="Arial" w:hAnsi="Arial"/>
          <w:sz w:val="17"/>
          <w:szCs w:val="17"/>
          <w:color w:val="auto"/>
        </w:rPr>
      </w:pPr>
    </w:p>
    <w:p>
      <w:pPr>
        <w:ind w:right="180" w:firstLine="924"/>
        <w:spacing w:after="0" w:line="268" w:lineRule="auto"/>
        <w:tabs>
          <w:tab w:leader="none" w:pos="114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to the extent permitted by the Administrator, delivery of a promissory note or any other property that the Administrator determines is good and valuable consideration; or</w:t>
      </w:r>
    </w:p>
    <w:p>
      <w:pPr>
        <w:spacing w:after="0" w:line="65" w:lineRule="exact"/>
        <w:rPr>
          <w:rFonts w:ascii="Arial" w:cs="Arial" w:eastAsia="Arial" w:hAnsi="Arial"/>
          <w:sz w:val="17"/>
          <w:szCs w:val="17"/>
          <w:color w:val="auto"/>
        </w:rPr>
      </w:pPr>
    </w:p>
    <w:p>
      <w:pPr>
        <w:ind w:left="1140" w:hanging="216"/>
        <w:spacing w:after="0"/>
        <w:tabs>
          <w:tab w:leader="none" w:pos="11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to the extent permitted by the Company, any combination of the above payment forms approved by the Administrator.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RESTRICTED STOCK UNITS</w:t>
      </w:r>
    </w:p>
    <w:p>
      <w:pPr>
        <w:spacing w:after="0" w:line="94" w:lineRule="exact"/>
        <w:rPr>
          <w:sz w:val="20"/>
          <w:szCs w:val="20"/>
          <w:color w:val="auto"/>
        </w:rPr>
      </w:pPr>
    </w:p>
    <w:p>
      <w:pPr>
        <w:ind w:right="20" w:firstLine="409"/>
        <w:spacing w:after="0" w:line="26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General</w:t>
      </w:r>
      <w:r>
        <w:rPr>
          <w:rFonts w:ascii="Arial" w:cs="Arial" w:eastAsia="Arial" w:hAnsi="Arial"/>
          <w:sz w:val="16"/>
          <w:szCs w:val="16"/>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40"/>
          </w:cols>
          <w:pgMar w:left="820" w:top="265" w:right="839" w:bottom="1440" w:gutter="0" w:footer="0" w:header="0"/>
        </w:sectPr>
      </w:pPr>
    </w:p>
    <w:bookmarkStart w:id="382" w:name="page383"/>
    <w:bookmarkEnd w:id="382"/>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6.2 </w:t>
      </w:r>
      <w:r>
        <w:rPr>
          <w:rFonts w:ascii="Arial" w:cs="Arial" w:eastAsia="Arial" w:hAnsi="Arial"/>
          <w:sz w:val="17"/>
          <w:szCs w:val="17"/>
          <w:u w:val="single" w:color="auto"/>
          <w:color w:val="auto"/>
        </w:rPr>
        <w:t>Restricted Stock</w:t>
      </w:r>
      <w:r>
        <w:rPr>
          <w:rFonts w:ascii="Arial" w:cs="Arial" w:eastAsia="Arial" w:hAnsi="Arial"/>
          <w:sz w:val="17"/>
          <w:szCs w:val="17"/>
          <w:color w:val="auto"/>
        </w:rPr>
        <w:t>.</w:t>
      </w:r>
    </w:p>
    <w:p>
      <w:pPr>
        <w:spacing w:after="0" w:line="106" w:lineRule="exact"/>
        <w:rPr>
          <w:sz w:val="20"/>
          <w:szCs w:val="20"/>
          <w:color w:val="auto"/>
        </w:rPr>
      </w:pPr>
    </w:p>
    <w:p>
      <w:pPr>
        <w:ind w:firstLine="924"/>
        <w:spacing w:after="0" w:line="251" w:lineRule="auto"/>
        <w:tabs>
          <w:tab w:leader="none" w:pos="1149"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82" w:lineRule="exact"/>
        <w:rPr>
          <w:rFonts w:ascii="Arial" w:cs="Arial" w:eastAsia="Arial" w:hAnsi="Arial"/>
          <w:sz w:val="17"/>
          <w:szCs w:val="17"/>
          <w:color w:val="auto"/>
        </w:rPr>
      </w:pPr>
    </w:p>
    <w:p>
      <w:pPr>
        <w:ind w:right="360" w:firstLine="924"/>
        <w:spacing w:after="0" w:line="268" w:lineRule="auto"/>
        <w:tabs>
          <w:tab w:leader="none" w:pos="1158"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Stock Certificates</w:t>
      </w:r>
      <w:r>
        <w:rPr>
          <w:rFonts w:ascii="Arial" w:cs="Arial" w:eastAsia="Arial" w:hAnsi="Arial"/>
          <w:sz w:val="17"/>
          <w:szCs w:val="17"/>
          <w:color w:val="auto"/>
        </w:rPr>
        <w:t>. The Company may require that the Participant deposit in escrow with the Company (or its designee) any stock certificates issued in respect of shares of Restricted Stock, together with a stock power endorsed in blank.</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Restricted Stock Units.</w:t>
      </w:r>
    </w:p>
    <w:p>
      <w:pPr>
        <w:spacing w:after="0" w:line="106" w:lineRule="exact"/>
        <w:rPr>
          <w:sz w:val="20"/>
          <w:szCs w:val="20"/>
          <w:color w:val="auto"/>
        </w:rPr>
      </w:pPr>
    </w:p>
    <w:p>
      <w:pPr>
        <w:ind w:firstLine="924"/>
        <w:spacing w:after="0" w:line="257" w:lineRule="auto"/>
        <w:tabs>
          <w:tab w:leader="none" w:pos="1149"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74" w:lineRule="exact"/>
        <w:rPr>
          <w:rFonts w:ascii="Arial" w:cs="Arial" w:eastAsia="Arial" w:hAnsi="Arial"/>
          <w:sz w:val="17"/>
          <w:szCs w:val="17"/>
          <w:color w:val="auto"/>
        </w:rPr>
      </w:pPr>
    </w:p>
    <w:p>
      <w:pPr>
        <w:ind w:right="400" w:firstLine="924"/>
        <w:spacing w:after="0" w:line="268" w:lineRule="auto"/>
        <w:tabs>
          <w:tab w:leader="none" w:pos="1158"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Stockholder Rights</w:t>
      </w:r>
      <w:r>
        <w:rPr>
          <w:rFonts w:ascii="Arial" w:cs="Arial" w:eastAsia="Arial" w:hAnsi="Arial"/>
          <w:sz w:val="17"/>
          <w:szCs w:val="17"/>
          <w:color w:val="auto"/>
        </w:rPr>
        <w:t>. A Participant will have no rights of a stockholder with respect to Shares subject to any Restricted Stock Unit unless and until the Shares are delivered in settlement of the Restricted Stock Unit.</w:t>
      </w:r>
    </w:p>
    <w:p>
      <w:pPr>
        <w:spacing w:after="0" w:line="65" w:lineRule="exact"/>
        <w:rPr>
          <w:rFonts w:ascii="Arial" w:cs="Arial" w:eastAsia="Arial" w:hAnsi="Arial"/>
          <w:sz w:val="17"/>
          <w:szCs w:val="17"/>
          <w:color w:val="auto"/>
        </w:rPr>
      </w:pPr>
    </w:p>
    <w:p>
      <w:pPr>
        <w:ind w:right="240" w:firstLine="924"/>
        <w:spacing w:after="0" w:line="274" w:lineRule="auto"/>
        <w:tabs>
          <w:tab w:leader="none" w:pos="1149"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OTHER STOCK OR CASH BASED AWARDS</w:t>
      </w:r>
    </w:p>
    <w:p>
      <w:pPr>
        <w:spacing w:after="0" w:line="194" w:lineRule="exact"/>
        <w:rPr>
          <w:sz w:val="20"/>
          <w:szCs w:val="20"/>
          <w:color w:val="auto"/>
        </w:rPr>
      </w:pPr>
    </w:p>
    <w:p>
      <w:pPr>
        <w:ind w:right="20" w:firstLine="409"/>
        <w:spacing w:after="0" w:line="249" w:lineRule="auto"/>
        <w:rPr>
          <w:sz w:val="20"/>
          <w:szCs w:val="20"/>
          <w:color w:val="auto"/>
        </w:rPr>
      </w:pPr>
      <w:r>
        <w:rPr>
          <w:rFonts w:ascii="Arial" w:cs="Arial" w:eastAsia="Arial" w:hAnsi="Arial"/>
          <w:sz w:val="17"/>
          <w:szCs w:val="17"/>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00"/>
          </w:cols>
          <w:pgMar w:left="820" w:top="265" w:right="879" w:bottom="1440" w:gutter="0" w:footer="0" w:header="0"/>
        </w:sectPr>
      </w:pPr>
    </w:p>
    <w:bookmarkStart w:id="383" w:name="page384"/>
    <w:bookmarkEnd w:id="38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ADJUSTMENTS FOR CHANGES IN COMMON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CERTAIN OTHER EVENTS</w:t>
      </w:r>
    </w:p>
    <w:p>
      <w:pPr>
        <w:spacing w:after="0" w:line="94" w:lineRule="exact"/>
        <w:rPr>
          <w:sz w:val="20"/>
          <w:szCs w:val="20"/>
          <w:color w:val="auto"/>
        </w:rPr>
      </w:pPr>
    </w:p>
    <w:p>
      <w:pPr>
        <w:ind w:right="40" w:firstLine="409"/>
        <w:spacing w:after="0" w:line="293"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Equity Restructuring(a)</w:t>
      </w:r>
      <w:r>
        <w:rPr>
          <w:rFonts w:ascii="Arial" w:cs="Arial" w:eastAsia="Arial" w:hAnsi="Arial"/>
          <w:sz w:val="15"/>
          <w:szCs w:val="15"/>
          <w:color w:val="auto"/>
        </w:rPr>
        <w:t xml:space="preserve">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52" w:lineRule="exact"/>
        <w:rPr>
          <w:sz w:val="20"/>
          <w:szCs w:val="20"/>
          <w:color w:val="auto"/>
        </w:rPr>
      </w:pPr>
    </w:p>
    <w:p>
      <w:pPr>
        <w:ind w:firstLine="409"/>
        <w:spacing w:after="0" w:line="26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73" w:lineRule="exact"/>
        <w:rPr>
          <w:sz w:val="20"/>
          <w:szCs w:val="20"/>
          <w:color w:val="auto"/>
        </w:rPr>
      </w:pPr>
    </w:p>
    <w:p>
      <w:pPr>
        <w:ind w:right="60" w:firstLine="924"/>
        <w:spacing w:after="0" w:line="251" w:lineRule="auto"/>
        <w:tabs>
          <w:tab w:leader="none" w:pos="114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82" w:lineRule="exact"/>
        <w:rPr>
          <w:rFonts w:ascii="Arial" w:cs="Arial" w:eastAsia="Arial" w:hAnsi="Arial"/>
          <w:sz w:val="17"/>
          <w:szCs w:val="17"/>
          <w:color w:val="auto"/>
        </w:rPr>
      </w:pPr>
    </w:p>
    <w:p>
      <w:pPr>
        <w:ind w:right="320" w:firstLine="924"/>
        <w:spacing w:after="0" w:line="268" w:lineRule="auto"/>
        <w:tabs>
          <w:tab w:leader="none" w:pos="115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To provide that such Award shall vest and, to the extent applicable, be exercisable as to all shares covered thereby, notwithstanding anything to the contrary in the Plan or the provisions of such Award;</w:t>
      </w:r>
    </w:p>
    <w:p>
      <w:pPr>
        <w:spacing w:after="0" w:line="65" w:lineRule="exact"/>
        <w:rPr>
          <w:rFonts w:ascii="Arial" w:cs="Arial" w:eastAsia="Arial" w:hAnsi="Arial"/>
          <w:sz w:val="17"/>
          <w:szCs w:val="17"/>
          <w:color w:val="auto"/>
        </w:rPr>
      </w:pPr>
    </w:p>
    <w:p>
      <w:pPr>
        <w:ind w:right="140" w:firstLine="924"/>
        <w:spacing w:after="0" w:line="307" w:lineRule="auto"/>
        <w:tabs>
          <w:tab w:leader="none" w:pos="1149" w:val="left"/>
        </w:tabs>
        <w:numPr>
          <w:ilvl w:val="0"/>
          <w:numId w:val="315"/>
        </w:numPr>
        <w:rPr>
          <w:rFonts w:ascii="Arial" w:cs="Arial" w:eastAsia="Arial" w:hAnsi="Arial"/>
          <w:sz w:val="15"/>
          <w:szCs w:val="15"/>
          <w:color w:val="auto"/>
        </w:rPr>
      </w:pPr>
      <w:r>
        <w:rPr>
          <w:rFonts w:ascii="Arial" w:cs="Arial" w:eastAsia="Arial" w:hAnsi="Arial"/>
          <w:sz w:val="15"/>
          <w:szCs w:val="15"/>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41" w:lineRule="exact"/>
        <w:rPr>
          <w:rFonts w:ascii="Arial" w:cs="Arial" w:eastAsia="Arial" w:hAnsi="Arial"/>
          <w:sz w:val="15"/>
          <w:szCs w:val="15"/>
          <w:color w:val="auto"/>
        </w:rPr>
      </w:pPr>
    </w:p>
    <w:p>
      <w:pPr>
        <w:ind w:right="220" w:firstLine="924"/>
        <w:spacing w:after="0" w:line="253" w:lineRule="auto"/>
        <w:tabs>
          <w:tab w:leader="none" w:pos="115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40"/>
          </w:cols>
          <w:pgMar w:left="820" w:top="261" w:right="839" w:bottom="1440" w:gutter="0" w:footer="0" w:header="0"/>
        </w:sectPr>
      </w:pPr>
    </w:p>
    <w:bookmarkStart w:id="384" w:name="page385"/>
    <w:bookmarkEnd w:id="384"/>
    <w:p>
      <w:pPr>
        <w:ind w:left="1160" w:hanging="236"/>
        <w:spacing w:after="0"/>
        <w:tabs>
          <w:tab w:leader="none" w:pos="11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To replace such Award with other rights or property selected by the Administrator; and/or</w:t>
      </w:r>
    </w:p>
    <w:p>
      <w:pPr>
        <w:spacing w:after="0" w:line="105" w:lineRule="exact"/>
        <w:rPr>
          <w:rFonts w:ascii="Arial" w:cs="Arial" w:eastAsia="Arial" w:hAnsi="Arial"/>
          <w:sz w:val="17"/>
          <w:szCs w:val="17"/>
          <w:color w:val="auto"/>
        </w:rPr>
      </w:pPr>
    </w:p>
    <w:p>
      <w:pPr>
        <w:ind w:left="1140" w:hanging="216"/>
        <w:spacing w:after="0"/>
        <w:tabs>
          <w:tab w:leader="none" w:pos="11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To provide that the Award will terminate and cannot vest, be exercised or become payable after the applicable event.</w:t>
      </w:r>
    </w:p>
    <w:p>
      <w:pPr>
        <w:spacing w:after="0" w:line="106" w:lineRule="exact"/>
        <w:rPr>
          <w:sz w:val="20"/>
          <w:szCs w:val="20"/>
          <w:color w:val="auto"/>
        </w:rPr>
      </w:pPr>
    </w:p>
    <w:p>
      <w:pPr>
        <w:ind w:right="180" w:firstLine="409"/>
        <w:spacing w:after="0" w:line="298"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Administrative Stand Still</w:t>
      </w:r>
      <w:r>
        <w:rPr>
          <w:rFonts w:ascii="Arial" w:cs="Arial" w:eastAsia="Arial" w:hAnsi="Arial"/>
          <w:sz w:val="15"/>
          <w:szCs w:val="15"/>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47" w:lineRule="exact"/>
        <w:rPr>
          <w:sz w:val="20"/>
          <w:szCs w:val="20"/>
          <w:color w:val="auto"/>
        </w:rPr>
      </w:pPr>
    </w:p>
    <w:p>
      <w:pPr>
        <w:ind w:firstLine="409"/>
        <w:spacing w:after="0" w:line="26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General</w:t>
      </w:r>
      <w:r>
        <w:rPr>
          <w:rFonts w:ascii="Arial" w:cs="Arial" w:eastAsia="Arial" w:hAnsi="Arial"/>
          <w:sz w:val="16"/>
          <w:szCs w:val="16"/>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 APPLICABLE TO AWARDS</w:t>
      </w:r>
    </w:p>
    <w:p>
      <w:pPr>
        <w:spacing w:after="0" w:line="94" w:lineRule="exact"/>
        <w:rPr>
          <w:sz w:val="20"/>
          <w:szCs w:val="20"/>
          <w:color w:val="auto"/>
        </w:rPr>
      </w:pPr>
    </w:p>
    <w:p>
      <w:pPr>
        <w:ind w:right="160" w:firstLine="409"/>
        <w:spacing w:after="0" w:line="27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Documentation</w:t>
      </w:r>
      <w:r>
        <w:rPr>
          <w:rFonts w:ascii="Arial" w:cs="Arial" w:eastAsia="Arial" w:hAnsi="Arial"/>
          <w:sz w:val="15"/>
          <w:szCs w:val="15"/>
          <w:color w:val="auto"/>
        </w:rPr>
        <w:t>. Each Award will be evidenced in an Award Agreement, which may be written or electronic, as the Administrator determines.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Each Award may contain terms and conditions in addition to those set forth in the Plan.</w:t>
      </w:r>
    </w:p>
    <w:p>
      <w:pPr>
        <w:spacing w:after="0" w:line="94" w:lineRule="exact"/>
        <w:rPr>
          <w:sz w:val="20"/>
          <w:szCs w:val="20"/>
          <w:color w:val="auto"/>
        </w:rPr>
      </w:pPr>
    </w:p>
    <w:p>
      <w:pPr>
        <w:ind w:right="120" w:firstLine="409"/>
        <w:spacing w:after="0" w:line="335"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Discretion</w:t>
      </w:r>
      <w:r>
        <w:rPr>
          <w:rFonts w:ascii="Arial" w:cs="Arial" w:eastAsia="Arial" w:hAnsi="Arial"/>
          <w:sz w:val="15"/>
          <w:szCs w:val="15"/>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40"/>
          </w:cols>
          <w:pgMar w:left="820" w:top="265" w:right="839" w:bottom="1440" w:gutter="0" w:footer="0" w:header="0"/>
        </w:sectPr>
      </w:pPr>
    </w:p>
    <w:bookmarkStart w:id="385" w:name="page386"/>
    <w:bookmarkEnd w:id="385"/>
    <w:p>
      <w:pPr>
        <w:jc w:val="both"/>
        <w:ind w:right="20" w:firstLine="409"/>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9.4 </w:t>
      </w:r>
      <w:r>
        <w:rPr>
          <w:rFonts w:ascii="Arial" w:cs="Arial" w:eastAsia="Arial" w:hAnsi="Arial"/>
          <w:sz w:val="15"/>
          <w:szCs w:val="15"/>
          <w:u w:val="single" w:color="auto"/>
          <w:color w:val="auto"/>
        </w:rPr>
        <w:t>Termination of Status</w:t>
      </w:r>
      <w:r>
        <w:rPr>
          <w:rFonts w:ascii="Arial" w:cs="Arial" w:eastAsia="Arial" w:hAnsi="Arial"/>
          <w:sz w:val="15"/>
          <w:szCs w:val="15"/>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41" w:lineRule="exact"/>
        <w:rPr>
          <w:sz w:val="20"/>
          <w:szCs w:val="20"/>
          <w:color w:val="auto"/>
        </w:rPr>
      </w:pPr>
    </w:p>
    <w:p>
      <w:pPr>
        <w:ind w:firstLine="409"/>
        <w:spacing w:after="0" w:line="282" w:lineRule="auto"/>
        <w:rPr>
          <w:sz w:val="20"/>
          <w:szCs w:val="20"/>
          <w:color w:val="auto"/>
        </w:rPr>
      </w:pPr>
      <w:r>
        <w:rPr>
          <w:rFonts w:ascii="Arial" w:cs="Arial" w:eastAsia="Arial" w:hAnsi="Arial"/>
          <w:sz w:val="15"/>
          <w:szCs w:val="15"/>
          <w:color w:val="auto"/>
        </w:rPr>
        <w:t xml:space="preserve">9.5 </w:t>
      </w:r>
      <w:r>
        <w:rPr>
          <w:rFonts w:ascii="Arial" w:cs="Arial" w:eastAsia="Arial" w:hAnsi="Arial"/>
          <w:sz w:val="15"/>
          <w:szCs w:val="15"/>
          <w:u w:val="single" w:color="auto"/>
          <w:color w:val="auto"/>
        </w:rPr>
        <w:t>Withholding</w:t>
      </w:r>
      <w:r>
        <w:rPr>
          <w:rFonts w:ascii="Arial" w:cs="Arial" w:eastAsia="Arial" w:hAnsi="Arial"/>
          <w:sz w:val="15"/>
          <w:szCs w:val="15"/>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66" w:lineRule="exact"/>
        <w:rPr>
          <w:sz w:val="20"/>
          <w:szCs w:val="20"/>
          <w:color w:val="auto"/>
        </w:rPr>
      </w:pPr>
    </w:p>
    <w:p>
      <w:pPr>
        <w:ind w:right="140" w:firstLine="409"/>
        <w:spacing w:after="0" w:line="288" w:lineRule="auto"/>
        <w:rPr>
          <w:sz w:val="20"/>
          <w:szCs w:val="20"/>
          <w:color w:val="auto"/>
        </w:rPr>
      </w:pPr>
      <w:r>
        <w:rPr>
          <w:rFonts w:ascii="Arial" w:cs="Arial" w:eastAsia="Arial" w:hAnsi="Arial"/>
          <w:sz w:val="15"/>
          <w:szCs w:val="15"/>
          <w:color w:val="auto"/>
        </w:rPr>
        <w:t xml:space="preserve">9.6 </w:t>
      </w:r>
      <w:r>
        <w:rPr>
          <w:rFonts w:ascii="Arial" w:cs="Arial" w:eastAsia="Arial" w:hAnsi="Arial"/>
          <w:sz w:val="15"/>
          <w:szCs w:val="15"/>
          <w:u w:val="single" w:color="auto"/>
          <w:color w:val="auto"/>
        </w:rPr>
        <w:t>Amendment of Award; Repricing</w:t>
      </w:r>
      <w:r>
        <w:rPr>
          <w:rFonts w:ascii="Arial" w:cs="Arial" w:eastAsia="Arial" w:hAnsi="Arial"/>
          <w:sz w:val="15"/>
          <w:szCs w:val="15"/>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Further,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20"/>
          </w:cols>
          <w:pgMar w:left="820" w:top="264" w:right="859" w:bottom="1440" w:gutter="0" w:footer="0" w:header="0"/>
        </w:sectPr>
      </w:pPr>
    </w:p>
    <w:bookmarkStart w:id="386" w:name="page387"/>
    <w:bookmarkEnd w:id="386"/>
    <w:p>
      <w:pPr>
        <w:ind w:right="120" w:firstLine="409"/>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9.7 </w:t>
      </w:r>
      <w:r>
        <w:rPr>
          <w:rFonts w:ascii="Arial" w:cs="Arial" w:eastAsia="Arial" w:hAnsi="Arial"/>
          <w:sz w:val="15"/>
          <w:szCs w:val="15"/>
          <w:u w:val="single" w:color="auto"/>
          <w:color w:val="auto"/>
        </w:rPr>
        <w:t>Conditions on Delivery of Stock</w:t>
      </w:r>
      <w:r>
        <w:rPr>
          <w:rFonts w:ascii="Arial" w:cs="Arial" w:eastAsia="Arial" w:hAnsi="Arial"/>
          <w:sz w:val="15"/>
          <w:szCs w:val="15"/>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57" w:lineRule="exact"/>
        <w:rPr>
          <w:sz w:val="20"/>
          <w:szCs w:val="20"/>
          <w:color w:val="auto"/>
        </w:rPr>
      </w:pPr>
    </w:p>
    <w:p>
      <w:pPr>
        <w:ind w:right="200" w:firstLine="409"/>
        <w:spacing w:after="0" w:line="268"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Acceleration</w:t>
      </w:r>
      <w:r>
        <w:rPr>
          <w:rFonts w:ascii="Arial" w:cs="Arial" w:eastAsia="Arial" w:hAnsi="Arial"/>
          <w:sz w:val="17"/>
          <w:szCs w:val="17"/>
          <w:color w:val="auto"/>
        </w:rPr>
        <w:t>. The Administrator may at any time provide that any Award will become immediately vested and fully or partially exercisable, free of some or all restrictions or conditions, or otherwise fully or partially realizable.</w:t>
      </w:r>
    </w:p>
    <w:p>
      <w:pPr>
        <w:spacing w:after="0" w:line="66" w:lineRule="exact"/>
        <w:rPr>
          <w:sz w:val="20"/>
          <w:szCs w:val="20"/>
          <w:color w:val="auto"/>
        </w:rPr>
      </w:pPr>
    </w:p>
    <w:p>
      <w:pPr>
        <w:ind w:right="100" w:firstLine="409"/>
        <w:spacing w:after="0" w:line="265"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Additional Terms of Incentive Stock Options</w:t>
      </w:r>
      <w:r>
        <w:rPr>
          <w:rFonts w:ascii="Arial" w:cs="Arial" w:eastAsia="Arial" w:hAnsi="Arial"/>
          <w:sz w:val="16"/>
          <w:szCs w:val="16"/>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94" w:lineRule="exact"/>
        <w:rPr>
          <w:sz w:val="20"/>
          <w:szCs w:val="20"/>
          <w:color w:val="auto"/>
        </w:rPr>
      </w:pPr>
    </w:p>
    <w:p>
      <w:pPr>
        <w:ind w:firstLine="409"/>
        <w:spacing w:after="0" w:line="25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80" w:lineRule="exact"/>
        <w:rPr>
          <w:sz w:val="20"/>
          <w:szCs w:val="20"/>
          <w:color w:val="auto"/>
        </w:rPr>
      </w:pPr>
    </w:p>
    <w:p>
      <w:pPr>
        <w:ind w:right="180" w:firstLine="409"/>
        <w:spacing w:after="0" w:line="269"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No Rights as Stockholder; Certificates</w:t>
      </w:r>
      <w:r>
        <w:rPr>
          <w:rFonts w:ascii="Arial" w:cs="Arial" w:eastAsia="Arial" w:hAnsi="Arial"/>
          <w:sz w:val="16"/>
          <w:szCs w:val="16"/>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40"/>
          </w:cols>
          <w:pgMar w:left="820" w:top="265" w:right="839" w:bottom="1440" w:gutter="0" w:footer="0" w:header="0"/>
        </w:sectPr>
      </w:pPr>
    </w:p>
    <w:bookmarkStart w:id="387" w:name="page388"/>
    <w:bookmarkEnd w:id="387"/>
    <w:p>
      <w:pPr>
        <w:ind w:firstLine="409"/>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10.3 </w:t>
      </w:r>
      <w:r>
        <w:rPr>
          <w:rFonts w:ascii="Arial" w:cs="Arial" w:eastAsia="Arial" w:hAnsi="Arial"/>
          <w:sz w:val="17"/>
          <w:szCs w:val="17"/>
          <w:u w:val="single" w:color="auto"/>
          <w:color w:val="auto"/>
        </w:rPr>
        <w:t>Effective Date and Term of Plan</w:t>
      </w:r>
      <w:r>
        <w:rPr>
          <w:rFonts w:ascii="Arial" w:cs="Arial" w:eastAsia="Arial" w:hAnsi="Arial"/>
          <w:sz w:val="17"/>
          <w:szCs w:val="17"/>
          <w:color w:val="auto"/>
        </w:rPr>
        <w:t>. Unless earlier terminated by the Board, the Plan will become effective on the day prior to the Public Trading Date and will remain in effect until the tenth anniversary of the earlier of (i) the date the Board adopted the Plan or (ii) the date the Company’s stockholders approved the Plan, but Awards previously granted may extend beyond that date in accordance with the Plan. If the Plan is not approved by the Company’s stockholders, the Plan will not become effective, no Awards will be granted under the Plan and the Prior Plans will continue in full force and effect in accordance with their terms.</w:t>
      </w:r>
    </w:p>
    <w:p>
      <w:pPr>
        <w:spacing w:after="0" w:line="82" w:lineRule="exact"/>
        <w:rPr>
          <w:sz w:val="20"/>
          <w:szCs w:val="20"/>
          <w:color w:val="auto"/>
        </w:rPr>
      </w:pPr>
    </w:p>
    <w:p>
      <w:pPr>
        <w:ind w:right="20" w:firstLine="409"/>
        <w:spacing w:after="0" w:line="293"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Amendment of Plan</w:t>
      </w:r>
      <w:r>
        <w:rPr>
          <w:rFonts w:ascii="Arial" w:cs="Arial" w:eastAsia="Arial" w:hAnsi="Arial"/>
          <w:sz w:val="15"/>
          <w:szCs w:val="15"/>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52" w:lineRule="exact"/>
        <w:rPr>
          <w:sz w:val="20"/>
          <w:szCs w:val="20"/>
          <w:color w:val="auto"/>
        </w:rPr>
      </w:pPr>
    </w:p>
    <w:p>
      <w:pPr>
        <w:ind w:right="20" w:firstLine="409"/>
        <w:spacing w:after="0" w:line="257"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Provisions for Foreign Participants</w:t>
      </w:r>
      <w:r>
        <w:rPr>
          <w:rFonts w:ascii="Arial" w:cs="Arial" w:eastAsia="Arial" w:hAnsi="Arial"/>
          <w:sz w:val="17"/>
          <w:szCs w:val="17"/>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106" w:lineRule="exact"/>
        <w:rPr>
          <w:sz w:val="20"/>
          <w:szCs w:val="20"/>
          <w:color w:val="auto"/>
        </w:rPr>
      </w:pPr>
    </w:p>
    <w:p>
      <w:pPr>
        <w:ind w:right="20" w:firstLine="924"/>
        <w:spacing w:after="0" w:line="266" w:lineRule="auto"/>
        <w:tabs>
          <w:tab w:leader="none" w:pos="1149"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69" w:lineRule="exact"/>
        <w:rPr>
          <w:rFonts w:ascii="Arial" w:cs="Arial" w:eastAsia="Arial" w:hAnsi="Arial"/>
          <w:sz w:val="16"/>
          <w:szCs w:val="16"/>
          <w:color w:val="auto"/>
        </w:rPr>
      </w:pPr>
    </w:p>
    <w:p>
      <w:pPr>
        <w:ind w:right="60" w:firstLine="924"/>
        <w:spacing w:after="0" w:line="293" w:lineRule="auto"/>
        <w:tabs>
          <w:tab w:leader="none" w:pos="1158" w:val="left"/>
        </w:tabs>
        <w:numPr>
          <w:ilvl w:val="0"/>
          <w:numId w:val="317"/>
        </w:numPr>
        <w:rPr>
          <w:rFonts w:ascii="Arial" w:cs="Arial" w:eastAsia="Arial" w:hAnsi="Arial"/>
          <w:sz w:val="15"/>
          <w:szCs w:val="15"/>
          <w:color w:val="auto"/>
        </w:rPr>
      </w:pPr>
      <w:r>
        <w:rPr>
          <w:rFonts w:ascii="Arial" w:cs="Arial" w:eastAsia="Arial" w:hAnsi="Arial"/>
          <w:sz w:val="15"/>
          <w:szCs w:val="15"/>
          <w:u w:val="single" w:color="auto"/>
          <w:color w:val="auto"/>
        </w:rPr>
        <w:t>Separation from Service</w:t>
      </w:r>
      <w:r>
        <w:rPr>
          <w:rFonts w:ascii="Arial" w:cs="Arial" w:eastAsia="Arial" w:hAnsi="Arial"/>
          <w:sz w:val="15"/>
          <w:szCs w:val="15"/>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51" w:lineRule="exact"/>
        <w:rPr>
          <w:rFonts w:ascii="Arial" w:cs="Arial" w:eastAsia="Arial" w:hAnsi="Arial"/>
          <w:sz w:val="15"/>
          <w:szCs w:val="15"/>
          <w:color w:val="auto"/>
        </w:rPr>
      </w:pPr>
    </w:p>
    <w:p>
      <w:pPr>
        <w:ind w:right="80" w:firstLine="924"/>
        <w:spacing w:after="0" w:line="253" w:lineRule="auto"/>
        <w:tabs>
          <w:tab w:leader="none" w:pos="1149"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180"/>
          </w:cols>
          <w:pgMar w:left="820" w:top="265" w:right="899" w:bottom="1440" w:gutter="0" w:footer="0" w:header="0"/>
        </w:sectPr>
      </w:pPr>
    </w:p>
    <w:bookmarkStart w:id="388" w:name="page389"/>
    <w:bookmarkEnd w:id="388"/>
    <w:p>
      <w:pPr>
        <w:ind w:right="52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64" w:lineRule="exact"/>
        <w:rPr>
          <w:sz w:val="20"/>
          <w:szCs w:val="20"/>
          <w:color w:val="auto"/>
        </w:rPr>
      </w:pPr>
    </w:p>
    <w:p>
      <w:pPr>
        <w:ind w:right="20" w:firstLine="409"/>
        <w:spacing w:after="0" w:line="267"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70" w:lineRule="exact"/>
        <w:rPr>
          <w:sz w:val="20"/>
          <w:szCs w:val="20"/>
          <w:color w:val="auto"/>
        </w:rPr>
      </w:pPr>
    </w:p>
    <w:p>
      <w:pPr>
        <w:ind w:right="20" w:firstLine="409"/>
        <w:spacing w:after="0" w:line="253"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Lock-Up Period</w:t>
      </w:r>
      <w:r>
        <w:rPr>
          <w:rFonts w:ascii="Arial" w:cs="Arial" w:eastAsia="Arial" w:hAnsi="Arial"/>
          <w:sz w:val="17"/>
          <w:szCs w:val="17"/>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80" w:lineRule="exact"/>
        <w:rPr>
          <w:sz w:val="20"/>
          <w:szCs w:val="20"/>
          <w:color w:val="auto"/>
        </w:rPr>
      </w:pPr>
    </w:p>
    <w:p>
      <w:pPr>
        <w:ind w:firstLine="409"/>
        <w:spacing w:after="0" w:line="282"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Data Privacy</w:t>
      </w:r>
      <w:r>
        <w:rPr>
          <w:rFonts w:ascii="Arial" w:cs="Arial" w:eastAsia="Arial" w:hAnsi="Arial"/>
          <w:sz w:val="15"/>
          <w:szCs w:val="15"/>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5"/>
          <w:szCs w:val="15"/>
          <w:b w:val="1"/>
          <w:bCs w:val="1"/>
          <w:i w:val="1"/>
          <w:iCs w:val="1"/>
          <w:color w:val="auto"/>
        </w:rPr>
        <w:t>Data</w:t>
      </w:r>
      <w:r>
        <w:rPr>
          <w:rFonts w:ascii="Arial" w:cs="Arial" w:eastAsia="Arial" w:hAnsi="Arial"/>
          <w:sz w:val="15"/>
          <w:szCs w:val="15"/>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40"/>
          </w:cols>
          <w:pgMar w:left="820" w:top="265" w:right="839" w:bottom="1440" w:gutter="0" w:footer="0" w:header="0"/>
        </w:sectPr>
      </w:pPr>
    </w:p>
    <w:bookmarkStart w:id="389" w:name="page390"/>
    <w:bookmarkEnd w:id="389"/>
    <w:p>
      <w:pPr>
        <w:jc w:val="both"/>
        <w:ind w:right="180" w:firstLine="40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10.10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75" w:lineRule="exact"/>
        <w:rPr>
          <w:sz w:val="20"/>
          <w:szCs w:val="20"/>
          <w:color w:val="auto"/>
        </w:rPr>
      </w:pPr>
    </w:p>
    <w:p>
      <w:pPr>
        <w:jc w:val="both"/>
        <w:ind w:right="440" w:firstLine="409"/>
        <w:spacing w:after="0" w:line="280"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Governing Documents</w:t>
      </w:r>
      <w:r>
        <w:rPr>
          <w:rFonts w:ascii="Arial" w:cs="Arial" w:eastAsia="Arial" w:hAnsi="Arial"/>
          <w:sz w:val="16"/>
          <w:szCs w:val="16"/>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59" w:lineRule="exact"/>
        <w:rPr>
          <w:sz w:val="20"/>
          <w:szCs w:val="20"/>
          <w:color w:val="auto"/>
        </w:rPr>
      </w:pPr>
    </w:p>
    <w:p>
      <w:pPr>
        <w:ind w:right="600" w:firstLine="409"/>
        <w:spacing w:after="0" w:line="335" w:lineRule="auto"/>
        <w:rPr>
          <w:sz w:val="20"/>
          <w:szCs w:val="20"/>
          <w:color w:val="auto"/>
        </w:rPr>
      </w:pPr>
      <w:r>
        <w:rPr>
          <w:rFonts w:ascii="Arial" w:cs="Arial" w:eastAsia="Arial" w:hAnsi="Arial"/>
          <w:sz w:val="15"/>
          <w:szCs w:val="15"/>
          <w:color w:val="auto"/>
        </w:rPr>
        <w:t xml:space="preserve">10.12 </w:t>
      </w:r>
      <w:r>
        <w:rPr>
          <w:rFonts w:ascii="Arial" w:cs="Arial" w:eastAsia="Arial" w:hAnsi="Arial"/>
          <w:sz w:val="15"/>
          <w:szCs w:val="15"/>
          <w:u w:val="single" w:color="auto"/>
          <w:color w:val="auto"/>
        </w:rPr>
        <w:t>Governing Law</w:t>
      </w:r>
      <w:r>
        <w:rPr>
          <w:rFonts w:ascii="Arial" w:cs="Arial" w:eastAsia="Arial" w:hAnsi="Arial"/>
          <w:sz w:val="15"/>
          <w:szCs w:val="15"/>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21" w:lineRule="exact"/>
        <w:rPr>
          <w:sz w:val="20"/>
          <w:szCs w:val="20"/>
          <w:color w:val="auto"/>
        </w:rPr>
      </w:pPr>
    </w:p>
    <w:p>
      <w:pPr>
        <w:ind w:right="160" w:firstLine="409"/>
        <w:spacing w:after="0" w:line="298"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Claw-back Provisions</w:t>
      </w:r>
      <w:r>
        <w:rPr>
          <w:rFonts w:ascii="Arial" w:cs="Arial" w:eastAsia="Arial" w:hAnsi="Arial"/>
          <w:sz w:val="15"/>
          <w:szCs w:val="15"/>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47"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u w:val="single" w:color="auto"/>
          <w:color w:val="auto"/>
        </w:rPr>
        <w:t>Titles and Headings</w:t>
      </w:r>
      <w:r>
        <w:rPr>
          <w:rFonts w:ascii="Arial" w:cs="Arial" w:eastAsia="Arial" w:hAnsi="Arial"/>
          <w:sz w:val="17"/>
          <w:szCs w:val="17"/>
          <w:color w:val="auto"/>
        </w:rPr>
        <w:t>. The titles and headings in the Plan are for convenience of reference only and, if any conflict, the Plan’s text, rather than such titles or headings, will control.</w:t>
      </w:r>
    </w:p>
    <w:p>
      <w:pPr>
        <w:spacing w:after="0" w:line="66" w:lineRule="exact"/>
        <w:rPr>
          <w:sz w:val="20"/>
          <w:szCs w:val="20"/>
          <w:color w:val="auto"/>
        </w:rPr>
      </w:pPr>
    </w:p>
    <w:p>
      <w:pPr>
        <w:jc w:val="both"/>
        <w:ind w:firstLine="409"/>
        <w:spacing w:after="0" w:line="307" w:lineRule="auto"/>
        <w:rPr>
          <w:sz w:val="20"/>
          <w:szCs w:val="20"/>
          <w:color w:val="auto"/>
        </w:rPr>
      </w:pPr>
      <w:r>
        <w:rPr>
          <w:rFonts w:ascii="Arial" w:cs="Arial" w:eastAsia="Arial" w:hAnsi="Arial"/>
          <w:sz w:val="15"/>
          <w:szCs w:val="15"/>
          <w:color w:val="auto"/>
        </w:rPr>
        <w:t xml:space="preserve">10.15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41" w:lineRule="exact"/>
        <w:rPr>
          <w:sz w:val="20"/>
          <w:szCs w:val="20"/>
          <w:color w:val="auto"/>
        </w:rPr>
      </w:pPr>
    </w:p>
    <w:p>
      <w:pPr>
        <w:ind w:right="340" w:firstLine="409"/>
        <w:spacing w:after="0" w:line="257"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Relationship to Other Benefits</w:t>
      </w:r>
      <w:r>
        <w:rPr>
          <w:rFonts w:ascii="Arial" w:cs="Arial" w:eastAsia="Arial" w:hAnsi="Arial"/>
          <w:sz w:val="17"/>
          <w:szCs w:val="17"/>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75" w:lineRule="exact"/>
        <w:rPr>
          <w:sz w:val="20"/>
          <w:szCs w:val="20"/>
          <w:color w:val="auto"/>
        </w:rPr>
      </w:pPr>
    </w:p>
    <w:p>
      <w:pPr>
        <w:ind w:right="80" w:firstLine="409"/>
        <w:spacing w:after="0" w:line="285" w:lineRule="auto"/>
        <w:rPr>
          <w:sz w:val="20"/>
          <w:szCs w:val="20"/>
          <w:color w:val="auto"/>
        </w:rPr>
      </w:pPr>
      <w:r>
        <w:rPr>
          <w:rFonts w:ascii="Arial" w:cs="Arial" w:eastAsia="Arial" w:hAnsi="Arial"/>
          <w:sz w:val="15"/>
          <w:szCs w:val="15"/>
          <w:color w:val="auto"/>
        </w:rPr>
        <w:t xml:space="preserve">10.17 </w:t>
      </w:r>
      <w:r>
        <w:rPr>
          <w:rFonts w:ascii="Arial" w:cs="Arial" w:eastAsia="Arial" w:hAnsi="Arial"/>
          <w:sz w:val="15"/>
          <w:szCs w:val="15"/>
          <w:u w:val="single" w:color="auto"/>
          <w:color w:val="auto"/>
        </w:rPr>
        <w:t>Broker-Assisted Sales</w:t>
      </w:r>
      <w:r>
        <w:rPr>
          <w:rFonts w:ascii="Arial" w:cs="Arial" w:eastAsia="Arial" w:hAnsi="Arial"/>
          <w:sz w:val="15"/>
          <w:szCs w:val="15"/>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40"/>
          </w:cols>
          <w:pgMar w:left="820" w:top="265" w:right="839" w:bottom="1440" w:gutter="0" w:footer="0" w:header="0"/>
        </w:sectPr>
      </w:pPr>
    </w:p>
    <w:bookmarkStart w:id="390" w:name="page391"/>
    <w:bookmarkEnd w:id="390"/>
    <w:p>
      <w:pPr>
        <w:ind w:left="4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ARTICLE XI.</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DEFINITIONS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used in the Plan, the following words and phrases will have the following meanings:</w:t>
      </w:r>
    </w:p>
    <w:p>
      <w:pPr>
        <w:spacing w:after="0" w:line="106" w:lineRule="exact"/>
        <w:rPr>
          <w:sz w:val="20"/>
          <w:szCs w:val="20"/>
          <w:color w:val="auto"/>
        </w:rPr>
      </w:pPr>
    </w:p>
    <w:p>
      <w:pPr>
        <w:ind w:right="240" w:firstLine="409"/>
        <w:spacing w:after="0" w:line="268"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Board or a Committee to the extent that the Board’s powers or authority under the Plan have been delegated to such Committee.</w:t>
      </w:r>
    </w:p>
    <w:p>
      <w:pPr>
        <w:spacing w:after="0" w:line="66" w:lineRule="exact"/>
        <w:rPr>
          <w:sz w:val="20"/>
          <w:szCs w:val="20"/>
          <w:color w:val="auto"/>
        </w:rPr>
      </w:pPr>
    </w:p>
    <w:p>
      <w:pPr>
        <w:jc w:val="both"/>
        <w:ind w:right="40" w:firstLine="409"/>
        <w:spacing w:after="0" w:line="280"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59" w:lineRule="exact"/>
        <w:rPr>
          <w:sz w:val="20"/>
          <w:szCs w:val="20"/>
          <w:color w:val="auto"/>
        </w:rPr>
      </w:pPr>
    </w:p>
    <w:p>
      <w:pPr>
        <w:ind w:right="20" w:firstLine="409"/>
        <w:spacing w:after="0" w:line="268"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individually or collectively, a grant under the Plan of Options, Stock Appreciation Rights, Restricted Stock, Restricted Stock Units or Other Stock or Cash Based Awards.</w:t>
      </w:r>
    </w:p>
    <w:p>
      <w:pPr>
        <w:spacing w:after="0" w:line="66" w:lineRule="exact"/>
        <w:rPr>
          <w:sz w:val="20"/>
          <w:szCs w:val="20"/>
          <w:color w:val="auto"/>
        </w:rPr>
      </w:pPr>
    </w:p>
    <w:p>
      <w:pPr>
        <w:ind w:right="200" w:firstLine="409"/>
        <w:spacing w:after="0" w:line="268"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evidencing an Award, which may be electronic, that contains such terms and conditions as the Administrator determines, consistent with and subject to the terms and conditions of the Plan.</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11.5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06" w:lineRule="exact"/>
        <w:rPr>
          <w:sz w:val="20"/>
          <w:szCs w:val="20"/>
          <w:color w:val="auto"/>
        </w:rPr>
      </w:pPr>
    </w:p>
    <w:p>
      <w:pPr>
        <w:ind w:right="20" w:firstLine="409"/>
        <w:spacing w:after="0" w:line="285" w:lineRule="auto"/>
        <w:rPr>
          <w:sz w:val="20"/>
          <w:szCs w:val="20"/>
          <w:color w:val="auto"/>
        </w:rPr>
      </w:pPr>
      <w:r>
        <w:rPr>
          <w:rFonts w:ascii="Arial" w:cs="Arial" w:eastAsia="Arial" w:hAnsi="Arial"/>
          <w:sz w:val="15"/>
          <w:szCs w:val="15"/>
          <w:color w:val="auto"/>
        </w:rPr>
        <w:t>11.6 “</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means (i) if a Participant is a party to a written employment or consulting agreement with the Company or any of its Subsidiaries or an Award Agreement in which the term “cause” is defined (a “</w:t>
      </w:r>
      <w:r>
        <w:rPr>
          <w:rFonts w:ascii="Arial" w:cs="Arial" w:eastAsia="Arial" w:hAnsi="Arial"/>
          <w:sz w:val="15"/>
          <w:szCs w:val="15"/>
          <w:b w:val="1"/>
          <w:bCs w:val="1"/>
          <w:i w:val="1"/>
          <w:iCs w:val="1"/>
          <w:color w:val="auto"/>
        </w:rPr>
        <w:t>Relevant Agreement</w:t>
      </w:r>
      <w:r>
        <w:rPr>
          <w:rFonts w:ascii="Arial" w:cs="Arial" w:eastAsia="Arial" w:hAnsi="Arial"/>
          <w:sz w:val="15"/>
          <w:szCs w:val="15"/>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and includes each of the following:</w:t>
      </w:r>
    </w:p>
    <w:p>
      <w:pPr>
        <w:spacing w:after="0" w:line="106" w:lineRule="exact"/>
        <w:rPr>
          <w:sz w:val="20"/>
          <w:szCs w:val="20"/>
          <w:color w:val="auto"/>
        </w:rPr>
      </w:pPr>
    </w:p>
    <w:p>
      <w:pPr>
        <w:ind w:firstLine="924"/>
        <w:spacing w:after="0" w:line="288" w:lineRule="auto"/>
        <w:tabs>
          <w:tab w:leader="none" w:pos="1149" w:val="left"/>
        </w:tabs>
        <w:numPr>
          <w:ilvl w:val="0"/>
          <w:numId w:val="318"/>
        </w:numPr>
        <w:rPr>
          <w:rFonts w:ascii="Arial" w:cs="Arial" w:eastAsia="Arial" w:hAnsi="Arial"/>
          <w:sz w:val="15"/>
          <w:szCs w:val="15"/>
          <w:color w:val="auto"/>
        </w:rPr>
      </w:pPr>
      <w:r>
        <w:rPr>
          <w:rFonts w:ascii="Arial" w:cs="Arial" w:eastAsia="Arial" w:hAnsi="Arial"/>
          <w:sz w:val="15"/>
          <w:szCs w:val="15"/>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40"/>
          </w:cols>
          <w:pgMar w:left="820" w:top="260" w:right="839" w:bottom="1440" w:gutter="0" w:footer="0" w:header="0"/>
        </w:sectPr>
      </w:pPr>
    </w:p>
    <w:bookmarkStart w:id="391" w:name="page392"/>
    <w:bookmarkEnd w:id="391"/>
    <w:p>
      <w:pPr>
        <w:ind w:firstLine="924"/>
        <w:spacing w:after="0" w:line="271" w:lineRule="auto"/>
        <w:tabs>
          <w:tab w:leader="none" w:pos="1159" w:val="left"/>
        </w:tabs>
        <w:numPr>
          <w:ilvl w:val="0"/>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65" w:lineRule="exact"/>
        <w:rPr>
          <w:rFonts w:ascii="Arial" w:cs="Arial" w:eastAsia="Arial" w:hAnsi="Arial"/>
          <w:sz w:val="16"/>
          <w:szCs w:val="16"/>
          <w:color w:val="auto"/>
        </w:rPr>
      </w:pPr>
    </w:p>
    <w:p>
      <w:pPr>
        <w:ind w:right="20" w:firstLine="924"/>
        <w:spacing w:after="0" w:line="253" w:lineRule="auto"/>
        <w:tabs>
          <w:tab w:leader="none" w:pos="114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9" w:lineRule="exact"/>
        <w:rPr>
          <w:rFonts w:ascii="Arial" w:cs="Arial" w:eastAsia="Arial" w:hAnsi="Arial"/>
          <w:sz w:val="17"/>
          <w:szCs w:val="17"/>
          <w:color w:val="auto"/>
        </w:rPr>
      </w:pPr>
    </w:p>
    <w:p>
      <w:pPr>
        <w:ind w:right="80" w:firstLine="1334"/>
        <w:spacing w:after="0" w:line="271" w:lineRule="auto"/>
        <w:tabs>
          <w:tab w:leader="none" w:pos="1531" w:val="left"/>
        </w:tabs>
        <w:numPr>
          <w:ilvl w:val="1"/>
          <w:numId w:val="319"/>
        </w:numPr>
        <w:rPr>
          <w:rFonts w:ascii="Arial" w:cs="Arial" w:eastAsia="Arial" w:hAnsi="Arial"/>
          <w:sz w:val="16"/>
          <w:szCs w:val="16"/>
          <w:color w:val="auto"/>
        </w:rPr>
      </w:pPr>
      <w:r>
        <w:rPr>
          <w:rFonts w:ascii="Arial" w:cs="Arial" w:eastAsia="Arial" w:hAnsi="Arial"/>
          <w:sz w:val="16"/>
          <w:szCs w:val="16"/>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6"/>
          <w:szCs w:val="16"/>
          <w:b w:val="1"/>
          <w:bCs w:val="1"/>
          <w:i w:val="1"/>
          <w:iCs w:val="1"/>
          <w:color w:val="auto"/>
        </w:rPr>
        <w:t>Successor Entity</w:t>
      </w:r>
      <w:r>
        <w:rPr>
          <w:rFonts w:ascii="Arial" w:cs="Arial" w:eastAsia="Arial" w:hAnsi="Arial"/>
          <w:sz w:val="16"/>
          <w:szCs w:val="16"/>
          <w:color w:val="auto"/>
        </w:rPr>
        <w:t>”)) directly or indirectly, at least a majority of the combined voting power of the Successor Entity’s outstanding voting securities immediately after the transaction, and</w:t>
      </w:r>
    </w:p>
    <w:p>
      <w:pPr>
        <w:spacing w:after="0" w:line="65" w:lineRule="exact"/>
        <w:rPr>
          <w:rFonts w:ascii="Arial" w:cs="Arial" w:eastAsia="Arial" w:hAnsi="Arial"/>
          <w:sz w:val="16"/>
          <w:szCs w:val="16"/>
          <w:color w:val="auto"/>
        </w:rPr>
      </w:pPr>
    </w:p>
    <w:p>
      <w:pPr>
        <w:ind w:right="140" w:firstLine="1334"/>
        <w:spacing w:after="0" w:line="253" w:lineRule="auto"/>
        <w:tabs>
          <w:tab w:leader="none" w:pos="1578" w:val="left"/>
        </w:tabs>
        <w:numPr>
          <w:ilvl w:val="1"/>
          <w:numId w:val="319"/>
        </w:numPr>
        <w:rPr>
          <w:rFonts w:ascii="Arial" w:cs="Arial" w:eastAsia="Arial" w:hAnsi="Arial"/>
          <w:sz w:val="17"/>
          <w:szCs w:val="17"/>
          <w:color w:val="auto"/>
        </w:rPr>
      </w:pPr>
      <w:r>
        <w:rPr>
          <w:rFonts w:ascii="Arial" w:cs="Arial" w:eastAsia="Arial" w:hAnsi="Arial"/>
          <w:sz w:val="17"/>
          <w:szCs w:val="17"/>
          <w:color w:val="auto"/>
        </w:rPr>
        <w:t xml:space="preserve">after which no person or group beneficially owns voting securities representing 50% or more of the combined voting power of the Successor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ind w:right="440" w:firstLine="409"/>
        <w:spacing w:after="0" w:line="251" w:lineRule="auto"/>
        <w:rPr>
          <w:sz w:val="20"/>
          <w:szCs w:val="20"/>
          <w:color w:val="auto"/>
        </w:rPr>
      </w:pPr>
      <w:r>
        <w:rPr>
          <w:rFonts w:ascii="Arial" w:cs="Arial" w:eastAsia="Arial" w:hAnsi="Arial"/>
          <w:sz w:val="17"/>
          <w:szCs w:val="17"/>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ind w:right="140" w:firstLine="409"/>
        <w:spacing w:after="0" w:line="274" w:lineRule="auto"/>
        <w:rPr>
          <w:sz w:val="20"/>
          <w:szCs w:val="20"/>
          <w:color w:val="auto"/>
        </w:rPr>
      </w:pPr>
      <w:r>
        <w:rPr>
          <w:rFonts w:ascii="Arial" w:cs="Arial" w:eastAsia="Arial" w:hAnsi="Arial"/>
          <w:sz w:val="16"/>
          <w:szCs w:val="16"/>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and the regulations issued thereunder.</w:t>
      </w:r>
    </w:p>
    <w:p>
      <w:pPr>
        <w:spacing w:after="0" w:line="14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40"/>
          </w:cols>
          <w:pgMar w:left="820" w:top="264" w:right="839" w:bottom="1440" w:gutter="0" w:footer="0" w:header="0"/>
        </w:sectPr>
      </w:pPr>
    </w:p>
    <w:bookmarkStart w:id="392" w:name="page393"/>
    <w:bookmarkEnd w:id="392"/>
    <w:p>
      <w:pPr>
        <w:ind w:right="180" w:firstLine="409"/>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11.9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11.10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common stock of the Company.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11.11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Lyra Therapeutics, Inc., a Delaware corporation, or any successor.</w:t>
      </w:r>
    </w:p>
    <w:p>
      <w:pPr>
        <w:spacing w:after="0" w:line="106" w:lineRule="exact"/>
        <w:rPr>
          <w:sz w:val="20"/>
          <w:szCs w:val="20"/>
          <w:color w:val="auto"/>
        </w:rPr>
      </w:pPr>
    </w:p>
    <w:p>
      <w:pPr>
        <w:ind w:right="20" w:firstLine="409"/>
        <w:spacing w:after="0" w:line="307" w:lineRule="auto"/>
        <w:rPr>
          <w:sz w:val="20"/>
          <w:szCs w:val="20"/>
          <w:color w:val="auto"/>
        </w:rPr>
      </w:pPr>
      <w:r>
        <w:rPr>
          <w:rFonts w:ascii="Arial" w:cs="Arial" w:eastAsia="Arial" w:hAnsi="Arial"/>
          <w:sz w:val="15"/>
          <w:szCs w:val="15"/>
          <w:color w:val="auto"/>
        </w:rPr>
        <w:t>11.12 “</w:t>
      </w:r>
      <w:r>
        <w:rPr>
          <w:rFonts w:ascii="Arial" w:cs="Arial" w:eastAsia="Arial" w:hAnsi="Arial"/>
          <w:sz w:val="15"/>
          <w:szCs w:val="15"/>
          <w:b w:val="1"/>
          <w:bCs w:val="1"/>
          <w:i w:val="1"/>
          <w:iCs w:val="1"/>
          <w:color w:val="auto"/>
        </w:rPr>
        <w:t>Consultant</w:t>
      </w:r>
      <w:r>
        <w:rPr>
          <w:rFonts w:ascii="Arial" w:cs="Arial" w:eastAsia="Arial" w:hAnsi="Arial"/>
          <w:sz w:val="15"/>
          <w:szCs w:val="15"/>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41" w:lineRule="exact"/>
        <w:rPr>
          <w:sz w:val="20"/>
          <w:szCs w:val="20"/>
          <w:color w:val="auto"/>
        </w:rPr>
      </w:pPr>
    </w:p>
    <w:p>
      <w:pPr>
        <w:jc w:val="both"/>
        <w:ind w:right="220" w:firstLine="409"/>
        <w:spacing w:after="0" w:line="257" w:lineRule="auto"/>
        <w:rPr>
          <w:sz w:val="20"/>
          <w:szCs w:val="20"/>
          <w:color w:val="auto"/>
        </w:rPr>
      </w:pPr>
      <w:r>
        <w:rPr>
          <w:rFonts w:ascii="Arial" w:cs="Arial" w:eastAsia="Arial" w:hAnsi="Arial"/>
          <w:sz w:val="17"/>
          <w:szCs w:val="17"/>
          <w:color w:val="auto"/>
        </w:rPr>
        <w:t>11.13 “</w:t>
      </w:r>
      <w:r>
        <w:rPr>
          <w:rFonts w:ascii="Arial" w:cs="Arial" w:eastAsia="Arial" w:hAnsi="Arial"/>
          <w:sz w:val="17"/>
          <w:szCs w:val="17"/>
          <w:b w:val="1"/>
          <w:bCs w:val="1"/>
          <w:i w:val="1"/>
          <w:iCs w:val="1"/>
          <w:color w:val="auto"/>
        </w:rPr>
        <w:t>Designated Beneficiary</w:t>
      </w:r>
      <w:r>
        <w:rPr>
          <w:rFonts w:ascii="Arial" w:cs="Arial" w:eastAsia="Arial" w:hAnsi="Arial"/>
          <w:sz w:val="17"/>
          <w:szCs w:val="17"/>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11.14 “</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Board member.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11.15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a permanent and total disability under Section 22(e)(3) of the Code, as amended.</w:t>
      </w:r>
    </w:p>
    <w:p>
      <w:pPr>
        <w:spacing w:after="0" w:line="106" w:lineRule="exact"/>
        <w:rPr>
          <w:sz w:val="20"/>
          <w:szCs w:val="20"/>
          <w:color w:val="auto"/>
        </w:rPr>
      </w:pPr>
    </w:p>
    <w:p>
      <w:pPr>
        <w:ind w:right="680" w:firstLine="409"/>
        <w:spacing w:after="0" w:line="268" w:lineRule="auto"/>
        <w:rPr>
          <w:sz w:val="20"/>
          <w:szCs w:val="20"/>
          <w:color w:val="auto"/>
        </w:rPr>
      </w:pPr>
      <w:r>
        <w:rPr>
          <w:rFonts w:ascii="Arial" w:cs="Arial" w:eastAsia="Arial" w:hAnsi="Arial"/>
          <w:sz w:val="17"/>
          <w:szCs w:val="17"/>
          <w:color w:val="auto"/>
        </w:rPr>
        <w:t>11.16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means a right granted to a Participant under the Plan to receive the equivalent value (in cash or Shares) of dividends paid on Shares.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11.17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employee of the Company or its Subsidiaries.</w:t>
      </w:r>
    </w:p>
    <w:p>
      <w:pPr>
        <w:spacing w:after="0" w:line="106" w:lineRule="exact"/>
        <w:rPr>
          <w:sz w:val="20"/>
          <w:szCs w:val="20"/>
          <w:color w:val="auto"/>
        </w:rPr>
      </w:pPr>
    </w:p>
    <w:p>
      <w:pPr>
        <w:ind w:right="60" w:firstLine="409"/>
        <w:spacing w:after="0" w:line="253" w:lineRule="auto"/>
        <w:rPr>
          <w:sz w:val="20"/>
          <w:szCs w:val="20"/>
          <w:color w:val="auto"/>
        </w:rPr>
      </w:pPr>
      <w:r>
        <w:rPr>
          <w:rFonts w:ascii="Arial" w:cs="Arial" w:eastAsia="Arial" w:hAnsi="Arial"/>
          <w:sz w:val="17"/>
          <w:szCs w:val="17"/>
          <w:color w:val="auto"/>
        </w:rPr>
        <w:t>11.18 “</w:t>
      </w:r>
      <w:r>
        <w:rPr>
          <w:rFonts w:ascii="Arial" w:cs="Arial" w:eastAsia="Arial" w:hAnsi="Arial"/>
          <w:sz w:val="17"/>
          <w:szCs w:val="17"/>
          <w:b w:val="1"/>
          <w:bCs w:val="1"/>
          <w:i w:val="1"/>
          <w:iCs w:val="1"/>
          <w:color w:val="auto"/>
        </w:rPr>
        <w:t>Equity Restructuring</w:t>
      </w:r>
      <w:r>
        <w:rPr>
          <w:rFonts w:ascii="Arial" w:cs="Arial" w:eastAsia="Arial" w:hAnsi="Arial"/>
          <w:sz w:val="17"/>
          <w:szCs w:val="17"/>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11.19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206" w:lineRule="exact"/>
        <w:rPr>
          <w:sz w:val="20"/>
          <w:szCs w:val="20"/>
          <w:color w:val="auto"/>
        </w:rPr>
      </w:pPr>
    </w:p>
    <w:p>
      <w:pPr>
        <w:ind w:firstLine="409"/>
        <w:spacing w:after="0" w:line="286" w:lineRule="auto"/>
        <w:rPr>
          <w:sz w:val="20"/>
          <w:szCs w:val="20"/>
          <w:color w:val="auto"/>
        </w:rPr>
      </w:pPr>
      <w:r>
        <w:rPr>
          <w:rFonts w:ascii="Arial" w:cs="Arial" w:eastAsia="Arial" w:hAnsi="Arial"/>
          <w:sz w:val="15"/>
          <w:szCs w:val="15"/>
          <w:color w:val="auto"/>
        </w:rPr>
        <w:t>11.20 “</w:t>
      </w:r>
      <w:r>
        <w:rPr>
          <w:rFonts w:ascii="Arial" w:cs="Arial" w:eastAsia="Arial" w:hAnsi="Arial"/>
          <w:sz w:val="15"/>
          <w:szCs w:val="15"/>
          <w:b w:val="1"/>
          <w:bCs w:val="1"/>
          <w:i w:val="1"/>
          <w:iCs w:val="1"/>
          <w:color w:val="auto"/>
        </w:rPr>
        <w:t>Fair Market Value</w:t>
      </w:r>
      <w:r>
        <w:rPr>
          <w:rFonts w:ascii="Arial" w:cs="Arial" w:eastAsia="Arial" w:hAnsi="Arial"/>
          <w:sz w:val="15"/>
          <w:szCs w:val="15"/>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40"/>
          </w:cols>
          <w:pgMar w:left="820" w:top="265" w:right="839" w:bottom="1440" w:gutter="0" w:footer="0" w:header="0"/>
        </w:sectPr>
      </w:pPr>
    </w:p>
    <w:bookmarkStart w:id="393" w:name="page394"/>
    <w:bookmarkEnd w:id="393"/>
    <w:p>
      <w:pPr>
        <w:ind w:right="20" w:firstLine="40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11.21 “</w:t>
      </w:r>
      <w:r>
        <w:rPr>
          <w:rFonts w:ascii="Arial" w:cs="Arial" w:eastAsia="Arial" w:hAnsi="Arial"/>
          <w:sz w:val="17"/>
          <w:szCs w:val="17"/>
          <w:b w:val="1"/>
          <w:bCs w:val="1"/>
          <w:i w:val="1"/>
          <w:iCs w:val="1"/>
          <w:color w:val="auto"/>
        </w:rPr>
        <w:t>Greater Than 10% Stockholder</w:t>
      </w:r>
      <w:r>
        <w:rPr>
          <w:rFonts w:ascii="Arial" w:cs="Arial" w:eastAsia="Arial" w:hAnsi="Arial"/>
          <w:sz w:val="17"/>
          <w:szCs w:val="17"/>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11.22 “</w:t>
      </w:r>
      <w:r>
        <w:rPr>
          <w:rFonts w:ascii="Arial" w:cs="Arial" w:eastAsia="Arial" w:hAnsi="Arial"/>
          <w:sz w:val="16"/>
          <w:szCs w:val="16"/>
          <w:b w:val="1"/>
          <w:bCs w:val="1"/>
          <w:i w:val="1"/>
          <w:iCs w:val="1"/>
          <w:color w:val="auto"/>
        </w:rPr>
        <w:t>Incentive Stock Option</w:t>
      </w:r>
      <w:r>
        <w:rPr>
          <w:rFonts w:ascii="Arial" w:cs="Arial" w:eastAsia="Arial" w:hAnsi="Arial"/>
          <w:sz w:val="16"/>
          <w:szCs w:val="16"/>
          <w:color w:val="auto"/>
        </w:rPr>
        <w:t>” means an Option intended to qualify as an “incentive stock option” as defined in Section 422 of the Code.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11.23 “</w:t>
      </w:r>
      <w:r>
        <w:rPr>
          <w:rFonts w:ascii="Arial" w:cs="Arial" w:eastAsia="Arial" w:hAnsi="Arial"/>
          <w:sz w:val="17"/>
          <w:szCs w:val="17"/>
          <w:b w:val="1"/>
          <w:bCs w:val="1"/>
          <w:i w:val="1"/>
          <w:iCs w:val="1"/>
          <w:color w:val="auto"/>
        </w:rPr>
        <w:t>Non-Qualified Stock Option</w:t>
      </w:r>
      <w:r>
        <w:rPr>
          <w:rFonts w:ascii="Arial" w:cs="Arial" w:eastAsia="Arial" w:hAnsi="Arial"/>
          <w:sz w:val="17"/>
          <w:szCs w:val="17"/>
          <w:color w:val="auto"/>
        </w:rPr>
        <w:t>” means an Option not intended or not qualifying as an Incentive Stock Option.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11.24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option to purchase Shares.</w:t>
      </w:r>
    </w:p>
    <w:p>
      <w:pPr>
        <w:spacing w:after="0" w:line="106" w:lineRule="exact"/>
        <w:rPr>
          <w:sz w:val="20"/>
          <w:szCs w:val="20"/>
          <w:color w:val="auto"/>
        </w:rPr>
      </w:pPr>
    </w:p>
    <w:p>
      <w:pPr>
        <w:ind w:right="60" w:firstLine="409"/>
        <w:spacing w:after="0" w:line="268" w:lineRule="auto"/>
        <w:rPr>
          <w:sz w:val="20"/>
          <w:szCs w:val="20"/>
          <w:color w:val="auto"/>
        </w:rPr>
      </w:pPr>
      <w:r>
        <w:rPr>
          <w:rFonts w:ascii="Arial" w:cs="Arial" w:eastAsia="Arial" w:hAnsi="Arial"/>
          <w:sz w:val="17"/>
          <w:szCs w:val="17"/>
          <w:color w:val="auto"/>
        </w:rPr>
        <w:t>11.25 “</w:t>
      </w:r>
      <w:r>
        <w:rPr>
          <w:rFonts w:ascii="Arial" w:cs="Arial" w:eastAsia="Arial" w:hAnsi="Arial"/>
          <w:sz w:val="17"/>
          <w:szCs w:val="17"/>
          <w:b w:val="1"/>
          <w:bCs w:val="1"/>
          <w:i w:val="1"/>
          <w:iCs w:val="1"/>
          <w:color w:val="auto"/>
        </w:rPr>
        <w:t>Other Stock or Cash Based Awards</w:t>
      </w:r>
      <w:r>
        <w:rPr>
          <w:rFonts w:ascii="Arial" w:cs="Arial" w:eastAsia="Arial" w:hAnsi="Arial"/>
          <w:sz w:val="17"/>
          <w:szCs w:val="17"/>
          <w:color w:val="auto"/>
        </w:rPr>
        <w:t>” means cash awards, awards of Shares, and other awards valued wholly or partially by referring to, or are otherwise based on, Shares or other property.</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11.26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 Service Provider who has been granted an Award.</w:t>
      </w:r>
    </w:p>
    <w:p>
      <w:pPr>
        <w:spacing w:after="0" w:line="106" w:lineRule="exact"/>
        <w:rPr>
          <w:sz w:val="20"/>
          <w:szCs w:val="20"/>
          <w:color w:val="auto"/>
        </w:rPr>
      </w:pPr>
    </w:p>
    <w:p>
      <w:pPr>
        <w:ind w:firstLine="409"/>
        <w:spacing w:after="0" w:line="280" w:lineRule="auto"/>
        <w:rPr>
          <w:sz w:val="20"/>
          <w:szCs w:val="20"/>
          <w:color w:val="auto"/>
        </w:rPr>
      </w:pPr>
      <w:r>
        <w:rPr>
          <w:rFonts w:ascii="Arial" w:cs="Arial" w:eastAsia="Arial" w:hAnsi="Arial"/>
          <w:sz w:val="15"/>
          <w:szCs w:val="15"/>
          <w:color w:val="auto"/>
        </w:rPr>
        <w:t>11.27 “</w:t>
      </w:r>
      <w:r>
        <w:rPr>
          <w:rFonts w:ascii="Arial" w:cs="Arial" w:eastAsia="Arial" w:hAnsi="Arial"/>
          <w:sz w:val="15"/>
          <w:szCs w:val="15"/>
          <w:b w:val="1"/>
          <w:bCs w:val="1"/>
          <w:i w:val="1"/>
          <w:iCs w:val="1"/>
          <w:color w:val="auto"/>
        </w:rPr>
        <w:t>Performance Criteria</w:t>
      </w:r>
      <w:r>
        <w:rPr>
          <w:rFonts w:ascii="Arial" w:cs="Arial" w:eastAsia="Arial" w:hAnsi="Arial"/>
          <w:sz w:val="15"/>
          <w:szCs w:val="15"/>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w:t>
      </w:r>
    </w:p>
    <w:p>
      <w:pPr>
        <w:spacing w:after="0" w:line="5" w:lineRule="exact"/>
        <w:rPr>
          <w:sz w:val="20"/>
          <w:szCs w:val="20"/>
          <w:color w:val="auto"/>
        </w:rPr>
      </w:pPr>
    </w:p>
    <w:p>
      <w:pPr>
        <w:ind w:left="5040" w:right="3180" w:hanging="5037"/>
        <w:spacing w:after="0" w:line="422" w:lineRule="auto"/>
        <w:tabs>
          <w:tab w:leader="none" w:pos="23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asset write-downs, (c) litigation or claim judgments or settlements, (d) acquisitions or divestitures, (e) 16</w:t>
      </w:r>
    </w:p>
    <w:p>
      <w:pPr>
        <w:sectPr>
          <w:pgSz w:w="11900" w:h="16838" w:orient="portrait"/>
          <w:cols w:equalWidth="0" w:num="1">
            <w:col w:w="10240"/>
          </w:cols>
          <w:pgMar w:left="820" w:top="265" w:right="839" w:bottom="1440" w:gutter="0" w:footer="0" w:header="0"/>
        </w:sectPr>
      </w:pPr>
    </w:p>
    <w:bookmarkStart w:id="394" w:name="page395"/>
    <w:bookmarkEnd w:id="394"/>
    <w:p>
      <w:pPr>
        <w:ind w:right="80"/>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11.28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2020 Incentive Award Plan.</w:t>
      </w:r>
    </w:p>
    <w:p>
      <w:pPr>
        <w:spacing w:after="0" w:line="106" w:lineRule="exact"/>
        <w:rPr>
          <w:sz w:val="20"/>
          <w:szCs w:val="20"/>
          <w:color w:val="auto"/>
        </w:rPr>
      </w:pPr>
    </w:p>
    <w:p>
      <w:pPr>
        <w:ind w:right="300" w:firstLine="409"/>
        <w:spacing w:after="0" w:line="268" w:lineRule="auto"/>
        <w:rPr>
          <w:sz w:val="20"/>
          <w:szCs w:val="20"/>
          <w:color w:val="auto"/>
        </w:rPr>
      </w:pPr>
      <w:r>
        <w:rPr>
          <w:rFonts w:ascii="Arial" w:cs="Arial" w:eastAsia="Arial" w:hAnsi="Arial"/>
          <w:sz w:val="17"/>
          <w:szCs w:val="17"/>
          <w:color w:val="auto"/>
        </w:rPr>
        <w:t>11.29 “</w:t>
      </w:r>
      <w:r>
        <w:rPr>
          <w:rFonts w:ascii="Arial" w:cs="Arial" w:eastAsia="Arial" w:hAnsi="Arial"/>
          <w:sz w:val="17"/>
          <w:szCs w:val="17"/>
          <w:b w:val="1"/>
          <w:bCs w:val="1"/>
          <w:i w:val="1"/>
          <w:iCs w:val="1"/>
          <w:color w:val="auto"/>
        </w:rPr>
        <w:t>Prior Plans</w:t>
      </w:r>
      <w:r>
        <w:rPr>
          <w:rFonts w:ascii="Arial" w:cs="Arial" w:eastAsia="Arial" w:hAnsi="Arial"/>
          <w:sz w:val="17"/>
          <w:szCs w:val="17"/>
          <w:color w:val="auto"/>
        </w:rPr>
        <w:t>” means the Company’s 2016 Equity Incentive Plan, 2005 Equity Incentive Plan and any prior equity incentive plans of the Company or its predecessor.</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11.30 “</w:t>
      </w:r>
      <w:r>
        <w:rPr>
          <w:rFonts w:ascii="Arial" w:cs="Arial" w:eastAsia="Arial" w:hAnsi="Arial"/>
          <w:sz w:val="17"/>
          <w:szCs w:val="17"/>
          <w:b w:val="1"/>
          <w:bCs w:val="1"/>
          <w:i w:val="1"/>
          <w:iCs w:val="1"/>
          <w:color w:val="auto"/>
        </w:rPr>
        <w:t>Prior Plan Award</w:t>
      </w:r>
      <w:r>
        <w:rPr>
          <w:rFonts w:ascii="Arial" w:cs="Arial" w:eastAsia="Arial" w:hAnsi="Arial"/>
          <w:sz w:val="17"/>
          <w:szCs w:val="17"/>
          <w:color w:val="auto"/>
        </w:rPr>
        <w:t>” means an award outstanding under the Prior Plans as of the Plan’s effective date in Section 10.3.</w:t>
      </w:r>
    </w:p>
    <w:p>
      <w:pPr>
        <w:spacing w:after="0" w:line="106" w:lineRule="exact"/>
        <w:rPr>
          <w:sz w:val="20"/>
          <w:szCs w:val="20"/>
          <w:color w:val="auto"/>
        </w:rPr>
      </w:pPr>
    </w:p>
    <w:p>
      <w:pPr>
        <w:jc w:val="both"/>
        <w:ind w:right="20" w:firstLine="409"/>
        <w:spacing w:after="0" w:line="307" w:lineRule="auto"/>
        <w:rPr>
          <w:sz w:val="20"/>
          <w:szCs w:val="20"/>
          <w:color w:val="auto"/>
        </w:rPr>
      </w:pPr>
      <w:r>
        <w:rPr>
          <w:rFonts w:ascii="Arial" w:cs="Arial" w:eastAsia="Arial" w:hAnsi="Arial"/>
          <w:sz w:val="15"/>
          <w:szCs w:val="15"/>
          <w:color w:val="auto"/>
        </w:rPr>
        <w:t>11.31 “</w:t>
      </w:r>
      <w:r>
        <w:rPr>
          <w:rFonts w:ascii="Arial" w:cs="Arial" w:eastAsia="Arial" w:hAnsi="Arial"/>
          <w:sz w:val="15"/>
          <w:szCs w:val="15"/>
          <w:b w:val="1"/>
          <w:bCs w:val="1"/>
          <w:i w:val="1"/>
          <w:iCs w:val="1"/>
          <w:color w:val="auto"/>
        </w:rPr>
        <w:t>Public Trading Date</w:t>
      </w:r>
      <w:r>
        <w:rPr>
          <w:rFonts w:ascii="Arial" w:cs="Arial" w:eastAsia="Arial" w:hAnsi="Arial"/>
          <w:sz w:val="15"/>
          <w:szCs w:val="15"/>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11.32 “</w:t>
      </w:r>
      <w:r>
        <w:rPr>
          <w:rFonts w:ascii="Arial" w:cs="Arial" w:eastAsia="Arial" w:hAnsi="Arial"/>
          <w:sz w:val="15"/>
          <w:szCs w:val="15"/>
          <w:b w:val="1"/>
          <w:bCs w:val="1"/>
          <w:i w:val="1"/>
          <w:iCs w:val="1"/>
          <w:color w:val="auto"/>
        </w:rPr>
        <w:t>Restricted Stock</w:t>
      </w:r>
      <w:r>
        <w:rPr>
          <w:rFonts w:ascii="Arial" w:cs="Arial" w:eastAsia="Arial" w:hAnsi="Arial"/>
          <w:sz w:val="15"/>
          <w:szCs w:val="15"/>
          <w:color w:val="auto"/>
        </w:rPr>
        <w:t>” means Shares awarded to a Participant under Article VI subject to certain vesting conditions and other restrictions.</w:t>
      </w:r>
    </w:p>
    <w:p>
      <w:pPr>
        <w:spacing w:after="0" w:line="129"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color w:val="auto"/>
        </w:rPr>
        <w:t>11.33 “</w:t>
      </w:r>
      <w:r>
        <w:rPr>
          <w:rFonts w:ascii="Arial" w:cs="Arial" w:eastAsia="Arial" w:hAnsi="Arial"/>
          <w:sz w:val="17"/>
          <w:szCs w:val="17"/>
          <w:b w:val="1"/>
          <w:bCs w:val="1"/>
          <w:i w:val="1"/>
          <w:iCs w:val="1"/>
          <w:color w:val="auto"/>
        </w:rPr>
        <w:t>Restricted Stock Unit</w:t>
      </w:r>
      <w:r>
        <w:rPr>
          <w:rFonts w:ascii="Arial" w:cs="Arial" w:eastAsia="Arial" w:hAnsi="Arial"/>
          <w:sz w:val="17"/>
          <w:szCs w:val="17"/>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11.34 “</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w:t>
      </w:r>
    </w:p>
    <w:p>
      <w:pPr>
        <w:spacing w:after="0" w:line="106" w:lineRule="exact"/>
        <w:rPr>
          <w:sz w:val="20"/>
          <w:szCs w:val="20"/>
          <w:color w:val="auto"/>
        </w:rPr>
      </w:pPr>
    </w:p>
    <w:p>
      <w:pPr>
        <w:ind w:right="380" w:firstLine="409"/>
        <w:spacing w:after="0" w:line="268" w:lineRule="auto"/>
        <w:rPr>
          <w:sz w:val="20"/>
          <w:szCs w:val="20"/>
          <w:color w:val="auto"/>
        </w:rPr>
      </w:pPr>
      <w:r>
        <w:rPr>
          <w:rFonts w:ascii="Arial" w:cs="Arial" w:eastAsia="Arial" w:hAnsi="Arial"/>
          <w:sz w:val="17"/>
          <w:szCs w:val="17"/>
          <w:color w:val="auto"/>
        </w:rPr>
        <w:t>11.35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Code and all regulations, guidance, compliance programs and other interpretative authority thereunder.</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11.36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11.37 “</w:t>
      </w:r>
      <w:r>
        <w:rPr>
          <w:rFonts w:ascii="Arial" w:cs="Arial" w:eastAsia="Arial" w:hAnsi="Arial"/>
          <w:sz w:val="17"/>
          <w:szCs w:val="17"/>
          <w:b w:val="1"/>
          <w:bCs w:val="1"/>
          <w:i w:val="1"/>
          <w:iCs w:val="1"/>
          <w:color w:val="auto"/>
        </w:rPr>
        <w:t>Service Provider</w:t>
      </w:r>
      <w:r>
        <w:rPr>
          <w:rFonts w:ascii="Arial" w:cs="Arial" w:eastAsia="Arial" w:hAnsi="Arial"/>
          <w:sz w:val="17"/>
          <w:szCs w:val="17"/>
          <w:color w:val="auto"/>
        </w:rPr>
        <w:t>” means an Employee, Consultant or Director.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11.38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means shares of Common Stock.</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11.39 “</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means a stock appreciation right granted under Article V.</w:t>
      </w:r>
    </w:p>
    <w:p>
      <w:pPr>
        <w:spacing w:after="0" w:line="106" w:lineRule="exact"/>
        <w:rPr>
          <w:sz w:val="20"/>
          <w:szCs w:val="20"/>
          <w:color w:val="auto"/>
        </w:rPr>
      </w:pPr>
    </w:p>
    <w:p>
      <w:pPr>
        <w:jc w:val="both"/>
        <w:ind w:right="80" w:firstLine="409"/>
        <w:spacing w:after="0" w:line="307" w:lineRule="auto"/>
        <w:rPr>
          <w:sz w:val="20"/>
          <w:szCs w:val="20"/>
          <w:color w:val="auto"/>
        </w:rPr>
      </w:pPr>
      <w:r>
        <w:rPr>
          <w:rFonts w:ascii="Arial" w:cs="Arial" w:eastAsia="Arial" w:hAnsi="Arial"/>
          <w:sz w:val="15"/>
          <w:szCs w:val="15"/>
          <w:color w:val="auto"/>
        </w:rPr>
        <w:t>11.40 “</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40"/>
          </w:cols>
          <w:pgMar w:left="820" w:top="265" w:right="839" w:bottom="1440" w:gutter="0" w:footer="0" w:header="0"/>
        </w:sectPr>
      </w:pPr>
    </w:p>
    <w:bookmarkStart w:id="395" w:name="page396"/>
    <w:bookmarkEnd w:id="395"/>
    <w:p>
      <w:pPr>
        <w:ind w:firstLine="40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11.41 “</w:t>
      </w:r>
      <w:r>
        <w:rPr>
          <w:rFonts w:ascii="Arial" w:cs="Arial" w:eastAsia="Arial" w:hAnsi="Arial"/>
          <w:sz w:val="17"/>
          <w:szCs w:val="17"/>
          <w:b w:val="1"/>
          <w:bCs w:val="1"/>
          <w:i w:val="1"/>
          <w:iCs w:val="1"/>
          <w:color w:val="auto"/>
        </w:rPr>
        <w:t>Substitute Awards</w:t>
      </w:r>
      <w:r>
        <w:rPr>
          <w:rFonts w:ascii="Arial" w:cs="Arial" w:eastAsia="Arial" w:hAnsi="Arial"/>
          <w:sz w:val="17"/>
          <w:szCs w:val="17"/>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11.42 “</w:t>
      </w:r>
      <w:r>
        <w:rPr>
          <w:rFonts w:ascii="Arial" w:cs="Arial" w:eastAsia="Arial" w:hAnsi="Arial"/>
          <w:sz w:val="17"/>
          <w:szCs w:val="17"/>
          <w:b w:val="1"/>
          <w:bCs w:val="1"/>
          <w:i w:val="1"/>
          <w:iCs w:val="1"/>
          <w:color w:val="auto"/>
        </w:rPr>
        <w:t>Termination of Service</w:t>
      </w:r>
      <w:r>
        <w:rPr>
          <w:rFonts w:ascii="Arial" w:cs="Arial" w:eastAsia="Arial" w:hAnsi="Arial"/>
          <w:sz w:val="17"/>
          <w:szCs w:val="17"/>
          <w:color w:val="auto"/>
        </w:rPr>
        <w:t>” means the date the Participant ceases to be a Service Provider.</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080"/>
          </w:cols>
          <w:pgMar w:left="820" w:top="265" w:right="999" w:bottom="1440" w:gutter="0" w:footer="0" w:header="0"/>
        </w:sectPr>
      </w:pPr>
    </w:p>
    <w:bookmarkStart w:id="396" w:name="page397"/>
    <w:bookmarkEnd w:id="396"/>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7157720" cy="23495"/>
                    </a:xfrm>
                    <a:prstGeom prst="rect">
                      <a:avLst/>
                    </a:prstGeom>
                    <a:noFill/>
                  </pic:spPr>
                </pic:pic>
              </a:graphicData>
            </a:graphic>
          </wp:anchor>
        </w:drawing>
        <w:drawing>
          <wp:anchor simplePos="0" relativeHeight="251657728" behindDoc="1" locked="0" layoutInCell="0" allowOverlap="1">
            <wp:simplePos x="0" y="0"/>
            <wp:positionH relativeFrom="page">
              <wp:posOffset>520065</wp:posOffset>
            </wp:positionH>
            <wp:positionV relativeFrom="page">
              <wp:posOffset>173990</wp:posOffset>
            </wp:positionV>
            <wp:extent cx="6508750" cy="4591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6508750" cy="459105"/>
                    </a:xfrm>
                    <a:prstGeom prst="rect">
                      <a:avLst/>
                    </a:prstGeom>
                    <a:noFill/>
                  </pic:spPr>
                </pic:pic>
              </a:graphicData>
            </a:graphic>
          </wp:anchor>
        </w:drawing>
        <w:t>LYRA THERAPEUTICS,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2020 INCENTIVE AWARD PLAN</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STOCK OPTION GRANT NOTICE</w:t>
      </w:r>
    </w:p>
    <w:p>
      <w:pPr>
        <w:spacing w:after="0" w:line="210" w:lineRule="exact"/>
        <w:rPr>
          <w:sz w:val="20"/>
          <w:szCs w:val="20"/>
          <w:color w:val="auto"/>
        </w:rPr>
      </w:pPr>
    </w:p>
    <w:p>
      <w:pPr>
        <w:ind w:right="220" w:firstLine="409"/>
        <w:spacing w:after="0" w:line="268" w:lineRule="auto"/>
        <w:rPr>
          <w:sz w:val="20"/>
          <w:szCs w:val="20"/>
          <w:color w:val="auto"/>
        </w:rPr>
      </w:pPr>
      <w:r>
        <w:rPr>
          <w:rFonts w:ascii="Arial" w:cs="Arial" w:eastAsia="Arial" w:hAnsi="Arial"/>
          <w:sz w:val="17"/>
          <w:szCs w:val="17"/>
          <w:color w:val="auto"/>
        </w:rPr>
        <w:t>Capitalized terms not specifically defined in this Stock Option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have the meanings given to them in the 2020 Incentive Award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of Lyra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166" w:lineRule="exact"/>
        <w:rPr>
          <w:sz w:val="20"/>
          <w:szCs w:val="20"/>
          <w:color w:val="auto"/>
        </w:rPr>
      </w:pPr>
    </w:p>
    <w:p>
      <w:pPr>
        <w:jc w:val="both"/>
        <w:ind w:firstLine="409"/>
        <w:spacing w:after="0" w:line="257" w:lineRule="auto"/>
        <w:rPr>
          <w:sz w:val="20"/>
          <w:szCs w:val="20"/>
          <w:color w:val="auto"/>
        </w:rPr>
      </w:pPr>
      <w:r>
        <w:rPr>
          <w:rFonts w:ascii="Arial" w:cs="Arial" w:eastAsia="Arial" w:hAnsi="Arial"/>
          <w:sz w:val="17"/>
          <w:szCs w:val="17"/>
          <w:color w:val="auto"/>
        </w:rPr>
        <w:t>The Company has granted to the participant listed below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the stock option described in this Grant Notice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xml:space="preserve">”), subject to the terms and conditions of the Plan and the Stock Option Agreement attached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both of which are incorporated into this Grant Notice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Price per Share: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Subject to the Option: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Final Expiration Date: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Commencement Date: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Schedule: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 of Option</w:t>
      </w:r>
    </w:p>
    <w:p>
      <w:pPr>
        <w:spacing w:after="0" w:line="210" w:lineRule="exact"/>
        <w:rPr>
          <w:sz w:val="20"/>
          <w:szCs w:val="20"/>
          <w:color w:val="auto"/>
        </w:rPr>
      </w:pPr>
    </w:p>
    <w:p>
      <w:pPr>
        <w:ind w:right="60" w:firstLine="409"/>
        <w:spacing w:after="0" w:line="298" w:lineRule="auto"/>
        <w:rPr>
          <w:sz w:val="20"/>
          <w:szCs w:val="20"/>
          <w:color w:val="auto"/>
        </w:rPr>
      </w:pPr>
      <w:r>
        <w:rPr>
          <w:rFonts w:ascii="Arial" w:cs="Arial" w:eastAsia="Arial" w:hAnsi="Arial"/>
          <w:sz w:val="15"/>
          <w:szCs w:val="15"/>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9" w:lineRule="exact"/>
        <w:rPr>
          <w:sz w:val="20"/>
          <w:szCs w:val="20"/>
          <w:color w:val="auto"/>
        </w:rPr>
      </w:pPr>
    </w:p>
    <w:p>
      <w:pPr>
        <w:spacing w:after="0"/>
        <w:tabs>
          <w:tab w:leader="none" w:pos="5520" w:val="left"/>
        </w:tabs>
        <w:rPr>
          <w:sz w:val="20"/>
          <w:szCs w:val="20"/>
          <w:color w:val="auto"/>
        </w:rPr>
      </w:pPr>
      <w:r>
        <w:rPr>
          <w:rFonts w:ascii="Arial" w:cs="Arial" w:eastAsia="Arial" w:hAnsi="Arial"/>
          <w:sz w:val="17"/>
          <w:szCs w:val="17"/>
          <w:b w:val="1"/>
          <w:bCs w:val="1"/>
          <w:color w:val="auto"/>
        </w:rPr>
        <w:t>LYRA THERAPEUTICS, INC.</w:t>
      </w:r>
      <w:r>
        <w:rPr>
          <w:sz w:val="20"/>
          <w:szCs w:val="20"/>
          <w:color w:val="auto"/>
        </w:rPr>
        <w:tab/>
      </w:r>
      <w:r>
        <w:rPr>
          <w:rFonts w:ascii="Arial" w:cs="Arial" w:eastAsia="Arial" w:hAnsi="Arial"/>
          <w:sz w:val="16"/>
          <w:szCs w:val="16"/>
          <w:b w:val="1"/>
          <w:bCs w:val="1"/>
          <w:color w:val="auto"/>
        </w:rPr>
        <w:t>PARTICIPANT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61214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61214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29889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29889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ectPr>
          <w:pgSz w:w="11900" w:h="16838" w:orient="portrait"/>
          <w:cols w:equalWidth="0" w:num="1">
            <w:col w:w="10200"/>
          </w:cols>
          <w:pgMar w:left="820" w:top="411" w:right="879" w:bottom="1440" w:gutter="0" w:footer="0" w:header="0"/>
        </w:sectPr>
      </w:pPr>
    </w:p>
    <w:bookmarkStart w:id="397" w:name="page398"/>
    <w:bookmarkEnd w:id="397"/>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210" w:lineRule="exact"/>
        <w:rPr>
          <w:sz w:val="20"/>
          <w:szCs w:val="20"/>
          <w:color w:val="auto"/>
        </w:rPr>
      </w:pPr>
    </w:p>
    <w:p>
      <w:pPr>
        <w:ind w:firstLine="409"/>
        <w:spacing w:after="0" w:line="268" w:lineRule="auto"/>
        <w:rPr>
          <w:sz w:val="20"/>
          <w:szCs w:val="20"/>
          <w:color w:val="auto"/>
        </w:rPr>
      </w:pPr>
      <w:r>
        <w:rPr>
          <w:rFonts w:ascii="Arial" w:cs="Arial" w:eastAsia="Arial" w:hAnsi="Arial"/>
          <w:sz w:val="17"/>
          <w:szCs w:val="17"/>
          <w:color w:val="auto"/>
        </w:rPr>
        <w:t>Capitalized terms not specifically defined in this Agreement have the meanings specified in the Grant Notice or, if not defined in the Grant Notice, in the Plan.</w:t>
      </w:r>
    </w:p>
    <w:p>
      <w:pPr>
        <w:spacing w:after="0" w:line="363"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ARTICLE I.</w:t>
      </w:r>
    </w:p>
    <w:p>
      <w:pPr>
        <w:spacing w:after="0" w:line="22"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GENERAL</w:t>
      </w:r>
    </w:p>
    <w:p>
      <w:pPr>
        <w:spacing w:after="0" w:line="194" w:lineRule="exact"/>
        <w:rPr>
          <w:sz w:val="20"/>
          <w:szCs w:val="20"/>
          <w:color w:val="auto"/>
        </w:rPr>
      </w:pPr>
    </w:p>
    <w:p>
      <w:pPr>
        <w:ind w:right="280" w:firstLine="409"/>
        <w:spacing w:after="0" w:line="26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has granted to Participant the Option effective as of the grant date set forth in the Grant Notice (the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w:t>
      </w:r>
    </w:p>
    <w:p>
      <w:pPr>
        <w:spacing w:after="0" w:line="66" w:lineRule="exact"/>
        <w:rPr>
          <w:sz w:val="20"/>
          <w:szCs w:val="20"/>
          <w:color w:val="auto"/>
        </w:rPr>
      </w:pPr>
    </w:p>
    <w:p>
      <w:pPr>
        <w:ind w:right="780" w:firstLine="409"/>
        <w:spacing w:after="0" w:line="33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Incorporation of Terms of Plan</w:t>
      </w:r>
      <w:r>
        <w:rPr>
          <w:rFonts w:ascii="Arial" w:cs="Arial" w:eastAsia="Arial" w:hAnsi="Arial"/>
          <w:sz w:val="15"/>
          <w:szCs w:val="15"/>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OF EXERCISABILITY</w:t>
      </w:r>
    </w:p>
    <w:p>
      <w:pPr>
        <w:spacing w:after="0" w:line="194" w:lineRule="exact"/>
        <w:rPr>
          <w:sz w:val="20"/>
          <w:szCs w:val="20"/>
          <w:color w:val="auto"/>
        </w:rPr>
      </w:pPr>
    </w:p>
    <w:p>
      <w:pPr>
        <w:ind w:right="300" w:firstLine="409"/>
        <w:spacing w:after="0" w:line="27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Commencement of Exercisability</w:t>
      </w:r>
      <w:r>
        <w:rPr>
          <w:rFonts w:ascii="Arial" w:cs="Arial" w:eastAsia="Arial" w:hAnsi="Arial"/>
          <w:sz w:val="16"/>
          <w:szCs w:val="16"/>
          <w:color w:val="auto"/>
        </w:rPr>
        <w:t>. The Option will vest and become exercisable according to the vesting schedule in the Grant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66" w:lineRule="exact"/>
        <w:rPr>
          <w:sz w:val="20"/>
          <w:szCs w:val="20"/>
          <w:color w:val="auto"/>
        </w:rPr>
      </w:pPr>
    </w:p>
    <w:p>
      <w:pPr>
        <w:ind w:right="180" w:firstLine="409"/>
        <w:spacing w:after="0" w:line="26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Duration of Exercisability</w:t>
      </w:r>
      <w:r>
        <w:rPr>
          <w:rFonts w:ascii="Arial" w:cs="Arial" w:eastAsia="Arial" w:hAnsi="Arial"/>
          <w:sz w:val="17"/>
          <w:szCs w:val="17"/>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Expiration of Option</w:t>
      </w:r>
      <w:r>
        <w:rPr>
          <w:rFonts w:ascii="Arial" w:cs="Arial" w:eastAsia="Arial" w:hAnsi="Arial"/>
          <w:sz w:val="15"/>
          <w:szCs w:val="15"/>
          <w:color w:val="auto"/>
        </w:rPr>
        <w:t>. The Option may not be exercised to any extent by anyone after, and will expire on, the first of the following to occur:</w:t>
      </w:r>
    </w:p>
    <w:p>
      <w:pPr>
        <w:spacing w:after="0" w:line="129" w:lineRule="exact"/>
        <w:rPr>
          <w:sz w:val="20"/>
          <w:szCs w:val="20"/>
          <w:color w:val="auto"/>
        </w:rPr>
      </w:pPr>
    </w:p>
    <w:p>
      <w:pPr>
        <w:ind w:left="1160" w:hanging="236"/>
        <w:spacing w:after="0"/>
        <w:tabs>
          <w:tab w:leader="none" w:pos="116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final expiration date in the Grant Notice;</w:t>
      </w:r>
    </w:p>
    <w:p>
      <w:pPr>
        <w:spacing w:after="0" w:line="105" w:lineRule="exact"/>
        <w:rPr>
          <w:rFonts w:ascii="Arial" w:cs="Arial" w:eastAsia="Arial" w:hAnsi="Arial"/>
          <w:sz w:val="17"/>
          <w:szCs w:val="17"/>
          <w:color w:val="auto"/>
        </w:rPr>
      </w:pPr>
    </w:p>
    <w:p>
      <w:pPr>
        <w:ind w:right="240" w:firstLine="924"/>
        <w:spacing w:after="0" w:line="268" w:lineRule="auto"/>
        <w:tabs>
          <w:tab w:leader="none" w:pos="115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65" w:lineRule="exact"/>
        <w:rPr>
          <w:rFonts w:ascii="Arial" w:cs="Arial" w:eastAsia="Arial" w:hAnsi="Arial"/>
          <w:sz w:val="17"/>
          <w:szCs w:val="17"/>
          <w:color w:val="auto"/>
        </w:rPr>
      </w:pPr>
    </w:p>
    <w:p>
      <w:pPr>
        <w:ind w:firstLine="924"/>
        <w:spacing w:after="0" w:line="268" w:lineRule="auto"/>
        <w:tabs>
          <w:tab w:leader="none" w:pos="114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Except as the Administrator may otherwise approve, the expiration of one (1) year from the date of Participant’s Termination of Service by reason of Participant’s death or Disability; and</w:t>
      </w:r>
    </w:p>
    <w:p>
      <w:pPr>
        <w:spacing w:after="0" w:line="65" w:lineRule="exact"/>
        <w:rPr>
          <w:rFonts w:ascii="Arial" w:cs="Arial" w:eastAsia="Arial" w:hAnsi="Arial"/>
          <w:sz w:val="17"/>
          <w:szCs w:val="17"/>
          <w:color w:val="auto"/>
        </w:rPr>
      </w:pPr>
    </w:p>
    <w:p>
      <w:pPr>
        <w:ind w:left="1160" w:hanging="236"/>
        <w:spacing w:after="0"/>
        <w:tabs>
          <w:tab w:leader="none" w:pos="116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Except as the Administrator may otherwise approve, Participant’s Termination of Service for Cause.</w:t>
      </w:r>
    </w:p>
    <w:p>
      <w:pPr>
        <w:sectPr>
          <w:pgSz w:w="11900" w:h="16838" w:orient="portrait"/>
          <w:cols w:equalWidth="0" w:num="1">
            <w:col w:w="10240"/>
          </w:cols>
          <w:pgMar w:left="820" w:top="261" w:right="839" w:bottom="1440" w:gutter="0" w:footer="0" w:header="0"/>
        </w:sectPr>
      </w:pPr>
    </w:p>
    <w:bookmarkStart w:id="398" w:name="page399"/>
    <w:bookmarkEnd w:id="39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EXERCISE OF OPTION</w:t>
      </w:r>
    </w:p>
    <w:p>
      <w:pPr>
        <w:spacing w:after="0" w:line="194" w:lineRule="exact"/>
        <w:rPr>
          <w:sz w:val="20"/>
          <w:szCs w:val="20"/>
          <w:color w:val="auto"/>
        </w:rPr>
      </w:pPr>
    </w:p>
    <w:p>
      <w:pPr>
        <w:jc w:val="both"/>
        <w:ind w:right="80" w:firstLine="409"/>
        <w:spacing w:after="0" w:line="335"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Person Eligible to Exercise</w:t>
      </w:r>
      <w:r>
        <w:rPr>
          <w:rFonts w:ascii="Arial" w:cs="Arial" w:eastAsia="Arial" w:hAnsi="Arial"/>
          <w:sz w:val="15"/>
          <w:szCs w:val="15"/>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21" w:lineRule="exact"/>
        <w:rPr>
          <w:sz w:val="20"/>
          <w:szCs w:val="20"/>
          <w:color w:val="auto"/>
        </w:rPr>
      </w:pPr>
    </w:p>
    <w:p>
      <w:pPr>
        <w:jc w:val="both"/>
        <w:ind w:right="80" w:firstLine="409"/>
        <w:spacing w:after="0" w:line="25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Partial Exercise</w:t>
      </w:r>
      <w:r>
        <w:rPr>
          <w:rFonts w:ascii="Arial" w:cs="Arial" w:eastAsia="Arial" w:hAnsi="Arial"/>
          <w:sz w:val="17"/>
          <w:szCs w:val="17"/>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106" w:lineRule="exact"/>
        <w:rPr>
          <w:sz w:val="20"/>
          <w:szCs w:val="20"/>
          <w:color w:val="auto"/>
        </w:rPr>
      </w:pPr>
    </w:p>
    <w:p>
      <w:pPr>
        <w:ind w:right="20" w:firstLine="924"/>
        <w:spacing w:after="0" w:line="257" w:lineRule="auto"/>
        <w:tabs>
          <w:tab w:leader="none" w:pos="114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74" w:lineRule="exact"/>
        <w:rPr>
          <w:rFonts w:ascii="Arial" w:cs="Arial" w:eastAsia="Arial" w:hAnsi="Arial"/>
          <w:sz w:val="17"/>
          <w:szCs w:val="17"/>
          <w:color w:val="auto"/>
        </w:rPr>
      </w:pPr>
    </w:p>
    <w:p>
      <w:pPr>
        <w:ind w:firstLine="924"/>
        <w:spacing w:after="0" w:line="271" w:lineRule="auto"/>
        <w:tabs>
          <w:tab w:leader="none" w:pos="115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PROVISIONS</w:t>
      </w:r>
    </w:p>
    <w:p>
      <w:pPr>
        <w:spacing w:after="0" w:line="194" w:lineRule="exact"/>
        <w:rPr>
          <w:sz w:val="20"/>
          <w:szCs w:val="20"/>
          <w:color w:val="auto"/>
        </w:rPr>
      </w:pPr>
    </w:p>
    <w:p>
      <w:pPr>
        <w:ind w:right="80" w:firstLine="409"/>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Adjustments</w:t>
      </w:r>
      <w:r>
        <w:rPr>
          <w:rFonts w:ascii="Arial" w:cs="Arial" w:eastAsia="Arial" w:hAnsi="Arial"/>
          <w:sz w:val="17"/>
          <w:szCs w:val="17"/>
          <w:color w:val="auto"/>
        </w:rPr>
        <w:t>. Participant acknowledges that the Option is subject to adjustment, modification and termination in certain events as provided in this Agreement and the Plan.</w:t>
      </w:r>
    </w:p>
    <w:p>
      <w:pPr>
        <w:spacing w:after="0" w:line="66" w:lineRule="exact"/>
        <w:rPr>
          <w:sz w:val="20"/>
          <w:szCs w:val="20"/>
          <w:color w:val="auto"/>
        </w:rPr>
      </w:pPr>
    </w:p>
    <w:p>
      <w:pPr>
        <w:ind w:firstLine="409"/>
        <w:spacing w:after="0" w:line="26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Titles</w:t>
      </w:r>
      <w:r>
        <w:rPr>
          <w:rFonts w:ascii="Arial" w:cs="Arial" w:eastAsia="Arial" w:hAnsi="Arial"/>
          <w:sz w:val="15"/>
          <w:szCs w:val="15"/>
          <w:color w:val="auto"/>
        </w:rPr>
        <w:t>. Titles are provided herein for convenience only and are not to serve as a basis for interpretation or construction of this Agreement.</w:t>
      </w:r>
    </w:p>
    <w:p>
      <w:pPr>
        <w:spacing w:after="0" w:line="129" w:lineRule="exact"/>
        <w:rPr>
          <w:sz w:val="20"/>
          <w:szCs w:val="20"/>
          <w:color w:val="auto"/>
        </w:rPr>
      </w:pPr>
    </w:p>
    <w:p>
      <w:pPr>
        <w:jc w:val="both"/>
        <w:ind w:right="180" w:firstLine="409"/>
        <w:spacing w:after="0" w:line="25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220"/>
          </w:cols>
          <w:pgMar w:left="820" w:top="261" w:right="859" w:bottom="1440" w:gutter="0" w:footer="0" w:header="0"/>
        </w:sectPr>
      </w:pPr>
    </w:p>
    <w:bookmarkStart w:id="399" w:name="page400"/>
    <w:bookmarkEnd w:id="399"/>
    <w:p>
      <w:pPr>
        <w:jc w:val="both"/>
        <w:ind w:right="60" w:firstLine="409"/>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4.5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41" w:lineRule="exact"/>
        <w:rPr>
          <w:sz w:val="20"/>
          <w:szCs w:val="20"/>
          <w:color w:val="auto"/>
        </w:rPr>
      </w:pPr>
    </w:p>
    <w:p>
      <w:pPr>
        <w:ind w:right="160" w:firstLine="409"/>
        <w:spacing w:after="0" w:line="251"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82" w:lineRule="exact"/>
        <w:rPr>
          <w:sz w:val="20"/>
          <w:szCs w:val="20"/>
          <w:color w:val="auto"/>
        </w:rPr>
      </w:pPr>
    </w:p>
    <w:p>
      <w:pPr>
        <w:ind w:right="100" w:firstLine="409"/>
        <w:spacing w:after="0" w:line="335"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Entire Agreement</w:t>
      </w:r>
      <w:r>
        <w:rPr>
          <w:rFonts w:ascii="Arial" w:cs="Arial" w:eastAsia="Arial" w:hAnsi="Arial"/>
          <w:sz w:val="15"/>
          <w:szCs w:val="15"/>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1" w:lineRule="exact"/>
        <w:rPr>
          <w:sz w:val="20"/>
          <w:szCs w:val="20"/>
          <w:color w:val="auto"/>
        </w:rPr>
      </w:pPr>
    </w:p>
    <w:p>
      <w:pPr>
        <w:ind w:right="80" w:firstLine="409"/>
        <w:spacing w:after="0" w:line="257"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75" w:lineRule="exact"/>
        <w:rPr>
          <w:sz w:val="20"/>
          <w:szCs w:val="20"/>
          <w:color w:val="auto"/>
        </w:rPr>
      </w:pPr>
    </w:p>
    <w:p>
      <w:pPr>
        <w:ind w:firstLine="409"/>
        <w:spacing w:after="0" w:line="27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66" w:lineRule="exact"/>
        <w:rPr>
          <w:sz w:val="20"/>
          <w:szCs w:val="20"/>
          <w:color w:val="auto"/>
        </w:rPr>
      </w:pPr>
    </w:p>
    <w:p>
      <w:pPr>
        <w:ind w:right="60" w:firstLine="409"/>
        <w:spacing w:after="0" w:line="298"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Not a Contract of Employment</w:t>
      </w:r>
      <w:r>
        <w:rPr>
          <w:rFonts w:ascii="Arial" w:cs="Arial" w:eastAsia="Arial" w:hAnsi="Arial"/>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47" w:lineRule="exact"/>
        <w:rPr>
          <w:sz w:val="20"/>
          <w:szCs w:val="20"/>
          <w:color w:val="auto"/>
        </w:rPr>
      </w:pPr>
    </w:p>
    <w:p>
      <w:pPr>
        <w:ind w:right="520" w:firstLine="409"/>
        <w:spacing w:after="0" w:line="299"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Counterparts</w:t>
      </w:r>
      <w:r>
        <w:rPr>
          <w:rFonts w:ascii="Arial" w:cs="Arial" w:eastAsia="Arial" w:hAnsi="Arial"/>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Incentive Stock Options</w:t>
      </w:r>
      <w:r>
        <w:rPr>
          <w:rFonts w:ascii="Arial" w:cs="Arial" w:eastAsia="Arial" w:hAnsi="Arial"/>
          <w:sz w:val="17"/>
          <w:szCs w:val="17"/>
          <w:color w:val="auto"/>
        </w:rPr>
        <w:t>. If the Option is designated as an Incentive Stock Option:</w:t>
      </w:r>
    </w:p>
    <w:p>
      <w:pPr>
        <w:spacing w:after="0" w:line="106" w:lineRule="exact"/>
        <w:rPr>
          <w:sz w:val="20"/>
          <w:szCs w:val="20"/>
          <w:color w:val="auto"/>
        </w:rPr>
      </w:pPr>
    </w:p>
    <w:p>
      <w:pPr>
        <w:ind w:right="80" w:firstLine="924"/>
        <w:spacing w:after="0" w:line="293" w:lineRule="auto"/>
        <w:tabs>
          <w:tab w:leader="none" w:pos="1149" w:val="left"/>
        </w:tabs>
        <w:numPr>
          <w:ilvl w:val="0"/>
          <w:numId w:val="323"/>
        </w:numPr>
        <w:rPr>
          <w:rFonts w:ascii="Arial" w:cs="Arial" w:eastAsia="Arial" w:hAnsi="Arial"/>
          <w:sz w:val="15"/>
          <w:szCs w:val="15"/>
          <w:color w:val="auto"/>
        </w:rPr>
      </w:pPr>
      <w:r>
        <w:rPr>
          <w:rFonts w:ascii="Arial" w:cs="Arial" w:eastAsia="Arial" w:hAnsi="Arial"/>
          <w:sz w:val="15"/>
          <w:szCs w:val="15"/>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240"/>
          </w:cols>
          <w:pgMar w:left="820" w:top="265" w:right="839" w:bottom="1440" w:gutter="0" w:footer="0" w:header="0"/>
        </w:sectPr>
      </w:pPr>
    </w:p>
    <w:bookmarkStart w:id="400" w:name="page401"/>
    <w:bookmarkEnd w:id="400"/>
    <w:p>
      <w:pPr>
        <w:ind w:right="80"/>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w:t>
      </w:r>
    </w:p>
    <w:p>
      <w:pPr>
        <w:spacing w:after="0" w:line="2" w:lineRule="exact"/>
        <w:rPr>
          <w:sz w:val="20"/>
          <w:szCs w:val="20"/>
          <w:color w:val="auto"/>
        </w:rPr>
      </w:pPr>
    </w:p>
    <w:p>
      <w:pPr>
        <w:ind w:right="640" w:firstLine="3"/>
        <w:spacing w:after="0" w:line="253" w:lineRule="auto"/>
        <w:tabs>
          <w:tab w:leader="none" w:pos="237" w:val="left"/>
        </w:tabs>
        <w:numPr>
          <w:ilvl w:val="0"/>
          <w:numId w:val="324"/>
        </w:numPr>
        <w:rPr>
          <w:rFonts w:ascii="Arial" w:cs="Arial" w:eastAsia="Arial" w:hAnsi="Arial"/>
          <w:sz w:val="17"/>
          <w:szCs w:val="17"/>
          <w:color w:val="auto"/>
        </w:rPr>
      </w:pPr>
      <w:r>
        <w:rPr>
          <w:rFonts w:ascii="Arial" w:cs="Arial" w:eastAsia="Arial" w:hAnsi="Arial"/>
          <w:sz w:val="17"/>
          <w:szCs w:val="17"/>
          <w:color w:val="auto"/>
        </w:rPr>
        <w:t>months after Participant’s Termination of Service as an Employee, other than by reason of death or disability, the Option will be taxed as a Non-Qualified Stock Option.</w:t>
      </w:r>
    </w:p>
    <w:p>
      <w:pPr>
        <w:spacing w:after="0" w:line="77" w:lineRule="exact"/>
        <w:rPr>
          <w:rFonts w:ascii="Arial" w:cs="Arial" w:eastAsia="Arial" w:hAnsi="Arial"/>
          <w:sz w:val="17"/>
          <w:szCs w:val="17"/>
          <w:color w:val="auto"/>
        </w:rPr>
      </w:pPr>
    </w:p>
    <w:p>
      <w:pPr>
        <w:ind w:firstLine="924"/>
        <w:spacing w:after="0" w:line="274" w:lineRule="auto"/>
        <w:tabs>
          <w:tab w:leader="none" w:pos="1159" w:val="left"/>
        </w:tabs>
        <w:numPr>
          <w:ilvl w:val="1"/>
          <w:numId w:val="324"/>
        </w:numPr>
        <w:rPr>
          <w:rFonts w:ascii="Arial" w:cs="Arial" w:eastAsia="Arial" w:hAnsi="Arial"/>
          <w:sz w:val="16"/>
          <w:szCs w:val="16"/>
          <w:color w:val="auto"/>
        </w:rPr>
      </w:pPr>
      <w:r>
        <w:rPr>
          <w:rFonts w:ascii="Arial" w:cs="Arial" w:eastAsia="Arial" w:hAnsi="Arial"/>
          <w:sz w:val="16"/>
          <w:szCs w:val="16"/>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0140"/>
          </w:cols>
          <w:pgMar w:left="820" w:top="265" w:right="93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7157720" cy="23495"/>
                    </a:xfrm>
                    <a:prstGeom prst="rect">
                      <a:avLst/>
                    </a:prstGeom>
                    <a:noFill/>
                  </pic:spPr>
                </pic:pic>
              </a:graphicData>
            </a:graphic>
          </wp:anchor>
        </w:drawing>
        <w:drawing>
          <wp:anchor simplePos="0" relativeHeight="251657728" behindDoc="1" locked="0" layoutInCell="0" allowOverlap="1">
            <wp:simplePos x="0" y="0"/>
            <wp:positionH relativeFrom="page">
              <wp:posOffset>520065</wp:posOffset>
            </wp:positionH>
            <wp:positionV relativeFrom="page">
              <wp:posOffset>173990</wp:posOffset>
            </wp:positionV>
            <wp:extent cx="6508750" cy="4591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6508750" cy="459105"/>
                    </a:xfrm>
                    <a:prstGeom prst="rect">
                      <a:avLst/>
                    </a:prstGeom>
                    <a:noFill/>
                  </pic:spPr>
                </pic:pic>
              </a:graphicData>
            </a:graphic>
          </wp:anchor>
        </w:drawing>
        <w:t>LYRA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INCENTIVE AWARD PLAN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GRANT NOTICE</w:t>
      </w:r>
    </w:p>
    <w:p>
      <w:pPr>
        <w:spacing w:after="0" w:line="210" w:lineRule="exact"/>
        <w:rPr>
          <w:sz w:val="20"/>
          <w:szCs w:val="20"/>
          <w:color w:val="auto"/>
        </w:rPr>
      </w:pPr>
    </w:p>
    <w:p>
      <w:pPr>
        <w:ind w:right="40" w:firstLine="409"/>
        <w:spacing w:after="0" w:line="268" w:lineRule="auto"/>
        <w:rPr>
          <w:sz w:val="20"/>
          <w:szCs w:val="20"/>
          <w:color w:val="auto"/>
        </w:rPr>
      </w:pPr>
      <w:r>
        <w:rPr>
          <w:rFonts w:ascii="Arial" w:cs="Arial" w:eastAsia="Arial" w:hAnsi="Arial"/>
          <w:sz w:val="17"/>
          <w:szCs w:val="17"/>
          <w:color w:val="auto"/>
        </w:rPr>
        <w:t>Capitalized terms not specifically defined in this Restricted Stock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have the meanings given to them in the 2020 Incentive Award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of Lyra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has granted to the participant listed below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shares of Restricted Stock described in this Grant Notice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Shares</w:t>
      </w:r>
      <w:r>
        <w:rPr>
          <w:rFonts w:ascii="Arial" w:cs="Arial" w:eastAsia="Arial" w:hAnsi="Arial"/>
          <w:sz w:val="15"/>
          <w:szCs w:val="15"/>
          <w:color w:val="auto"/>
        </w:rPr>
        <w:t xml:space="preserve">”), subject to the terms and conditions of the Plan and the Restricted Stock Agreement attached as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both</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of which are incorporated into this Grant Notice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Restricted Shares: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Commencement Date: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Schedule:</w:t>
      </w:r>
    </w:p>
    <w:p>
      <w:pPr>
        <w:spacing w:after="0" w:line="210" w:lineRule="exact"/>
        <w:rPr>
          <w:sz w:val="20"/>
          <w:szCs w:val="20"/>
          <w:color w:val="auto"/>
        </w:rPr>
      </w:pPr>
    </w:p>
    <w:p>
      <w:pPr>
        <w:ind w:right="100" w:firstLine="409"/>
        <w:spacing w:after="0" w:line="298" w:lineRule="auto"/>
        <w:rPr>
          <w:sz w:val="20"/>
          <w:szCs w:val="20"/>
          <w:color w:val="auto"/>
        </w:rPr>
      </w:pPr>
      <w:r>
        <w:rPr>
          <w:rFonts w:ascii="Arial" w:cs="Arial" w:eastAsia="Arial" w:hAnsi="Arial"/>
          <w:sz w:val="15"/>
          <w:szCs w:val="15"/>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9"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b w:val="1"/>
          <w:bCs w:val="1"/>
          <w:color w:val="auto"/>
        </w:rPr>
        <w:t>LYRA THERAPEUTICS, INC.</w:t>
      </w:r>
      <w:r>
        <w:rPr>
          <w:sz w:val="20"/>
          <w:szCs w:val="20"/>
          <w:color w:val="auto"/>
        </w:rPr>
        <w:tab/>
      </w:r>
      <w:r>
        <w:rPr>
          <w:rFonts w:ascii="Arial" w:cs="Arial" w:eastAsia="Arial" w:hAnsi="Arial"/>
          <w:sz w:val="16"/>
          <w:szCs w:val="16"/>
          <w:b w:val="1"/>
          <w:bCs w:val="1"/>
          <w:color w:val="auto"/>
        </w:rPr>
        <w:t>PARTICIPANT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61214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61214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298894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298894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ectPr>
          <w:pgSz w:w="11900" w:h="16838" w:orient="portrait"/>
          <w:cols w:equalWidth="0" w:num="1">
            <w:col w:w="10240"/>
          </w:cols>
          <w:pgMar w:left="820" w:top="411" w:right="8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AGREEMENT</w:t>
      </w:r>
    </w:p>
    <w:p>
      <w:pPr>
        <w:spacing w:after="0" w:line="210" w:lineRule="exact"/>
        <w:rPr>
          <w:sz w:val="20"/>
          <w:szCs w:val="20"/>
          <w:color w:val="auto"/>
        </w:rPr>
      </w:pPr>
    </w:p>
    <w:p>
      <w:pPr>
        <w:ind w:firstLine="409"/>
        <w:spacing w:after="0" w:line="268" w:lineRule="auto"/>
        <w:rPr>
          <w:sz w:val="20"/>
          <w:szCs w:val="20"/>
          <w:color w:val="auto"/>
        </w:rPr>
      </w:pPr>
      <w:r>
        <w:rPr>
          <w:rFonts w:ascii="Arial" w:cs="Arial" w:eastAsia="Arial" w:hAnsi="Arial"/>
          <w:sz w:val="17"/>
          <w:szCs w:val="17"/>
          <w:color w:val="auto"/>
        </w:rPr>
        <w:t>Capitalized terms not specifically defined in this Agreement have the meanings specified in the Grant Notice or, if not defined in the Grant Notice, in the Plan.</w:t>
      </w:r>
    </w:p>
    <w:p>
      <w:pPr>
        <w:spacing w:after="0" w:line="363"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ARTICLE I.</w:t>
      </w:r>
    </w:p>
    <w:p>
      <w:pPr>
        <w:spacing w:after="0" w:line="22"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GENERAL</w:t>
      </w:r>
    </w:p>
    <w:p>
      <w:pPr>
        <w:spacing w:after="0" w:line="194" w:lineRule="exact"/>
        <w:rPr>
          <w:sz w:val="20"/>
          <w:szCs w:val="20"/>
          <w:color w:val="auto"/>
        </w:rPr>
      </w:pPr>
    </w:p>
    <w:p>
      <w:pPr>
        <w:ind w:right="200" w:firstLine="409"/>
        <w:spacing w:after="0" w:line="293"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Issuance of Restricted Shares</w:t>
      </w:r>
      <w:r>
        <w:rPr>
          <w:rFonts w:ascii="Arial" w:cs="Arial" w:eastAsia="Arial" w:hAnsi="Arial"/>
          <w:sz w:val="15"/>
          <w:szCs w:val="15"/>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52" w:lineRule="exact"/>
        <w:rPr>
          <w:sz w:val="20"/>
          <w:szCs w:val="20"/>
          <w:color w:val="auto"/>
        </w:rPr>
      </w:pPr>
    </w:p>
    <w:p>
      <w:pPr>
        <w:ind w:firstLine="409"/>
        <w:spacing w:after="0" w:line="33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Incorporation of Terms of Plan</w:t>
      </w:r>
      <w:r>
        <w:rPr>
          <w:rFonts w:ascii="Arial" w:cs="Arial" w:eastAsia="Arial" w:hAnsi="Arial"/>
          <w:sz w:val="15"/>
          <w:szCs w:val="15"/>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VESTING, FORFEITURE AND ESCROW</w:t>
      </w:r>
    </w:p>
    <w:p>
      <w:pPr>
        <w:spacing w:after="0" w:line="194" w:lineRule="exact"/>
        <w:rPr>
          <w:sz w:val="20"/>
          <w:szCs w:val="20"/>
          <w:color w:val="auto"/>
        </w:rPr>
      </w:pPr>
    </w:p>
    <w:p>
      <w:pPr>
        <w:ind w:right="20" w:firstLine="409"/>
        <w:spacing w:after="0" w:line="25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Vesting</w:t>
      </w:r>
      <w:r>
        <w:rPr>
          <w:rFonts w:ascii="Arial" w:cs="Arial" w:eastAsia="Arial" w:hAnsi="Arial"/>
          <w:sz w:val="17"/>
          <w:szCs w:val="17"/>
          <w:color w:val="auto"/>
        </w:rPr>
        <w:t>. The Restricted Shares will become vested Shares (the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75" w:lineRule="exact"/>
        <w:rPr>
          <w:sz w:val="20"/>
          <w:szCs w:val="20"/>
          <w:color w:val="auto"/>
        </w:rPr>
      </w:pPr>
    </w:p>
    <w:p>
      <w:pPr>
        <w:ind w:right="40" w:firstLine="409"/>
        <w:spacing w:after="0" w:line="25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Forfeiture</w:t>
      </w:r>
      <w:r>
        <w:rPr>
          <w:rFonts w:ascii="Arial" w:cs="Arial" w:eastAsia="Arial" w:hAnsi="Arial"/>
          <w:sz w:val="17"/>
          <w:szCs w:val="17"/>
          <w:color w:val="auto"/>
        </w:rPr>
        <w:t>. In the event of Participant’s Termination of Service for any reason, Participant will immediately and automatically forfeit to the Company any Shares that are not Vested Shares (the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Escrow</w:t>
      </w:r>
      <w:r>
        <w:rPr>
          <w:rFonts w:ascii="Arial" w:cs="Arial" w:eastAsia="Arial" w:hAnsi="Arial"/>
          <w:sz w:val="17"/>
          <w:szCs w:val="17"/>
          <w:color w:val="auto"/>
        </w:rPr>
        <w:t>.</w:t>
      </w:r>
    </w:p>
    <w:p>
      <w:pPr>
        <w:spacing w:after="0" w:line="106" w:lineRule="exact"/>
        <w:rPr>
          <w:sz w:val="20"/>
          <w:szCs w:val="20"/>
          <w:color w:val="auto"/>
        </w:rPr>
      </w:pPr>
    </w:p>
    <w:p>
      <w:pPr>
        <w:ind w:right="140" w:firstLine="924"/>
        <w:spacing w:after="0" w:line="268" w:lineRule="auto"/>
        <w:tabs>
          <w:tab w:leader="none" w:pos="114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sectPr>
          <w:pgSz w:w="11900" w:h="16838" w:orient="portrait"/>
          <w:cols w:equalWidth="0" w:num="1">
            <w:col w:w="10240"/>
          </w:cols>
          <w:pgMar w:left="820" w:top="261" w:right="839" w:bottom="1440" w:gutter="0" w:footer="0" w:header="0"/>
        </w:sectPr>
      </w:pPr>
    </w:p>
    <w:bookmarkStart w:id="403" w:name="page404"/>
    <w:bookmarkEnd w:id="403"/>
    <w:p>
      <w:pPr>
        <w:ind w:firstLine="924"/>
        <w:spacing w:after="0" w:line="250" w:lineRule="auto"/>
        <w:tabs>
          <w:tab w:leader="none" w:pos="1159" w:val="left"/>
        </w:tabs>
        <w:numPr>
          <w:ilvl w:val="0"/>
          <w:numId w:val="3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All cash dividends and other distributions made or declared with respect to Unvested Shares (“</w:t>
      </w:r>
      <w:r>
        <w:rPr>
          <w:rFonts w:ascii="Arial" w:cs="Arial" w:eastAsia="Arial" w:hAnsi="Arial"/>
          <w:sz w:val="17"/>
          <w:szCs w:val="17"/>
          <w:b w:val="1"/>
          <w:bCs w:val="1"/>
          <w:i w:val="1"/>
          <w:iCs w:val="1"/>
          <w:color w:val="auto"/>
        </w:rPr>
        <w:t>Retained Distributions</w:t>
      </w:r>
      <w:r>
        <w:rPr>
          <w:rFonts w:ascii="Arial" w:cs="Arial" w:eastAsia="Arial" w:hAnsi="Arial"/>
          <w:sz w:val="17"/>
          <w:szCs w:val="17"/>
          <w:color w:val="auto"/>
        </w:rPr>
        <w:t>”) will be held by the Company until the time (if ever) when the Unvested Shares to which such Retained Distributions relate become Vested Shares. The Company will establish a separate Retained Distribution bookkeeping account (“</w:t>
      </w:r>
      <w:r>
        <w:rPr>
          <w:rFonts w:ascii="Arial" w:cs="Arial" w:eastAsia="Arial" w:hAnsi="Arial"/>
          <w:sz w:val="17"/>
          <w:szCs w:val="17"/>
          <w:b w:val="1"/>
          <w:bCs w:val="1"/>
          <w:i w:val="1"/>
          <w:iCs w:val="1"/>
          <w:color w:val="auto"/>
        </w:rPr>
        <w:t>Retained Distribution Account</w:t>
      </w:r>
      <w:r>
        <w:rPr>
          <w:rFonts w:ascii="Arial" w:cs="Arial" w:eastAsia="Arial" w:hAnsi="Arial"/>
          <w:sz w:val="17"/>
          <w:szCs w:val="17"/>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80" w:lineRule="exact"/>
        <w:rPr>
          <w:rFonts w:ascii="Arial" w:cs="Arial" w:eastAsia="Arial" w:hAnsi="Arial"/>
          <w:sz w:val="17"/>
          <w:szCs w:val="17"/>
          <w:color w:val="auto"/>
        </w:rPr>
      </w:pPr>
    </w:p>
    <w:p>
      <w:pPr>
        <w:ind w:right="60" w:firstLine="924"/>
        <w:spacing w:after="0" w:line="253" w:lineRule="auto"/>
        <w:tabs>
          <w:tab w:leader="none" w:pos="1149"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80" w:lineRule="exact"/>
        <w:rPr>
          <w:sz w:val="20"/>
          <w:szCs w:val="20"/>
          <w:color w:val="auto"/>
        </w:rPr>
      </w:pPr>
    </w:p>
    <w:p>
      <w:pPr>
        <w:jc w:val="both"/>
        <w:ind w:right="120" w:firstLine="409"/>
        <w:spacing w:after="0" w:line="257"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Rights as Stockholder</w:t>
      </w:r>
      <w:r>
        <w:rPr>
          <w:rFonts w:ascii="Arial" w:cs="Arial" w:eastAsia="Arial" w:hAnsi="Arial"/>
          <w:sz w:val="17"/>
          <w:szCs w:val="17"/>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TAXATION AND TAX WITHHOLDING</w:t>
      </w:r>
    </w:p>
    <w:p>
      <w:pPr>
        <w:spacing w:after="0" w:line="194"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w:t>
      </w:r>
      <w:r>
        <w:rPr>
          <w:rFonts w:ascii="Arial" w:cs="Arial" w:eastAsia="Arial" w:hAnsi="Arial"/>
          <w:sz w:val="17"/>
          <w:szCs w:val="17"/>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75" w:lineRule="exact"/>
        <w:rPr>
          <w:sz w:val="20"/>
          <w:szCs w:val="20"/>
          <w:color w:val="auto"/>
        </w:rPr>
      </w:pPr>
    </w:p>
    <w:p>
      <w:pPr>
        <w:ind w:right="80" w:firstLine="409"/>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Section 83(b) Election</w:t>
      </w:r>
      <w:r>
        <w:rPr>
          <w:rFonts w:ascii="Arial" w:cs="Arial" w:eastAsia="Arial" w:hAnsi="Arial"/>
          <w:sz w:val="17"/>
          <w:szCs w:val="17"/>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106" w:lineRule="exact"/>
        <w:rPr>
          <w:sz w:val="20"/>
          <w:szCs w:val="20"/>
          <w:color w:val="auto"/>
        </w:rPr>
      </w:pPr>
    </w:p>
    <w:p>
      <w:pPr>
        <w:ind w:right="300" w:firstLine="924"/>
        <w:spacing w:after="0" w:line="257" w:lineRule="auto"/>
        <w:tabs>
          <w:tab w:leader="none" w:pos="114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74" w:lineRule="exact"/>
        <w:rPr>
          <w:rFonts w:ascii="Arial" w:cs="Arial" w:eastAsia="Arial" w:hAnsi="Arial"/>
          <w:sz w:val="17"/>
          <w:szCs w:val="17"/>
          <w:color w:val="auto"/>
        </w:rPr>
      </w:pPr>
    </w:p>
    <w:p>
      <w:pPr>
        <w:ind w:right="140" w:firstLine="924"/>
        <w:spacing w:after="0" w:line="293" w:lineRule="auto"/>
        <w:tabs>
          <w:tab w:leader="none" w:pos="1159" w:val="left"/>
        </w:tabs>
        <w:numPr>
          <w:ilvl w:val="0"/>
          <w:numId w:val="327"/>
        </w:numPr>
        <w:rPr>
          <w:rFonts w:ascii="Arial" w:cs="Arial" w:eastAsia="Arial" w:hAnsi="Arial"/>
          <w:sz w:val="15"/>
          <w:szCs w:val="15"/>
          <w:color w:val="auto"/>
        </w:rPr>
      </w:pPr>
      <w:r>
        <w:rPr>
          <w:rFonts w:ascii="Arial" w:cs="Arial" w:eastAsia="Arial" w:hAnsi="Arial"/>
          <w:sz w:val="15"/>
          <w:szCs w:val="15"/>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240"/>
          </w:cols>
          <w:pgMar w:left="820" w:top="265" w:right="839" w:bottom="1440" w:gutter="0" w:footer="0" w:header="0"/>
        </w:sectPr>
      </w:pPr>
    </w:p>
    <w:bookmarkStart w:id="404" w:name="page405"/>
    <w:bookmarkEnd w:id="40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ARTICLE IV.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RESTRICTIVE LEGENDS AND TRANSFERABILITY</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Legends</w:t>
      </w:r>
      <w:r>
        <w:rPr>
          <w:rFonts w:ascii="Arial" w:cs="Arial" w:eastAsia="Arial" w:hAnsi="Arial"/>
          <w:sz w:val="15"/>
          <w:szCs w:val="15"/>
          <w:color w:val="auto"/>
        </w:rPr>
        <w:t>. Any certificate representing a Restricted Share will bear the following legend until the Restricted Share becomes a Vested Share:</w:t>
      </w:r>
    </w:p>
    <w:p>
      <w:pPr>
        <w:spacing w:after="0" w:line="129" w:lineRule="exact"/>
        <w:rPr>
          <w:sz w:val="20"/>
          <w:szCs w:val="20"/>
          <w:color w:val="auto"/>
        </w:rPr>
      </w:pPr>
    </w:p>
    <w:p>
      <w:pPr>
        <w:jc w:val="both"/>
        <w:ind w:left="920" w:right="140"/>
        <w:spacing w:after="0" w:line="280" w:lineRule="auto"/>
        <w:rPr>
          <w:sz w:val="20"/>
          <w:szCs w:val="20"/>
          <w:color w:val="auto"/>
        </w:rPr>
      </w:pPr>
      <w:r>
        <w:rPr>
          <w:rFonts w:ascii="Arial" w:cs="Arial" w:eastAsia="Arial" w:hAnsi="Arial"/>
          <w:sz w:val="16"/>
          <w:szCs w:val="16"/>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59" w:lineRule="exact"/>
        <w:rPr>
          <w:sz w:val="20"/>
          <w:szCs w:val="20"/>
          <w:color w:val="auto"/>
        </w:rPr>
      </w:pPr>
    </w:p>
    <w:p>
      <w:pPr>
        <w:ind w:firstLine="409"/>
        <w:spacing w:after="0" w:line="285"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Transferability</w:t>
      </w:r>
      <w:r>
        <w:rPr>
          <w:rFonts w:ascii="Arial" w:cs="Arial" w:eastAsia="Arial" w:hAnsi="Arial"/>
          <w:sz w:val="15"/>
          <w:szCs w:val="15"/>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w:t>
      </w:r>
    </w:p>
    <w:p>
      <w:pPr>
        <w:ind w:right="40" w:firstLine="3"/>
        <w:spacing w:after="0" w:line="248" w:lineRule="auto"/>
        <w:tabs>
          <w:tab w:leader="none" w:pos="22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PROVISIONS</w:t>
      </w:r>
    </w:p>
    <w:p>
      <w:pPr>
        <w:spacing w:after="0" w:line="194" w:lineRule="exact"/>
        <w:rPr>
          <w:sz w:val="20"/>
          <w:szCs w:val="20"/>
          <w:color w:val="auto"/>
        </w:rPr>
      </w:pPr>
    </w:p>
    <w:p>
      <w:pPr>
        <w:ind w:right="120" w:firstLine="409"/>
        <w:spacing w:after="0" w:line="26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Adjustments</w:t>
      </w:r>
      <w:r>
        <w:rPr>
          <w:rFonts w:ascii="Arial" w:cs="Arial" w:eastAsia="Arial" w:hAnsi="Arial"/>
          <w:sz w:val="17"/>
          <w:szCs w:val="17"/>
          <w:color w:val="auto"/>
        </w:rPr>
        <w:t>. Participant acknowledges that the Restricted Shares are subject to adjustment, modification and termination in certain events as provided in this Agreement and the Plan.</w:t>
      </w:r>
    </w:p>
    <w:p>
      <w:pPr>
        <w:spacing w:after="0" w:line="66" w:lineRule="exact"/>
        <w:rPr>
          <w:sz w:val="20"/>
          <w:szCs w:val="20"/>
          <w:color w:val="auto"/>
        </w:rPr>
      </w:pPr>
    </w:p>
    <w:p>
      <w:pPr>
        <w:ind w:right="80" w:firstLine="409"/>
        <w:spacing w:after="0" w:line="288"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Notices</w:t>
      </w:r>
      <w:r>
        <w:rPr>
          <w:rFonts w:ascii="Arial" w:cs="Arial" w:eastAsia="Arial" w:hAnsi="Arial"/>
          <w:sz w:val="15"/>
          <w:szCs w:val="15"/>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Titles</w:t>
      </w:r>
      <w:r>
        <w:rPr>
          <w:rFonts w:ascii="Arial" w:cs="Arial" w:eastAsia="Arial" w:hAnsi="Arial"/>
          <w:sz w:val="15"/>
          <w:szCs w:val="15"/>
          <w:color w:val="auto"/>
        </w:rPr>
        <w:t>. Titles are provided herein for convenience only and are not to serve as a basis for interpretation or construction of this Agreement.</w:t>
      </w:r>
    </w:p>
    <w:p>
      <w:pPr>
        <w:spacing w:after="0" w:line="129" w:lineRule="exact"/>
        <w:rPr>
          <w:sz w:val="20"/>
          <w:szCs w:val="20"/>
          <w:color w:val="auto"/>
        </w:rPr>
      </w:pPr>
    </w:p>
    <w:p>
      <w:pPr>
        <w:jc w:val="both"/>
        <w:ind w:right="200" w:firstLine="409"/>
        <w:spacing w:after="0" w:line="25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75" w:lineRule="exact"/>
        <w:rPr>
          <w:sz w:val="20"/>
          <w:szCs w:val="20"/>
          <w:color w:val="auto"/>
        </w:rPr>
      </w:pPr>
    </w:p>
    <w:p>
      <w:pPr>
        <w:jc w:val="both"/>
        <w:ind w:right="100" w:firstLine="409"/>
        <w:spacing w:after="0" w:line="307"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240"/>
          </w:cols>
          <w:pgMar w:left="820" w:top="260" w:right="839" w:bottom="1440" w:gutter="0" w:footer="0" w:header="0"/>
        </w:sectPr>
      </w:pPr>
    </w:p>
    <w:bookmarkStart w:id="405" w:name="page406"/>
    <w:bookmarkEnd w:id="405"/>
    <w:p>
      <w:pPr>
        <w:ind w:right="200" w:firstLine="409"/>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5.6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82" w:lineRule="exact"/>
        <w:rPr>
          <w:sz w:val="20"/>
          <w:szCs w:val="20"/>
          <w:color w:val="auto"/>
        </w:rPr>
      </w:pPr>
    </w:p>
    <w:p>
      <w:pPr>
        <w:ind w:right="100" w:firstLine="409"/>
        <w:spacing w:after="0" w:line="335"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Entire Agreement</w:t>
      </w:r>
      <w:r>
        <w:rPr>
          <w:rFonts w:ascii="Arial" w:cs="Arial" w:eastAsia="Arial" w:hAnsi="Arial"/>
          <w:sz w:val="15"/>
          <w:szCs w:val="15"/>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1" w:lineRule="exact"/>
        <w:rPr>
          <w:sz w:val="20"/>
          <w:szCs w:val="20"/>
          <w:color w:val="auto"/>
        </w:rPr>
      </w:pPr>
    </w:p>
    <w:p>
      <w:pPr>
        <w:ind w:right="80" w:firstLine="409"/>
        <w:spacing w:after="0" w:line="257"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75" w:lineRule="exact"/>
        <w:rPr>
          <w:sz w:val="20"/>
          <w:szCs w:val="20"/>
          <w:color w:val="auto"/>
        </w:rPr>
      </w:pPr>
    </w:p>
    <w:p>
      <w:pPr>
        <w:ind w:firstLine="409"/>
        <w:spacing w:after="0" w:line="253"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80" w:lineRule="exact"/>
        <w:rPr>
          <w:sz w:val="20"/>
          <w:szCs w:val="20"/>
          <w:color w:val="auto"/>
        </w:rPr>
      </w:pPr>
    </w:p>
    <w:p>
      <w:pPr>
        <w:ind w:right="60" w:firstLine="409"/>
        <w:spacing w:after="0" w:line="298"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Not a Contract of Employment</w:t>
      </w:r>
      <w:r>
        <w:rPr>
          <w:rFonts w:ascii="Arial" w:cs="Arial" w:eastAsia="Arial" w:hAnsi="Arial"/>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47" w:lineRule="exact"/>
        <w:rPr>
          <w:sz w:val="20"/>
          <w:szCs w:val="20"/>
          <w:color w:val="auto"/>
        </w:rPr>
      </w:pPr>
    </w:p>
    <w:p>
      <w:pPr>
        <w:ind w:right="520" w:firstLine="409"/>
        <w:spacing w:after="0" w:line="299"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Counterparts</w:t>
      </w:r>
      <w:r>
        <w:rPr>
          <w:rFonts w:ascii="Arial" w:cs="Arial" w:eastAsia="Arial" w:hAnsi="Arial"/>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0240"/>
          </w:cols>
          <w:pgMar w:left="820" w:top="265" w:right="839" w:bottom="1440" w:gutter="0" w:footer="0" w:header="0"/>
        </w:sectPr>
      </w:pPr>
    </w:p>
    <w:bookmarkStart w:id="406" w:name="page407"/>
    <w:bookmarkEnd w:id="406"/>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7157720" cy="23495"/>
                    </a:xfrm>
                    <a:prstGeom prst="rect">
                      <a:avLst/>
                    </a:prstGeom>
                    <a:noFill/>
                  </pic:spPr>
                </pic:pic>
              </a:graphicData>
            </a:graphic>
          </wp:anchor>
        </w:drawing>
        <w:drawing>
          <wp:anchor simplePos="0" relativeHeight="251657728" behindDoc="1" locked="0" layoutInCell="0" allowOverlap="1">
            <wp:simplePos x="0" y="0"/>
            <wp:positionH relativeFrom="page">
              <wp:posOffset>520065</wp:posOffset>
            </wp:positionH>
            <wp:positionV relativeFrom="page">
              <wp:posOffset>173990</wp:posOffset>
            </wp:positionV>
            <wp:extent cx="6508750" cy="4591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6508750" cy="459105"/>
                    </a:xfrm>
                    <a:prstGeom prst="rect">
                      <a:avLst/>
                    </a:prstGeom>
                    <a:noFill/>
                  </pic:spPr>
                </pic:pic>
              </a:graphicData>
            </a:graphic>
          </wp:anchor>
        </w:drawing>
        <w:t>LYRA THERAPEUTICS,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2020 INCENTIVE AWARD PLAN</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RESTRICTED STOCK UNIT GRANT NOTICE</w:t>
      </w:r>
    </w:p>
    <w:p>
      <w:pPr>
        <w:spacing w:after="0" w:line="210" w:lineRule="exact"/>
        <w:rPr>
          <w:sz w:val="20"/>
          <w:szCs w:val="20"/>
          <w:color w:val="auto"/>
        </w:rPr>
      </w:pPr>
    </w:p>
    <w:p>
      <w:pPr>
        <w:ind w:firstLine="409"/>
        <w:spacing w:after="0" w:line="268" w:lineRule="auto"/>
        <w:rPr>
          <w:sz w:val="20"/>
          <w:szCs w:val="20"/>
          <w:color w:val="auto"/>
        </w:rPr>
      </w:pPr>
      <w:r>
        <w:rPr>
          <w:rFonts w:ascii="Arial" w:cs="Arial" w:eastAsia="Arial" w:hAnsi="Arial"/>
          <w:sz w:val="17"/>
          <w:szCs w:val="17"/>
          <w:color w:val="auto"/>
        </w:rPr>
        <w:t>Capitalized terms not specifically defined in this Restricted Stock Unit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have the meanings given to them in the 2020 Incentive Award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of Lyra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166" w:lineRule="exact"/>
        <w:rPr>
          <w:sz w:val="20"/>
          <w:szCs w:val="20"/>
          <w:color w:val="auto"/>
        </w:rPr>
      </w:pPr>
    </w:p>
    <w:p>
      <w:pPr>
        <w:ind w:right="60" w:firstLine="409"/>
        <w:spacing w:after="0" w:line="257" w:lineRule="auto"/>
        <w:rPr>
          <w:sz w:val="20"/>
          <w:szCs w:val="20"/>
          <w:color w:val="auto"/>
        </w:rPr>
      </w:pPr>
      <w:r>
        <w:rPr>
          <w:rFonts w:ascii="Arial" w:cs="Arial" w:eastAsia="Arial" w:hAnsi="Arial"/>
          <w:sz w:val="17"/>
          <w:szCs w:val="17"/>
          <w:color w:val="auto"/>
        </w:rPr>
        <w:t>The Company has granted to the participant listed below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the Restricted Stock Units described in this Grant Notice (the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xml:space="preserve">”), subject to the terms and conditions of the Plan and the Restricted Stock Unit Agreement attached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both of which are incorporated into this Grant Notice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RSUs: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Commencement Date: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Schedule:</w:t>
      </w:r>
    </w:p>
    <w:p>
      <w:pPr>
        <w:spacing w:after="0" w:line="210" w:lineRule="exact"/>
        <w:rPr>
          <w:sz w:val="20"/>
          <w:szCs w:val="20"/>
          <w:color w:val="auto"/>
        </w:rPr>
      </w:pPr>
    </w:p>
    <w:p>
      <w:pPr>
        <w:ind w:right="20" w:firstLine="409"/>
        <w:spacing w:after="0" w:line="298" w:lineRule="auto"/>
        <w:rPr>
          <w:sz w:val="20"/>
          <w:szCs w:val="20"/>
          <w:color w:val="auto"/>
        </w:rPr>
      </w:pPr>
      <w:r>
        <w:rPr>
          <w:rFonts w:ascii="Arial" w:cs="Arial" w:eastAsia="Arial" w:hAnsi="Arial"/>
          <w:sz w:val="15"/>
          <w:szCs w:val="15"/>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9" w:lineRule="exact"/>
        <w:rPr>
          <w:sz w:val="20"/>
          <w:szCs w:val="20"/>
          <w:color w:val="auto"/>
        </w:rPr>
      </w:pPr>
    </w:p>
    <w:p>
      <w:pPr>
        <w:spacing w:after="0"/>
        <w:tabs>
          <w:tab w:leader="none" w:pos="5980" w:val="left"/>
        </w:tabs>
        <w:rPr>
          <w:sz w:val="20"/>
          <w:szCs w:val="20"/>
          <w:color w:val="auto"/>
        </w:rPr>
      </w:pPr>
      <w:r>
        <w:rPr>
          <w:rFonts w:ascii="Arial" w:cs="Arial" w:eastAsia="Arial" w:hAnsi="Arial"/>
          <w:sz w:val="17"/>
          <w:szCs w:val="17"/>
          <w:b w:val="1"/>
          <w:bCs w:val="1"/>
          <w:color w:val="auto"/>
        </w:rPr>
        <w:t>LYRA THERAPEUTICS, INC.</w:t>
      </w:r>
      <w:r>
        <w:rPr>
          <w:sz w:val="20"/>
          <w:szCs w:val="20"/>
          <w:color w:val="auto"/>
        </w:rPr>
        <w:tab/>
      </w:r>
      <w:r>
        <w:rPr>
          <w:rFonts w:ascii="Arial" w:cs="Arial" w:eastAsia="Arial" w:hAnsi="Arial"/>
          <w:sz w:val="16"/>
          <w:szCs w:val="16"/>
          <w:b w:val="1"/>
          <w:bCs w:val="1"/>
          <w:color w:val="auto"/>
        </w:rPr>
        <w:t>PARTICIPANT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61214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61214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298894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298894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ectPr>
          <w:pgSz w:w="11900" w:h="16838" w:orient="portrait"/>
          <w:cols w:equalWidth="0" w:num="1">
            <w:col w:w="10160"/>
          </w:cols>
          <w:pgMar w:left="820" w:top="411" w:right="919" w:bottom="1440" w:gutter="0" w:footer="0" w:header="0"/>
        </w:sectPr>
      </w:pPr>
    </w:p>
    <w:bookmarkStart w:id="407" w:name="page408"/>
    <w:bookmarkEnd w:id="407"/>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AGREEMENT</w:t>
      </w:r>
    </w:p>
    <w:p>
      <w:pPr>
        <w:spacing w:after="0" w:line="210" w:lineRule="exact"/>
        <w:rPr>
          <w:sz w:val="20"/>
          <w:szCs w:val="20"/>
          <w:color w:val="auto"/>
        </w:rPr>
      </w:pPr>
    </w:p>
    <w:p>
      <w:pPr>
        <w:ind w:firstLine="409"/>
        <w:spacing w:after="0" w:line="268" w:lineRule="auto"/>
        <w:rPr>
          <w:sz w:val="20"/>
          <w:szCs w:val="20"/>
          <w:color w:val="auto"/>
        </w:rPr>
      </w:pPr>
      <w:r>
        <w:rPr>
          <w:rFonts w:ascii="Arial" w:cs="Arial" w:eastAsia="Arial" w:hAnsi="Arial"/>
          <w:sz w:val="17"/>
          <w:szCs w:val="17"/>
          <w:color w:val="auto"/>
        </w:rPr>
        <w:t>Capitalized terms not specifically defined in this Agreement have the meanings specified in the Grant Notice or, if not defined in the Grant Notice, in the Plan.</w:t>
      </w:r>
    </w:p>
    <w:p>
      <w:pPr>
        <w:spacing w:after="0" w:line="363"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ARTICLE I.</w:t>
      </w:r>
    </w:p>
    <w:p>
      <w:pPr>
        <w:spacing w:after="0" w:line="22"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GENERAL</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Award of RSUs and Dividend Equivalents</w:t>
      </w:r>
      <w:r>
        <w:rPr>
          <w:rFonts w:ascii="Arial" w:cs="Arial" w:eastAsia="Arial" w:hAnsi="Arial"/>
          <w:sz w:val="17"/>
          <w:szCs w:val="17"/>
          <w:color w:val="auto"/>
        </w:rPr>
        <w:t>.</w:t>
      </w:r>
    </w:p>
    <w:p>
      <w:pPr>
        <w:spacing w:after="0" w:line="106" w:lineRule="exact"/>
        <w:rPr>
          <w:sz w:val="20"/>
          <w:szCs w:val="20"/>
          <w:color w:val="auto"/>
        </w:rPr>
      </w:pPr>
    </w:p>
    <w:p>
      <w:pPr>
        <w:ind w:right="100" w:firstLine="924"/>
        <w:spacing w:after="0" w:line="307" w:lineRule="auto"/>
        <w:tabs>
          <w:tab w:leader="none" w:pos="1149" w:val="left"/>
        </w:tabs>
        <w:numPr>
          <w:ilvl w:val="0"/>
          <w:numId w:val="329"/>
        </w:numPr>
        <w:rPr>
          <w:rFonts w:ascii="Arial" w:cs="Arial" w:eastAsia="Arial" w:hAnsi="Arial"/>
          <w:sz w:val="15"/>
          <w:szCs w:val="15"/>
          <w:color w:val="auto"/>
        </w:rPr>
      </w:pPr>
      <w:r>
        <w:rPr>
          <w:rFonts w:ascii="Arial" w:cs="Arial" w:eastAsia="Arial" w:hAnsi="Arial"/>
          <w:sz w:val="15"/>
          <w:szCs w:val="15"/>
          <w:color w:val="auto"/>
        </w:rPr>
        <w:t>The Company has granted the RSUs to Participant effective as of the grant date set forth in the Grant Notice (the “</w:t>
      </w:r>
      <w:r>
        <w:rPr>
          <w:rFonts w:ascii="Arial" w:cs="Arial" w:eastAsia="Arial" w:hAnsi="Arial"/>
          <w:sz w:val="15"/>
          <w:szCs w:val="15"/>
          <w:b w:val="1"/>
          <w:bCs w:val="1"/>
          <w:i w:val="1"/>
          <w:iCs w:val="1"/>
          <w:color w:val="auto"/>
        </w:rPr>
        <w:t>Grant Date</w:t>
      </w:r>
      <w:r>
        <w:rPr>
          <w:rFonts w:ascii="Arial" w:cs="Arial" w:eastAsia="Arial" w:hAnsi="Arial"/>
          <w:sz w:val="15"/>
          <w:szCs w:val="15"/>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41" w:lineRule="exact"/>
        <w:rPr>
          <w:rFonts w:ascii="Arial" w:cs="Arial" w:eastAsia="Arial" w:hAnsi="Arial"/>
          <w:sz w:val="15"/>
          <w:szCs w:val="15"/>
          <w:color w:val="auto"/>
        </w:rPr>
      </w:pPr>
    </w:p>
    <w:p>
      <w:pPr>
        <w:ind w:right="280" w:firstLine="924"/>
        <w:spacing w:after="0" w:line="250" w:lineRule="auto"/>
        <w:tabs>
          <w:tab w:leader="none" w:pos="1159"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17"/>
          <w:szCs w:val="17"/>
          <w:b w:val="1"/>
          <w:bCs w:val="1"/>
          <w:i w:val="1"/>
          <w:iCs w:val="1"/>
          <w:color w:val="auto"/>
        </w:rPr>
        <w:t>Dividend Equivalent Account</w:t>
      </w:r>
      <w:r>
        <w:rPr>
          <w:rFonts w:ascii="Arial" w:cs="Arial" w:eastAsia="Arial" w:hAnsi="Arial"/>
          <w:sz w:val="17"/>
          <w:szCs w:val="17"/>
          <w:color w:val="auto"/>
        </w:rPr>
        <w:t>”) for each Dividend Equivalent and credit the Dividend Equivalent Account (without interest) on the applicable dividend payment date with the amount of any such cash paid.</w:t>
      </w:r>
    </w:p>
    <w:p>
      <w:pPr>
        <w:spacing w:after="0" w:line="84" w:lineRule="exact"/>
        <w:rPr>
          <w:sz w:val="20"/>
          <w:szCs w:val="20"/>
          <w:color w:val="auto"/>
        </w:rPr>
      </w:pPr>
    </w:p>
    <w:p>
      <w:pPr>
        <w:ind w:right="760" w:firstLine="409"/>
        <w:spacing w:after="0" w:line="33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Incorporation of Terms of Plan</w:t>
      </w:r>
      <w:r>
        <w:rPr>
          <w:rFonts w:ascii="Arial" w:cs="Arial" w:eastAsia="Arial" w:hAnsi="Arial"/>
          <w:sz w:val="15"/>
          <w:szCs w:val="15"/>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21" w:lineRule="exact"/>
        <w:rPr>
          <w:sz w:val="20"/>
          <w:szCs w:val="20"/>
          <w:color w:val="auto"/>
        </w:rPr>
      </w:pPr>
    </w:p>
    <w:p>
      <w:pPr>
        <w:ind w:right="380" w:firstLine="409"/>
        <w:spacing w:after="0" w:line="26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Unsecured Promise</w:t>
      </w:r>
      <w:r>
        <w:rPr>
          <w:rFonts w:ascii="Arial" w:cs="Arial" w:eastAsia="Arial" w:hAnsi="Arial"/>
          <w:sz w:val="17"/>
          <w:szCs w:val="17"/>
          <w:color w:val="auto"/>
        </w:rPr>
        <w:t>. The RSUs and Dividend Equivalents will at all times prior to settlement represent an unsecured Company obligation payable only from the Company’s general assets.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VESTING; FORFEITURE AND SETTLEMENT</w:t>
      </w:r>
    </w:p>
    <w:p>
      <w:pPr>
        <w:spacing w:after="0" w:line="194" w:lineRule="exact"/>
        <w:rPr>
          <w:sz w:val="20"/>
          <w:szCs w:val="20"/>
          <w:color w:val="auto"/>
        </w:rPr>
      </w:pPr>
    </w:p>
    <w:p>
      <w:pPr>
        <w:ind w:right="60" w:firstLine="409"/>
        <w:spacing w:after="0" w:line="25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Vesting; Forfeiture</w:t>
      </w:r>
      <w:r>
        <w:rPr>
          <w:rFonts w:ascii="Arial" w:cs="Arial" w:eastAsia="Arial" w:hAnsi="Arial"/>
          <w:sz w:val="17"/>
          <w:szCs w:val="17"/>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Settlement</w:t>
      </w:r>
      <w:r>
        <w:rPr>
          <w:rFonts w:ascii="Arial" w:cs="Arial" w:eastAsia="Arial" w:hAnsi="Arial"/>
          <w:sz w:val="17"/>
          <w:szCs w:val="17"/>
          <w:color w:val="auto"/>
        </w:rPr>
        <w:t>.</w:t>
      </w:r>
    </w:p>
    <w:p>
      <w:pPr>
        <w:spacing w:after="0" w:line="106" w:lineRule="exact"/>
        <w:rPr>
          <w:sz w:val="20"/>
          <w:szCs w:val="20"/>
          <w:color w:val="auto"/>
        </w:rPr>
      </w:pPr>
    </w:p>
    <w:p>
      <w:pPr>
        <w:ind w:right="40" w:firstLine="924"/>
        <w:spacing w:after="0" w:line="250" w:lineRule="auto"/>
        <w:tabs>
          <w:tab w:leader="none" w:pos="114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ectPr>
          <w:pgSz w:w="11900" w:h="16838" w:orient="portrait"/>
          <w:cols w:equalWidth="0" w:num="1">
            <w:col w:w="10240"/>
          </w:cols>
          <w:pgMar w:left="820" w:top="261" w:right="839" w:bottom="1440" w:gutter="0" w:footer="0" w:header="0"/>
        </w:sectPr>
      </w:pPr>
    </w:p>
    <w:bookmarkStart w:id="408" w:name="page409"/>
    <w:bookmarkEnd w:id="408"/>
    <w:p>
      <w:pPr>
        <w:ind w:right="80" w:firstLine="924"/>
        <w:spacing w:after="0" w:line="253" w:lineRule="auto"/>
        <w:tabs>
          <w:tab w:leader="none" w:pos="1159" w:val="left"/>
        </w:tabs>
        <w:numPr>
          <w:ilvl w:val="0"/>
          <w:numId w:val="3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TAXATION AND TAX WITHHOLDING</w:t>
      </w:r>
    </w:p>
    <w:p>
      <w:pPr>
        <w:spacing w:after="0" w:line="194" w:lineRule="exact"/>
        <w:rPr>
          <w:sz w:val="20"/>
          <w:szCs w:val="20"/>
          <w:color w:val="auto"/>
        </w:rPr>
      </w:pPr>
    </w:p>
    <w:p>
      <w:pPr>
        <w:ind w:right="100" w:firstLine="409"/>
        <w:spacing w:after="0" w:line="25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w:t>
      </w:r>
      <w:r>
        <w:rPr>
          <w:rFonts w:ascii="Arial" w:cs="Arial" w:eastAsia="Arial" w:hAnsi="Arial"/>
          <w:sz w:val="17"/>
          <w:szCs w:val="17"/>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106" w:lineRule="exact"/>
        <w:rPr>
          <w:sz w:val="20"/>
          <w:szCs w:val="20"/>
          <w:color w:val="auto"/>
        </w:rPr>
      </w:pPr>
    </w:p>
    <w:p>
      <w:pPr>
        <w:ind w:right="180" w:firstLine="924"/>
        <w:spacing w:after="0" w:line="257" w:lineRule="auto"/>
        <w:tabs>
          <w:tab w:leader="none" w:pos="1149"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74" w:lineRule="exact"/>
        <w:rPr>
          <w:rFonts w:ascii="Arial" w:cs="Arial" w:eastAsia="Arial" w:hAnsi="Arial"/>
          <w:sz w:val="17"/>
          <w:szCs w:val="17"/>
          <w:color w:val="auto"/>
        </w:rPr>
      </w:pPr>
    </w:p>
    <w:p>
      <w:pPr>
        <w:ind w:firstLine="924"/>
        <w:spacing w:after="0" w:line="250" w:lineRule="auto"/>
        <w:tabs>
          <w:tab w:leader="none" w:pos="1159" w:val="left"/>
        </w:tabs>
        <w:numPr>
          <w:ilvl w:val="0"/>
          <w:numId w:val="332"/>
        </w:numPr>
        <w:rPr>
          <w:rFonts w:ascii="Arial" w:cs="Arial" w:eastAsia="Arial" w:hAnsi="Arial"/>
          <w:sz w:val="17"/>
          <w:szCs w:val="17"/>
          <w:color w:val="auto"/>
        </w:rPr>
      </w:pPr>
      <w:r>
        <w:rPr>
          <w:rFonts w:ascii="Arial" w:cs="Arial" w:eastAsia="Arial" w:hAnsi="Arial"/>
          <w:sz w:val="17"/>
          <w:szCs w:val="17"/>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PROVISIONS</w:t>
      </w:r>
    </w:p>
    <w:p>
      <w:pPr>
        <w:spacing w:after="0" w:line="194" w:lineRule="exact"/>
        <w:rPr>
          <w:sz w:val="20"/>
          <w:szCs w:val="20"/>
          <w:color w:val="auto"/>
        </w:rPr>
      </w:pPr>
    </w:p>
    <w:p>
      <w:pPr>
        <w:ind w:right="40" w:firstLine="409"/>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Adjustments</w:t>
      </w:r>
      <w:r>
        <w:rPr>
          <w:rFonts w:ascii="Arial" w:cs="Arial" w:eastAsia="Arial" w:hAnsi="Arial"/>
          <w:sz w:val="17"/>
          <w:szCs w:val="17"/>
          <w:color w:val="auto"/>
        </w:rPr>
        <w:t>. Participant acknowledges that the RSUs, the Shares subject to the RSUs and the Dividend Equivalents are subject to adjustment, modification and termination in certain events as provided in this Agreement and the Plan.</w:t>
      </w:r>
    </w:p>
    <w:p>
      <w:pPr>
        <w:spacing w:after="0" w:line="66" w:lineRule="exact"/>
        <w:rPr>
          <w:sz w:val="20"/>
          <w:szCs w:val="20"/>
          <w:color w:val="auto"/>
        </w:rPr>
      </w:pPr>
    </w:p>
    <w:p>
      <w:pPr>
        <w:ind w:right="80" w:firstLine="409"/>
        <w:spacing w:after="0" w:line="288"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Notices</w:t>
      </w:r>
      <w:r>
        <w:rPr>
          <w:rFonts w:ascii="Arial" w:cs="Arial" w:eastAsia="Arial" w:hAnsi="Arial"/>
          <w:sz w:val="15"/>
          <w:szCs w:val="15"/>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240"/>
          </w:cols>
          <w:pgMar w:left="820" w:top="264" w:right="839" w:bottom="1440" w:gutter="0" w:footer="0" w:header="0"/>
        </w:sectPr>
      </w:pPr>
    </w:p>
    <w:bookmarkStart w:id="409" w:name="page410"/>
    <w:bookmarkEnd w:id="409"/>
    <w:p>
      <w:pPr>
        <w:ind w:left="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4.3 </w:t>
      </w:r>
      <w:r>
        <w:rPr>
          <w:rFonts w:ascii="Arial" w:cs="Arial" w:eastAsia="Arial" w:hAnsi="Arial"/>
          <w:sz w:val="15"/>
          <w:szCs w:val="15"/>
          <w:u w:val="single" w:color="auto"/>
          <w:color w:val="auto"/>
        </w:rPr>
        <w:t>Titles</w:t>
      </w:r>
      <w:r>
        <w:rPr>
          <w:rFonts w:ascii="Arial" w:cs="Arial" w:eastAsia="Arial" w:hAnsi="Arial"/>
          <w:sz w:val="15"/>
          <w:szCs w:val="15"/>
          <w:color w:val="auto"/>
        </w:rPr>
        <w:t>. Titles are provided herein for convenience only and are not to serve as a basis for interpretation or construction of this Agreement.</w:t>
      </w:r>
    </w:p>
    <w:p>
      <w:pPr>
        <w:spacing w:after="0" w:line="129" w:lineRule="exact"/>
        <w:rPr>
          <w:sz w:val="20"/>
          <w:szCs w:val="20"/>
          <w:color w:val="auto"/>
        </w:rPr>
      </w:pPr>
    </w:p>
    <w:p>
      <w:pPr>
        <w:jc w:val="both"/>
        <w:ind w:right="200" w:firstLine="409"/>
        <w:spacing w:after="0" w:line="25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75" w:lineRule="exact"/>
        <w:rPr>
          <w:sz w:val="20"/>
          <w:szCs w:val="20"/>
          <w:color w:val="auto"/>
        </w:rPr>
      </w:pPr>
    </w:p>
    <w:p>
      <w:pPr>
        <w:jc w:val="both"/>
        <w:ind w:right="60" w:firstLine="409"/>
        <w:spacing w:after="0" w:line="307"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41" w:lineRule="exact"/>
        <w:rPr>
          <w:sz w:val="20"/>
          <w:szCs w:val="20"/>
          <w:color w:val="auto"/>
        </w:rPr>
      </w:pPr>
    </w:p>
    <w:p>
      <w:pPr>
        <w:ind w:right="40" w:firstLine="409"/>
        <w:spacing w:after="0" w:line="251"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82" w:lineRule="exact"/>
        <w:rPr>
          <w:sz w:val="20"/>
          <w:szCs w:val="20"/>
          <w:color w:val="auto"/>
        </w:rPr>
      </w:pPr>
    </w:p>
    <w:p>
      <w:pPr>
        <w:ind w:right="100" w:firstLine="409"/>
        <w:spacing w:after="0" w:line="335"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Entire Agreement</w:t>
      </w:r>
      <w:r>
        <w:rPr>
          <w:rFonts w:ascii="Arial" w:cs="Arial" w:eastAsia="Arial" w:hAnsi="Arial"/>
          <w:sz w:val="15"/>
          <w:szCs w:val="15"/>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1" w:lineRule="exact"/>
        <w:rPr>
          <w:sz w:val="20"/>
          <w:szCs w:val="20"/>
          <w:color w:val="auto"/>
        </w:rPr>
      </w:pPr>
    </w:p>
    <w:p>
      <w:pPr>
        <w:ind w:right="80" w:firstLine="409"/>
        <w:spacing w:after="0" w:line="257"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75" w:lineRule="exact"/>
        <w:rPr>
          <w:sz w:val="20"/>
          <w:szCs w:val="20"/>
          <w:color w:val="auto"/>
        </w:rPr>
      </w:pPr>
    </w:p>
    <w:p>
      <w:pPr>
        <w:ind w:firstLine="409"/>
        <w:spacing w:after="0" w:line="250"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84" w:lineRule="exact"/>
        <w:rPr>
          <w:sz w:val="20"/>
          <w:szCs w:val="20"/>
          <w:color w:val="auto"/>
        </w:rPr>
      </w:pPr>
    </w:p>
    <w:p>
      <w:pPr>
        <w:ind w:right="60" w:firstLine="409"/>
        <w:spacing w:after="0" w:line="298"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Not a Contract of Employment</w:t>
      </w:r>
      <w:r>
        <w:rPr>
          <w:rFonts w:ascii="Arial" w:cs="Arial" w:eastAsia="Arial" w:hAnsi="Arial"/>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47" w:lineRule="exact"/>
        <w:rPr>
          <w:sz w:val="20"/>
          <w:szCs w:val="20"/>
          <w:color w:val="auto"/>
        </w:rPr>
      </w:pPr>
    </w:p>
    <w:p>
      <w:pPr>
        <w:ind w:right="520" w:firstLine="409"/>
        <w:spacing w:after="0" w:line="299"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Counterparts</w:t>
      </w:r>
      <w:r>
        <w:rPr>
          <w:rFonts w:ascii="Arial" w:cs="Arial" w:eastAsia="Arial" w:hAnsi="Arial"/>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240"/>
          </w:cols>
          <w:pgMar w:left="820" w:top="264" w:right="8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3"/>
          <w:szCs w:val="13"/>
          <w:b w:val="1"/>
          <w:bCs w:val="1"/>
          <w:color w:val="auto"/>
        </w:rPr>
        <w:t>YRA</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ON</w:t>
      </w:r>
      <w:r>
        <w:rPr>
          <w:rFonts w:ascii="Arial" w:cs="Arial" w:eastAsia="Arial" w:hAnsi="Arial"/>
          <w:sz w:val="17"/>
          <w:szCs w:val="17"/>
          <w:b w:val="1"/>
          <w:bCs w:val="1"/>
          <w:color w:val="auto"/>
        </w:rPr>
        <w:t>-E</w:t>
      </w:r>
      <w:r>
        <w:rPr>
          <w:rFonts w:ascii="Arial" w:cs="Arial" w:eastAsia="Arial" w:hAnsi="Arial"/>
          <w:sz w:val="13"/>
          <w:szCs w:val="13"/>
          <w:b w:val="1"/>
          <w:bCs w:val="1"/>
          <w:color w:val="auto"/>
        </w:rPr>
        <w:t>MPLOYEE</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IRECTOR</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ROGRAM</w:t>
      </w:r>
    </w:p>
    <w:p>
      <w:pPr>
        <w:spacing w:after="0" w:line="210" w:lineRule="exact"/>
        <w:rPr>
          <w:sz w:val="20"/>
          <w:szCs w:val="20"/>
          <w:color w:val="auto"/>
        </w:rPr>
      </w:pPr>
    </w:p>
    <w:p>
      <w:pPr>
        <w:ind w:firstLine="409"/>
        <w:spacing w:after="0" w:line="266" w:lineRule="auto"/>
        <w:rPr>
          <w:sz w:val="20"/>
          <w:szCs w:val="20"/>
          <w:color w:val="auto"/>
        </w:rPr>
      </w:pPr>
      <w:r>
        <w:rPr>
          <w:rFonts w:ascii="Arial" w:cs="Arial" w:eastAsia="Arial" w:hAnsi="Arial"/>
          <w:sz w:val="16"/>
          <w:szCs w:val="16"/>
          <w:color w:val="auto"/>
        </w:rPr>
        <w:t>Non-employee members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Lyra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receive cash and equity compensation as set forth in this Non-Employee Director Compensation Program (this “</w:t>
      </w:r>
      <w:r>
        <w:rPr>
          <w:rFonts w:ascii="Arial" w:cs="Arial" w:eastAsia="Arial" w:hAnsi="Arial"/>
          <w:sz w:val="16"/>
          <w:szCs w:val="16"/>
          <w:b w:val="1"/>
          <w:bCs w:val="1"/>
          <w:i w:val="1"/>
          <w:iCs w:val="1"/>
          <w:color w:val="auto"/>
        </w:rPr>
        <w:t>Program</w:t>
      </w:r>
      <w:r>
        <w:rPr>
          <w:rFonts w:ascii="Arial" w:cs="Arial" w:eastAsia="Arial" w:hAnsi="Arial"/>
          <w:sz w:val="16"/>
          <w:szCs w:val="16"/>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shall become effective on the date of the effectiveness of the Company’s Registration Statement on Form S-1 relating to the initial public offering of common stock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304" w:lineRule="exact"/>
        <w:rPr>
          <w:sz w:val="20"/>
          <w:szCs w:val="20"/>
          <w:color w:val="auto"/>
        </w:rPr>
      </w:pPr>
    </w:p>
    <w:p>
      <w:pPr>
        <w:ind w:left="400" w:hanging="397"/>
        <w:spacing w:after="0"/>
        <w:tabs>
          <w:tab w:leader="none" w:pos="400"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ASH</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OMPENSATION</w:t>
      </w:r>
    </w:p>
    <w:p>
      <w:pPr>
        <w:spacing w:after="0" w:line="109" w:lineRule="exact"/>
        <w:rPr>
          <w:rFonts w:ascii="Arial" w:cs="Arial" w:eastAsia="Arial" w:hAnsi="Arial"/>
          <w:sz w:val="17"/>
          <w:szCs w:val="17"/>
          <w:b w:val="1"/>
          <w:bCs w:val="1"/>
          <w:color w:val="auto"/>
        </w:rPr>
      </w:pPr>
    </w:p>
    <w:p>
      <w:pPr>
        <w:ind w:left="1120" w:hanging="196"/>
        <w:spacing w:after="0"/>
        <w:tabs>
          <w:tab w:leader="none" w:pos="1120" w:val="left"/>
        </w:tabs>
        <w:numPr>
          <w:ilvl w:val="1"/>
          <w:numId w:val="333"/>
        </w:numPr>
        <w:rPr>
          <w:rFonts w:ascii="Arial" w:cs="Arial" w:eastAsia="Arial" w:hAnsi="Arial"/>
          <w:sz w:val="15"/>
          <w:szCs w:val="15"/>
          <w:color w:val="auto"/>
        </w:rPr>
      </w:pPr>
      <w:r>
        <w:rPr>
          <w:rFonts w:ascii="Arial" w:cs="Arial" w:eastAsia="Arial" w:hAnsi="Arial"/>
          <w:sz w:val="15"/>
          <w:szCs w:val="15"/>
          <w:u w:val="single" w:color="auto"/>
          <w:color w:val="auto"/>
        </w:rPr>
        <w:t>Annual Retainers</w:t>
      </w:r>
      <w:r>
        <w:rPr>
          <w:rFonts w:ascii="Arial" w:cs="Arial" w:eastAsia="Arial" w:hAnsi="Arial"/>
          <w:sz w:val="15"/>
          <w:szCs w:val="15"/>
          <w:color w:val="auto"/>
        </w:rPr>
        <w:t>. Each Non-Employee Director shall receive an annual retainer of $40,000 for service on the Board (the “</w:t>
      </w:r>
      <w:r>
        <w:rPr>
          <w:rFonts w:ascii="Arial" w:cs="Arial" w:eastAsia="Arial" w:hAnsi="Arial"/>
          <w:sz w:val="15"/>
          <w:szCs w:val="15"/>
          <w:b w:val="1"/>
          <w:bCs w:val="1"/>
          <w:i w:val="1"/>
          <w:iCs w:val="1"/>
          <w:color w:val="auto"/>
        </w:rPr>
        <w:t>Annual</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Retainer</w:t>
      </w:r>
      <w:r>
        <w:rPr>
          <w:rFonts w:ascii="Arial" w:cs="Arial" w:eastAsia="Arial" w:hAnsi="Arial"/>
          <w:sz w:val="17"/>
          <w:szCs w:val="17"/>
          <w:color w:val="auto"/>
        </w:rPr>
        <w:t>”).</w:t>
      </w:r>
    </w:p>
    <w:p>
      <w:pPr>
        <w:spacing w:after="0" w:line="93" w:lineRule="exact"/>
        <w:rPr>
          <w:rFonts w:ascii="Arial" w:cs="Arial" w:eastAsia="Arial" w:hAnsi="Arial"/>
          <w:sz w:val="15"/>
          <w:szCs w:val="15"/>
          <w:color w:val="auto"/>
        </w:rPr>
      </w:pPr>
    </w:p>
    <w:p>
      <w:pPr>
        <w:ind w:left="1120" w:hanging="196"/>
        <w:spacing w:after="0"/>
        <w:tabs>
          <w:tab w:leader="none" w:pos="1120" w:val="left"/>
        </w:tabs>
        <w:numPr>
          <w:ilvl w:val="1"/>
          <w:numId w:val="333"/>
        </w:numPr>
        <w:rPr>
          <w:rFonts w:ascii="Arial" w:cs="Arial" w:eastAsia="Arial" w:hAnsi="Arial"/>
          <w:sz w:val="16"/>
          <w:szCs w:val="16"/>
          <w:color w:val="auto"/>
        </w:rPr>
      </w:pPr>
      <w:r>
        <w:rPr>
          <w:rFonts w:ascii="Arial" w:cs="Arial" w:eastAsia="Arial" w:hAnsi="Arial"/>
          <w:sz w:val="16"/>
          <w:szCs w:val="16"/>
          <w:u w:val="single" w:color="auto"/>
          <w:color w:val="auto"/>
        </w:rPr>
        <w:t>Additional Annual Retainers</w:t>
      </w:r>
      <w:r>
        <w:rPr>
          <w:rFonts w:ascii="Arial" w:cs="Arial" w:eastAsia="Arial" w:hAnsi="Arial"/>
          <w:sz w:val="16"/>
          <w:szCs w:val="16"/>
          <w:color w:val="auto"/>
        </w:rPr>
        <w:t>. In addition, each Non-Employee Director shall receive the following annual retainers (each, a</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 Member Retainer</w:t>
      </w:r>
      <w:r>
        <w:rPr>
          <w:rFonts w:ascii="Arial" w:cs="Arial" w:eastAsia="Arial" w:hAnsi="Arial"/>
          <w:sz w:val="17"/>
          <w:szCs w:val="17"/>
          <w:color w:val="auto"/>
        </w:rPr>
        <w:t>”):</w:t>
      </w:r>
    </w:p>
    <w:p>
      <w:pPr>
        <w:spacing w:after="0" w:line="94" w:lineRule="exact"/>
        <w:rPr>
          <w:sz w:val="20"/>
          <w:szCs w:val="20"/>
          <w:color w:val="auto"/>
        </w:rPr>
      </w:pPr>
    </w:p>
    <w:p>
      <w:pPr>
        <w:ind w:right="420" w:firstLine="1334"/>
        <w:spacing w:after="0" w:line="268" w:lineRule="auto"/>
        <w:tabs>
          <w:tab w:leader="none" w:pos="1499" w:val="left"/>
        </w:tabs>
        <w:numPr>
          <w:ilvl w:val="0"/>
          <w:numId w:val="334"/>
        </w:numPr>
        <w:rPr>
          <w:rFonts w:ascii="Arial" w:cs="Arial" w:eastAsia="Arial" w:hAnsi="Arial"/>
          <w:sz w:val="17"/>
          <w:szCs w:val="17"/>
          <w:color w:val="auto"/>
        </w:rPr>
      </w:pPr>
      <w:r>
        <w:rPr>
          <w:rFonts w:ascii="Arial" w:cs="Arial" w:eastAsia="Arial" w:hAnsi="Arial"/>
          <w:sz w:val="17"/>
          <w:szCs w:val="17"/>
          <w:i w:val="1"/>
          <w:iCs w:val="1"/>
          <w:color w:val="auto"/>
        </w:rPr>
        <w:t>Chairman of the Board or Lead Independent Director</w:t>
      </w:r>
      <w:r>
        <w:rPr>
          <w:rFonts w:ascii="Arial" w:cs="Arial" w:eastAsia="Arial" w:hAnsi="Arial"/>
          <w:sz w:val="17"/>
          <w:szCs w:val="17"/>
          <w:color w:val="auto"/>
        </w:rPr>
        <w:t>. A Non-Employee Director serving as Chairman of the Board or Lead</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Director shall receive an additional annual retainer of $25,000 for such service.</w:t>
      </w:r>
    </w:p>
    <w:p>
      <w:pPr>
        <w:spacing w:after="0" w:line="65" w:lineRule="exact"/>
        <w:rPr>
          <w:rFonts w:ascii="Arial" w:cs="Arial" w:eastAsia="Arial" w:hAnsi="Arial"/>
          <w:sz w:val="17"/>
          <w:szCs w:val="17"/>
          <w:color w:val="auto"/>
        </w:rPr>
      </w:pPr>
    </w:p>
    <w:p>
      <w:pPr>
        <w:ind w:right="40" w:firstLine="1334"/>
        <w:spacing w:after="0" w:line="257" w:lineRule="auto"/>
        <w:tabs>
          <w:tab w:leader="none" w:pos="1499" w:val="left"/>
        </w:tabs>
        <w:numPr>
          <w:ilvl w:val="0"/>
          <w:numId w:val="334"/>
        </w:numPr>
        <w:rPr>
          <w:rFonts w:ascii="Arial" w:cs="Arial" w:eastAsia="Arial" w:hAnsi="Arial"/>
          <w:sz w:val="17"/>
          <w:szCs w:val="17"/>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A Non-Employee Director serving as Chairperson of the Audit Committee shall receive an additional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retainer of $20,000 for such service. A Non-Employee Director serving as a member other than the Chairperson of the Audit Committee shall receive an additional annual retainer of $7,500 for such service.</w:t>
      </w:r>
    </w:p>
    <w:p>
      <w:pPr>
        <w:spacing w:after="0" w:line="74" w:lineRule="exact"/>
        <w:rPr>
          <w:rFonts w:ascii="Arial" w:cs="Arial" w:eastAsia="Arial" w:hAnsi="Arial"/>
          <w:sz w:val="17"/>
          <w:szCs w:val="17"/>
          <w:color w:val="auto"/>
        </w:rPr>
      </w:pPr>
    </w:p>
    <w:p>
      <w:pPr>
        <w:ind w:right="120" w:firstLine="1334"/>
        <w:spacing w:after="0" w:line="257" w:lineRule="auto"/>
        <w:tabs>
          <w:tab w:leader="none" w:pos="1499" w:val="left"/>
        </w:tabs>
        <w:numPr>
          <w:ilvl w:val="0"/>
          <w:numId w:val="334"/>
        </w:numPr>
        <w:rPr>
          <w:rFonts w:ascii="Arial" w:cs="Arial" w:eastAsia="Arial" w:hAnsi="Arial"/>
          <w:sz w:val="17"/>
          <w:szCs w:val="17"/>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A Non-Employee Director serving as Chairperson of the Compensation Committee shall receive an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annual retainer of $15,000 for such service. A Non-Employee Director serving as a member other than the Chairperson of the Compensation Committee shall receive an additional annual retainer of $5,000 for such service.</w:t>
      </w:r>
    </w:p>
    <w:p>
      <w:pPr>
        <w:spacing w:after="0" w:line="74" w:lineRule="exact"/>
        <w:rPr>
          <w:rFonts w:ascii="Arial" w:cs="Arial" w:eastAsia="Arial" w:hAnsi="Arial"/>
          <w:sz w:val="17"/>
          <w:szCs w:val="17"/>
          <w:color w:val="auto"/>
        </w:rPr>
      </w:pPr>
    </w:p>
    <w:p>
      <w:pPr>
        <w:ind w:right="20" w:firstLine="1334"/>
        <w:spacing w:after="0" w:line="253" w:lineRule="auto"/>
        <w:tabs>
          <w:tab w:leader="none" w:pos="1499" w:val="left"/>
        </w:tabs>
        <w:numPr>
          <w:ilvl w:val="0"/>
          <w:numId w:val="334"/>
        </w:numPr>
        <w:rPr>
          <w:rFonts w:ascii="Arial" w:cs="Arial" w:eastAsia="Arial" w:hAnsi="Arial"/>
          <w:sz w:val="17"/>
          <w:szCs w:val="17"/>
          <w:color w:val="auto"/>
        </w:rPr>
      </w:pPr>
      <w:r>
        <w:rPr>
          <w:rFonts w:ascii="Arial" w:cs="Arial" w:eastAsia="Arial" w:hAnsi="Arial"/>
          <w:sz w:val="17"/>
          <w:szCs w:val="17"/>
          <w:i w:val="1"/>
          <w:iCs w:val="1"/>
          <w:color w:val="auto"/>
        </w:rPr>
        <w:t>Nominating and Corporate Governance Committee</w:t>
      </w:r>
      <w:r>
        <w:rPr>
          <w:rFonts w:ascii="Arial" w:cs="Arial" w:eastAsia="Arial" w:hAnsi="Arial"/>
          <w:sz w:val="17"/>
          <w:szCs w:val="17"/>
          <w:color w:val="auto"/>
        </w:rPr>
        <w:t>. A Non-Employee Director serving as Chairperson of the Nominating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Governance Committee shall receive an additional annual retainer of $8,000 for such service. A Non-Employee Director serving as a member other than the Chairperson of the Nominating and Corporate Governance Committee shall receive an additional annual retainer of $4,000 for such service.</w:t>
      </w:r>
    </w:p>
    <w:p>
      <w:pPr>
        <w:sectPr>
          <w:pgSz w:w="11900" w:h="16838" w:orient="portrait"/>
          <w:cols w:equalWidth="0" w:num="1">
            <w:col w:w="10240"/>
          </w:cols>
          <w:pgMar w:left="820" w:top="122" w:right="839" w:bottom="1440" w:gutter="0" w:footer="0" w:header="0"/>
        </w:sectPr>
      </w:pPr>
    </w:p>
    <w:bookmarkStart w:id="411" w:name="page412"/>
    <w:bookmarkEnd w:id="411"/>
    <w:p>
      <w:pPr>
        <w:ind w:right="140" w:firstLine="922"/>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C. </w:t>
      </w:r>
      <w:r>
        <w:rPr>
          <w:rFonts w:ascii="Arial" w:cs="Arial" w:eastAsia="Arial" w:hAnsi="Arial"/>
          <w:sz w:val="17"/>
          <w:szCs w:val="17"/>
          <w:u w:val="single" w:color="auto"/>
          <w:color w:val="auto"/>
        </w:rPr>
        <w:t>Payment of Retainers</w:t>
      </w:r>
      <w:r>
        <w:rPr>
          <w:rFonts w:ascii="Arial" w:cs="Arial" w:eastAsia="Arial" w:hAnsi="Arial"/>
          <w:sz w:val="17"/>
          <w:szCs w:val="17"/>
          <w:color w:val="auto"/>
        </w:rPr>
        <w:t>. The Annual Retainer and Committee Member Retainer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317" w:lineRule="exact"/>
        <w:rPr>
          <w:sz w:val="20"/>
          <w:szCs w:val="20"/>
          <w:color w:val="auto"/>
        </w:rPr>
      </w:pPr>
    </w:p>
    <w:p>
      <w:pPr>
        <w:ind w:left="400" w:hanging="397"/>
        <w:spacing w:after="0"/>
        <w:tabs>
          <w:tab w:leader="none" w:pos="400"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QUITY</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OMPENSATION</w:t>
      </w:r>
    </w:p>
    <w:p>
      <w:pPr>
        <w:spacing w:after="0" w:line="110" w:lineRule="exact"/>
        <w:rPr>
          <w:sz w:val="20"/>
          <w:szCs w:val="20"/>
          <w:color w:val="auto"/>
        </w:rPr>
      </w:pPr>
    </w:p>
    <w:p>
      <w:pPr>
        <w:ind w:firstLine="409"/>
        <w:spacing w:after="0" w:line="288" w:lineRule="auto"/>
        <w:rPr>
          <w:sz w:val="20"/>
          <w:szCs w:val="20"/>
          <w:color w:val="auto"/>
        </w:rPr>
      </w:pPr>
      <w:r>
        <w:rPr>
          <w:rFonts w:ascii="Arial" w:cs="Arial" w:eastAsia="Arial" w:hAnsi="Arial"/>
          <w:sz w:val="15"/>
          <w:szCs w:val="15"/>
          <w:color w:val="auto"/>
        </w:rPr>
        <w:t>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(the “</w:t>
      </w:r>
      <w:r>
        <w:rPr>
          <w:rFonts w:ascii="Arial" w:cs="Arial" w:eastAsia="Arial" w:hAnsi="Arial"/>
          <w:sz w:val="15"/>
          <w:szCs w:val="15"/>
          <w:b w:val="1"/>
          <w:bCs w:val="1"/>
          <w:i w:val="1"/>
          <w:iCs w:val="1"/>
          <w:color w:val="auto"/>
        </w:rPr>
        <w:t>Equity Plan</w:t>
      </w:r>
      <w:r>
        <w:rPr>
          <w:rFonts w:ascii="Arial" w:cs="Arial" w:eastAsia="Arial" w:hAnsi="Arial"/>
          <w:sz w:val="15"/>
          <w:szCs w:val="15"/>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and in connection with any stock dividend, stock split, reverse stock split or other similar event affecting the Company’s common stock that is effected prior to the Effective Date.</w:t>
      </w:r>
    </w:p>
    <w:p>
      <w:pPr>
        <w:spacing w:after="0" w:line="57" w:lineRule="exact"/>
        <w:rPr>
          <w:sz w:val="20"/>
          <w:szCs w:val="20"/>
          <w:color w:val="auto"/>
        </w:rPr>
      </w:pPr>
    </w:p>
    <w:p>
      <w:pPr>
        <w:ind w:right="60" w:firstLine="922"/>
        <w:spacing w:after="0" w:line="28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Initial Awards</w:t>
      </w:r>
      <w:r>
        <w:rPr>
          <w:rFonts w:ascii="Arial" w:cs="Arial" w:eastAsia="Arial" w:hAnsi="Arial"/>
          <w:sz w:val="16"/>
          <w:szCs w:val="16"/>
          <w:color w:val="auto"/>
        </w:rPr>
        <w:t>. Each Non-Employee Director who is initially elected or appointed to the Board after the Effective Date shall receive an option to purchase 14,500 shares of the Company’s common stock on the date of such initial election or appointment. The awards described in this Section II(A) shall be referred to as “</w:t>
      </w:r>
      <w:r>
        <w:rPr>
          <w:rFonts w:ascii="Arial" w:cs="Arial" w:eastAsia="Arial" w:hAnsi="Arial"/>
          <w:sz w:val="16"/>
          <w:szCs w:val="16"/>
          <w:b w:val="1"/>
          <w:bCs w:val="1"/>
          <w:i w:val="1"/>
          <w:iCs w:val="1"/>
          <w:color w:val="auto"/>
        </w:rPr>
        <w:t>Initial Awards</w:t>
      </w:r>
      <w:r>
        <w:rPr>
          <w:rFonts w:ascii="Arial" w:cs="Arial" w:eastAsia="Arial" w:hAnsi="Arial"/>
          <w:sz w:val="16"/>
          <w:szCs w:val="16"/>
          <w:color w:val="auto"/>
        </w:rPr>
        <w:t>.” No Non-Employee Director shall be granted more than one Initial Award.</w:t>
      </w:r>
    </w:p>
    <w:p>
      <w:pPr>
        <w:spacing w:after="0" w:line="59" w:lineRule="exact"/>
        <w:rPr>
          <w:sz w:val="20"/>
          <w:szCs w:val="20"/>
          <w:color w:val="auto"/>
        </w:rPr>
      </w:pPr>
    </w:p>
    <w:p>
      <w:pPr>
        <w:ind w:firstLine="922"/>
        <w:spacing w:after="0" w:line="290"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Subsequent Awards</w:t>
      </w:r>
      <w:r>
        <w:rPr>
          <w:rFonts w:ascii="Arial" w:cs="Arial" w:eastAsia="Arial" w:hAnsi="Arial"/>
          <w:sz w:val="15"/>
          <w:szCs w:val="15"/>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be automatically granted an option to purchase 7,250 shares of the Company’s common stock on the date of such annual meeting. The awards described in this Section II(B) shall be referred to as “</w:t>
      </w:r>
      <w:r>
        <w:rPr>
          <w:rFonts w:ascii="Arial" w:cs="Arial" w:eastAsia="Arial" w:hAnsi="Arial"/>
          <w:sz w:val="15"/>
          <w:szCs w:val="15"/>
          <w:b w:val="1"/>
          <w:bCs w:val="1"/>
          <w:i w:val="1"/>
          <w:iCs w:val="1"/>
          <w:color w:val="auto"/>
        </w:rPr>
        <w:t>Subsequent Awards</w:t>
      </w:r>
      <w:r>
        <w:rPr>
          <w:rFonts w:ascii="Arial" w:cs="Arial" w:eastAsia="Arial" w:hAnsi="Arial"/>
          <w:sz w:val="15"/>
          <w:szCs w:val="15"/>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55" w:lineRule="exact"/>
        <w:rPr>
          <w:sz w:val="20"/>
          <w:szCs w:val="20"/>
          <w:color w:val="auto"/>
        </w:rPr>
      </w:pPr>
    </w:p>
    <w:p>
      <w:pPr>
        <w:ind w:right="140" w:firstLine="922"/>
        <w:spacing w:after="0" w:line="298"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Termination of Employment of Employee Directors</w:t>
      </w:r>
      <w:r>
        <w:rPr>
          <w:rFonts w:ascii="Arial" w:cs="Arial" w:eastAsia="Arial" w:hAnsi="Arial"/>
          <w:sz w:val="15"/>
          <w:szCs w:val="15"/>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w:t>
      </w:r>
    </w:p>
    <w:p>
      <w:pPr>
        <w:sectPr>
          <w:pgSz w:w="11900" w:h="16838" w:orient="portrait"/>
          <w:cols w:equalWidth="0" w:num="1">
            <w:col w:w="10220"/>
          </w:cols>
          <w:pgMar w:left="820" w:top="265" w:right="859" w:bottom="1440" w:gutter="0" w:footer="0" w:header="0"/>
        </w:sectPr>
      </w:pPr>
    </w:p>
    <w:bookmarkStart w:id="412" w:name="page413"/>
    <w:bookmarkEnd w:id="412"/>
    <w:p>
      <w:pPr>
        <w:ind w:left="3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D. </w:t>
      </w:r>
      <w:r>
        <w:rPr>
          <w:rFonts w:ascii="Arial" w:cs="Arial" w:eastAsia="Arial" w:hAnsi="Arial"/>
          <w:sz w:val="17"/>
          <w:szCs w:val="17"/>
          <w:u w:val="single" w:color="auto"/>
          <w:color w:val="auto"/>
        </w:rPr>
        <w:t>Terms of Awards Granted to Non-Employee Directors</w:t>
      </w:r>
    </w:p>
    <w:p>
      <w:pPr>
        <w:spacing w:after="0" w:line="106" w:lineRule="exact"/>
        <w:rPr>
          <w:sz w:val="20"/>
          <w:szCs w:val="20"/>
          <w:color w:val="auto"/>
        </w:rPr>
      </w:pPr>
    </w:p>
    <w:p>
      <w:pPr>
        <w:ind w:left="-620" w:right="20" w:firstLine="1334"/>
        <w:spacing w:after="0" w:line="268" w:lineRule="auto"/>
        <w:tabs>
          <w:tab w:leader="none" w:pos="879" w:val="left"/>
        </w:tabs>
        <w:numPr>
          <w:ilvl w:val="0"/>
          <w:numId w:val="336"/>
        </w:numPr>
        <w:rPr>
          <w:rFonts w:ascii="Arial" w:cs="Arial" w:eastAsia="Arial" w:hAnsi="Arial"/>
          <w:sz w:val="17"/>
          <w:szCs w:val="17"/>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per share exercise price of each option granted to a Non-Employee Director shall equal the Fair Market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in the Equity Plan) of a share of the Company’s common stock on the date the option is granted.</w:t>
      </w:r>
    </w:p>
    <w:p>
      <w:pPr>
        <w:spacing w:after="0" w:line="65" w:lineRule="exact"/>
        <w:rPr>
          <w:rFonts w:ascii="Arial" w:cs="Arial" w:eastAsia="Arial" w:hAnsi="Arial"/>
          <w:sz w:val="17"/>
          <w:szCs w:val="17"/>
          <w:color w:val="auto"/>
        </w:rPr>
      </w:pPr>
    </w:p>
    <w:p>
      <w:pPr>
        <w:ind w:left="-620" w:firstLine="1334"/>
        <w:spacing w:after="0" w:line="266" w:lineRule="auto"/>
        <w:tabs>
          <w:tab w:leader="none" w:pos="879" w:val="left"/>
        </w:tabs>
        <w:numPr>
          <w:ilvl w:val="0"/>
          <w:numId w:val="336"/>
        </w:numPr>
        <w:rPr>
          <w:rFonts w:ascii="Arial" w:cs="Arial" w:eastAsia="Arial" w:hAnsi="Arial"/>
          <w:sz w:val="16"/>
          <w:szCs w:val="16"/>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Each Initial Award shall vest and become exercisable in thirty-six (36) substantially equal monthly installments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69" w:lineRule="exact"/>
        <w:rPr>
          <w:rFonts w:ascii="Arial" w:cs="Arial" w:eastAsia="Arial" w:hAnsi="Arial"/>
          <w:sz w:val="16"/>
          <w:szCs w:val="16"/>
          <w:color w:val="auto"/>
        </w:rPr>
      </w:pPr>
    </w:p>
    <w:p>
      <w:pPr>
        <w:ind w:left="-620" w:right="240" w:firstLine="1334"/>
        <w:spacing w:after="0" w:line="268" w:lineRule="auto"/>
        <w:tabs>
          <w:tab w:leader="none" w:pos="879" w:val="left"/>
        </w:tabs>
        <w:numPr>
          <w:ilvl w:val="0"/>
          <w:numId w:val="336"/>
        </w:numPr>
        <w:rPr>
          <w:rFonts w:ascii="Arial" w:cs="Arial" w:eastAsia="Arial" w:hAnsi="Arial"/>
          <w:sz w:val="17"/>
          <w:szCs w:val="17"/>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The maximum term of each stock option granted to a Non-Employee Director hereunder shall be ten (10) years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option is granted.</w:t>
      </w:r>
    </w:p>
    <w:p>
      <w:pPr>
        <w:spacing w:after="0" w:line="165" w:lineRule="exact"/>
        <w:rPr>
          <w:rFonts w:ascii="Arial" w:cs="Arial" w:eastAsia="Arial" w:hAnsi="Arial"/>
          <w:sz w:val="17"/>
          <w:szCs w:val="17"/>
          <w:color w:val="auto"/>
        </w:rPr>
      </w:pPr>
    </w:p>
    <w:p>
      <w:pPr>
        <w:ind w:left="4220"/>
        <w:spacing w:after="0"/>
        <w:rPr>
          <w:rFonts w:ascii="Arial" w:cs="Arial" w:eastAsia="Arial" w:hAnsi="Arial"/>
          <w:sz w:val="17"/>
          <w:szCs w:val="17"/>
          <w:color w:val="auto"/>
        </w:rPr>
      </w:pPr>
      <w:r>
        <w:rPr>
          <w:rFonts w:ascii="Arial" w:cs="Arial" w:eastAsia="Arial" w:hAnsi="Arial"/>
          <w:sz w:val="17"/>
          <w:szCs w:val="17"/>
          <w:color w:val="auto"/>
        </w:rPr>
        <w:t>*****</w:t>
      </w:r>
    </w:p>
    <w:p>
      <w:pPr>
        <w:sectPr>
          <w:pgSz w:w="11900" w:h="16838" w:orient="portrait"/>
          <w:cols w:equalWidth="0" w:num="1">
            <w:col w:w="9600"/>
          </w:cols>
          <w:pgMar w:left="1440" w:top="265" w:right="859" w:bottom="1440" w:gutter="0" w:footer="0" w:header="0"/>
        </w:sectPr>
      </w:pPr>
    </w:p>
    <w:bookmarkStart w:id="413" w:name="page414"/>
    <w:bookmarkEnd w:id="413"/>
    <w:p>
      <w:pPr>
        <w:jc w:val="right"/>
        <w:spacing w:after="0"/>
        <w:rPr>
          <w:sz w:val="20"/>
          <w:szCs w:val="20"/>
          <w:color w:val="auto"/>
        </w:rPr>
      </w:pPr>
      <w:r>
        <w:rPr>
          <w:rFonts w:ascii="Arial" w:cs="Arial" w:eastAsia="Arial" w:hAnsi="Arial"/>
          <w:sz w:val="17"/>
          <w:szCs w:val="17"/>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508750" cy="5867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6508750" cy="5867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LYRA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w:t>
      </w:r>
    </w:p>
    <w:p>
      <w:pPr>
        <w:spacing w:after="0" w:line="194" w:lineRule="exact"/>
        <w:rPr>
          <w:sz w:val="20"/>
          <w:szCs w:val="20"/>
          <w:color w:val="auto"/>
        </w:rPr>
      </w:pPr>
    </w:p>
    <w:p>
      <w:pPr>
        <w:ind w:firstLine="409"/>
        <w:spacing w:after="0" w:line="251" w:lineRule="auto"/>
        <w:rPr>
          <w:sz w:val="20"/>
          <w:szCs w:val="20"/>
          <w:color w:val="auto"/>
        </w:rPr>
      </w:pPr>
      <w:r>
        <w:rPr>
          <w:rFonts w:ascii="Arial" w:cs="Arial" w:eastAsia="Arial" w:hAnsi="Arial"/>
          <w:sz w:val="17"/>
          <w:szCs w:val="17"/>
          <w:color w:val="auto"/>
        </w:rPr>
        <w:t>The purposes of this Lyra Therapeutics, Inc. 2020 Employee Stock Purchase Plan (as it may be amended or restated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are to assist Eligible Employees of Lyra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 AND CONSTRUCTION</w:t>
      </w:r>
    </w:p>
    <w:p>
      <w:pPr>
        <w:spacing w:after="0" w:line="194" w:lineRule="exact"/>
        <w:rPr>
          <w:sz w:val="20"/>
          <w:szCs w:val="20"/>
          <w:color w:val="auto"/>
        </w:rPr>
      </w:pPr>
    </w:p>
    <w:p>
      <w:pPr>
        <w:jc w:val="both"/>
        <w:ind w:right="260" w:firstLine="409"/>
        <w:spacing w:after="0" w:line="257" w:lineRule="auto"/>
        <w:rPr>
          <w:sz w:val="20"/>
          <w:szCs w:val="20"/>
          <w:color w:val="auto"/>
        </w:rPr>
      </w:pPr>
      <w:r>
        <w:rPr>
          <w:rFonts w:ascii="Arial" w:cs="Arial" w:eastAsia="Arial" w:hAnsi="Arial"/>
          <w:sz w:val="17"/>
          <w:szCs w:val="17"/>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75" w:lineRule="exact"/>
        <w:rPr>
          <w:sz w:val="20"/>
          <w:szCs w:val="20"/>
          <w:color w:val="auto"/>
        </w:rPr>
      </w:pPr>
    </w:p>
    <w:p>
      <w:pPr>
        <w:ind w:right="20" w:firstLine="409"/>
        <w:spacing w:after="0" w:line="299" w:lineRule="auto"/>
        <w:rPr>
          <w:sz w:val="20"/>
          <w:szCs w:val="20"/>
          <w:color w:val="auto"/>
        </w:rPr>
      </w:pPr>
      <w:r>
        <w:rPr>
          <w:rFonts w:ascii="Arial" w:cs="Arial" w:eastAsia="Arial" w:hAnsi="Arial"/>
          <w:sz w:val="16"/>
          <w:szCs w:val="16"/>
          <w:color w:val="auto"/>
        </w:rPr>
        <w:t>2.1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shall mean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44" w:lineRule="exact"/>
        <w:rPr>
          <w:sz w:val="20"/>
          <w:szCs w:val="20"/>
          <w:color w:val="auto"/>
        </w:rPr>
      </w:pPr>
    </w:p>
    <w:p>
      <w:pPr>
        <w:ind w:right="140" w:firstLine="409"/>
        <w:spacing w:after="0" w:line="307" w:lineRule="auto"/>
        <w:rPr>
          <w:sz w:val="20"/>
          <w:szCs w:val="20"/>
          <w:color w:val="auto"/>
        </w:rPr>
      </w:pPr>
      <w:r>
        <w:rPr>
          <w:rFonts w:ascii="Arial" w:cs="Arial" w:eastAsia="Arial" w:hAnsi="Arial"/>
          <w:sz w:val="15"/>
          <w:szCs w:val="15"/>
          <w:color w:val="auto"/>
        </w:rPr>
        <w:t>2.2 “</w:t>
      </w:r>
      <w:r>
        <w:rPr>
          <w:rFonts w:ascii="Arial" w:cs="Arial" w:eastAsia="Arial" w:hAnsi="Arial"/>
          <w:sz w:val="15"/>
          <w:szCs w:val="15"/>
          <w:b w:val="1"/>
          <w:bCs w:val="1"/>
          <w:i w:val="1"/>
          <w:iCs w:val="1"/>
          <w:color w:val="auto"/>
        </w:rPr>
        <w:t>Applicable Law</w:t>
      </w:r>
      <w:r>
        <w:rPr>
          <w:rFonts w:ascii="Arial" w:cs="Arial" w:eastAsia="Arial" w:hAnsi="Arial"/>
          <w:sz w:val="15"/>
          <w:szCs w:val="15"/>
          <w:color w:val="auto"/>
        </w:rPr>
        <w:t>” 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2.3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shall mean the Board of Directors of the Company.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2.4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mean and include each of the following:</w:t>
      </w:r>
    </w:p>
    <w:p>
      <w:pPr>
        <w:spacing w:after="0" w:line="106" w:lineRule="exact"/>
        <w:rPr>
          <w:sz w:val="20"/>
          <w:szCs w:val="20"/>
          <w:color w:val="auto"/>
        </w:rPr>
      </w:pPr>
    </w:p>
    <w:p>
      <w:pPr>
        <w:ind w:firstLine="924"/>
        <w:spacing w:after="0" w:line="288" w:lineRule="auto"/>
        <w:tabs>
          <w:tab w:leader="none" w:pos="1149"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57" w:lineRule="exact"/>
        <w:rPr>
          <w:rFonts w:ascii="Arial" w:cs="Arial" w:eastAsia="Arial" w:hAnsi="Arial"/>
          <w:sz w:val="15"/>
          <w:szCs w:val="15"/>
          <w:color w:val="auto"/>
        </w:rPr>
      </w:pPr>
    </w:p>
    <w:p>
      <w:pPr>
        <w:ind w:right="60" w:firstLine="924"/>
        <w:spacing w:after="0" w:line="271" w:lineRule="auto"/>
        <w:tabs>
          <w:tab w:leader="none" w:pos="1159" w:val="left"/>
        </w:tabs>
        <w:numPr>
          <w:ilvl w:val="0"/>
          <w:numId w:val="337"/>
        </w:numPr>
        <w:rPr>
          <w:rFonts w:ascii="Arial" w:cs="Arial" w:eastAsia="Arial" w:hAnsi="Arial"/>
          <w:sz w:val="16"/>
          <w:szCs w:val="16"/>
          <w:color w:val="auto"/>
        </w:rPr>
      </w:pPr>
      <w:r>
        <w:rPr>
          <w:rFonts w:ascii="Arial" w:cs="Arial" w:eastAsia="Arial" w:hAnsi="Arial"/>
          <w:sz w:val="16"/>
          <w:szCs w:val="16"/>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ectPr>
          <w:pgSz w:w="11900" w:h="16838" w:orient="portrait"/>
          <w:cols w:equalWidth="0" w:num="1">
            <w:col w:w="10240"/>
          </w:cols>
          <w:pgMar w:left="820" w:top="122" w:right="839" w:bottom="1440" w:gutter="0" w:footer="0" w:header="0"/>
        </w:sectPr>
      </w:pPr>
    </w:p>
    <w:bookmarkStart w:id="414" w:name="page415"/>
    <w:bookmarkEnd w:id="414"/>
    <w:p>
      <w:pPr>
        <w:ind w:firstLine="924"/>
        <w:spacing w:after="0" w:line="253" w:lineRule="auto"/>
        <w:tabs>
          <w:tab w:leader="none" w:pos="1149" w:val="left"/>
        </w:tabs>
        <w:numPr>
          <w:ilvl w:val="0"/>
          <w:numId w:val="3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9" w:lineRule="exact"/>
        <w:rPr>
          <w:rFonts w:ascii="Arial" w:cs="Arial" w:eastAsia="Arial" w:hAnsi="Arial"/>
          <w:sz w:val="17"/>
          <w:szCs w:val="17"/>
          <w:color w:val="auto"/>
        </w:rPr>
      </w:pPr>
    </w:p>
    <w:p>
      <w:pPr>
        <w:ind w:left="420" w:firstLine="877"/>
        <w:spacing w:after="0" w:line="271" w:lineRule="auto"/>
        <w:tabs>
          <w:tab w:leader="none" w:pos="1505" w:val="left"/>
        </w:tabs>
        <w:numPr>
          <w:ilvl w:val="1"/>
          <w:numId w:val="338"/>
        </w:numPr>
        <w:rPr>
          <w:rFonts w:ascii="Arial" w:cs="Arial" w:eastAsia="Arial" w:hAnsi="Arial"/>
          <w:sz w:val="16"/>
          <w:szCs w:val="16"/>
          <w:color w:val="auto"/>
        </w:rPr>
      </w:pPr>
      <w:r>
        <w:rPr>
          <w:rFonts w:ascii="Arial" w:cs="Arial" w:eastAsia="Arial" w:hAnsi="Arial"/>
          <w:sz w:val="16"/>
          <w:szCs w:val="16"/>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6"/>
          <w:szCs w:val="16"/>
          <w:b w:val="1"/>
          <w:bCs w:val="1"/>
          <w:i w:val="1"/>
          <w:iCs w:val="1"/>
          <w:color w:val="auto"/>
        </w:rPr>
        <w:t>Successor Entity</w:t>
      </w:r>
      <w:r>
        <w:rPr>
          <w:rFonts w:ascii="Arial" w:cs="Arial" w:eastAsia="Arial" w:hAnsi="Arial"/>
          <w:sz w:val="16"/>
          <w:szCs w:val="16"/>
          <w:color w:val="auto"/>
        </w:rPr>
        <w:t>”)) directly or indirectly, at least a majority of the combined voting power of the Successor Entity’s outstanding voting securities immediately after the transaction, and</w:t>
      </w:r>
    </w:p>
    <w:p>
      <w:pPr>
        <w:spacing w:after="0" w:line="65" w:lineRule="exact"/>
        <w:rPr>
          <w:rFonts w:ascii="Arial" w:cs="Arial" w:eastAsia="Arial" w:hAnsi="Arial"/>
          <w:sz w:val="16"/>
          <w:szCs w:val="16"/>
          <w:color w:val="auto"/>
        </w:rPr>
      </w:pPr>
    </w:p>
    <w:p>
      <w:pPr>
        <w:jc w:val="both"/>
        <w:ind w:left="420" w:right="60" w:firstLine="877"/>
        <w:spacing w:after="0" w:line="253" w:lineRule="auto"/>
        <w:tabs>
          <w:tab w:leader="none" w:pos="1551" w:val="left"/>
        </w:tabs>
        <w:numPr>
          <w:ilvl w:val="1"/>
          <w:numId w:val="338"/>
        </w:numPr>
        <w:rPr>
          <w:rFonts w:ascii="Arial" w:cs="Arial" w:eastAsia="Arial" w:hAnsi="Arial"/>
          <w:sz w:val="17"/>
          <w:szCs w:val="17"/>
          <w:color w:val="auto"/>
        </w:rPr>
      </w:pPr>
      <w:r>
        <w:rPr>
          <w:rFonts w:ascii="Arial" w:cs="Arial" w:eastAsia="Arial" w:hAnsi="Arial"/>
          <w:sz w:val="17"/>
          <w:szCs w:val="17"/>
          <w:color w:val="auto"/>
        </w:rPr>
        <w:t xml:space="preserve">after which no person or group beneficially owns voting securities representing 50% or more of the combined voting power of the Successor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ind w:right="120" w:firstLine="409"/>
        <w:spacing w:after="0" w:line="335" w:lineRule="auto"/>
        <w:rPr>
          <w:sz w:val="20"/>
          <w:szCs w:val="20"/>
          <w:color w:val="auto"/>
        </w:rPr>
      </w:pPr>
      <w:r>
        <w:rPr>
          <w:rFonts w:ascii="Arial" w:cs="Arial" w:eastAsia="Arial" w:hAnsi="Arial"/>
          <w:sz w:val="15"/>
          <w:szCs w:val="15"/>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2.5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mean the Internal Revenue Code of 1986, as amended, and the regulations issued thereunder.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2.6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mean the common stock of the Company.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2.7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mean Lyra Therapeutics, Inc., a Delaware corporation, or any successor.</w:t>
      </w:r>
    </w:p>
    <w:p>
      <w:pPr>
        <w:spacing w:after="0" w:line="106" w:lineRule="exact"/>
        <w:rPr>
          <w:sz w:val="20"/>
          <w:szCs w:val="20"/>
          <w:color w:val="auto"/>
        </w:rPr>
      </w:pPr>
    </w:p>
    <w:p>
      <w:pPr>
        <w:ind w:right="180" w:firstLine="409"/>
        <w:spacing w:after="0" w:line="257"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of an Eligible Employee shall mean the gross base compensation received by such Eligible Employee as compensation for services to the Company or any Designated Subsidiary, including overtime payments and excluding sales commissions, incentive compensation, bonuses, expense reimbursements, fringe benefits and other special payments.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2.9 “</w:t>
      </w:r>
      <w:r>
        <w:rPr>
          <w:rFonts w:ascii="Arial" w:cs="Arial" w:eastAsia="Arial" w:hAnsi="Arial"/>
          <w:sz w:val="17"/>
          <w:szCs w:val="17"/>
          <w:b w:val="1"/>
          <w:bCs w:val="1"/>
          <w:i w:val="1"/>
          <w:iCs w:val="1"/>
          <w:color w:val="auto"/>
        </w:rPr>
        <w:t>Designated Subsidiary</w:t>
      </w:r>
      <w:r>
        <w:rPr>
          <w:rFonts w:ascii="Arial" w:cs="Arial" w:eastAsia="Arial" w:hAnsi="Arial"/>
          <w:sz w:val="17"/>
          <w:szCs w:val="17"/>
          <w:color w:val="auto"/>
        </w:rPr>
        <w:t>” shall mean any Subsidiary designated by the Administrator in accordance with Section 11.3(b).</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2.10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shall mean the day prior to the Public Trading Date.</w:t>
      </w:r>
    </w:p>
    <w:p>
      <w:pPr>
        <w:spacing w:after="0" w:line="106" w:lineRule="exact"/>
        <w:rPr>
          <w:sz w:val="20"/>
          <w:szCs w:val="20"/>
          <w:color w:val="auto"/>
        </w:rPr>
      </w:pPr>
    </w:p>
    <w:p>
      <w:pPr>
        <w:ind w:right="280" w:firstLine="409"/>
        <w:spacing w:after="0" w:line="280"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shall mean an Employee who does not, immediately after any rights under this Plan are granted, own (directly or through attribution) stock possessing 5% or more of the total combined voting power or value of all classes of Common Stock and other stock of the Company, a Parent or a Subsidiary (as determined under Section 423(b)(3) of the Code). For purposes of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20"/>
          </w:cols>
          <w:pgMar w:left="820" w:top="265" w:right="859" w:bottom="1440" w:gutter="0" w:footer="0" w:header="0"/>
        </w:sectPr>
      </w:pPr>
    </w:p>
    <w:bookmarkStart w:id="415" w:name="page416"/>
    <w:bookmarkEnd w:id="415"/>
    <w:p>
      <w:pPr>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foregoing, the rules of Section 424(d) of the Code with regard to the attribution of stock ownership shall apply in determining the stock ownership of an individual, and stock that an Employee may purchase under outstanding options shall be treated as stock owned by the Employee;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Administrator may provide in an Offering Document that an Employee shall not be eligible to participate in an Offering Period if: (i) such Employee is a highly compensated employee within the meaning of Section 423(b)(4)(D) of the Code; (ii) such Employee has not met a service requirement designated by the Administrator pursuant to Section 423(b)(4)(A) 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exclusion in clauses (i), (ii), (iii), (iv) or (v) shall be applied in an identical manner under each Offering Period to all Employees, in accordance with Treasury Regulation Section 1.423-2(e).</w:t>
      </w:r>
    </w:p>
    <w:p>
      <w:pPr>
        <w:spacing w:after="0" w:line="57" w:lineRule="exact"/>
        <w:rPr>
          <w:sz w:val="20"/>
          <w:szCs w:val="20"/>
          <w:color w:val="auto"/>
        </w:rPr>
      </w:pPr>
    </w:p>
    <w:p>
      <w:pPr>
        <w:ind w:right="40" w:firstLine="409"/>
        <w:spacing w:after="0" w:line="268"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shall mean any officer or other employee (as defined in accordance with Section 3401(c) of the Code) of the Company or any Designated Subsidiary. “Employee”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(3)-month period.</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2.13 “</w:t>
      </w:r>
      <w:r>
        <w:rPr>
          <w:rFonts w:ascii="Arial" w:cs="Arial" w:eastAsia="Arial" w:hAnsi="Arial"/>
          <w:sz w:val="17"/>
          <w:szCs w:val="17"/>
          <w:b w:val="1"/>
          <w:bCs w:val="1"/>
          <w:i w:val="1"/>
          <w:iCs w:val="1"/>
          <w:color w:val="auto"/>
        </w:rPr>
        <w:t>Enrollment Date</w:t>
      </w:r>
      <w:r>
        <w:rPr>
          <w:rFonts w:ascii="Arial" w:cs="Arial" w:eastAsia="Arial" w:hAnsi="Arial"/>
          <w:sz w:val="17"/>
          <w:szCs w:val="17"/>
          <w:color w:val="auto"/>
        </w:rPr>
        <w:t>” shall mean the first Trading Day of each Offering Period.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2.14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shall mean the Securities Exchange Act of 1934, as amended.</w:t>
      </w:r>
    </w:p>
    <w:p>
      <w:pPr>
        <w:spacing w:after="0" w:line="106" w:lineRule="exact"/>
        <w:rPr>
          <w:sz w:val="20"/>
          <w:szCs w:val="20"/>
          <w:color w:val="auto"/>
        </w:rPr>
      </w:pPr>
    </w:p>
    <w:p>
      <w:pPr>
        <w:ind w:firstLine="409"/>
        <w:spacing w:after="0" w:line="268"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2.16 “</w:t>
      </w:r>
      <w:r>
        <w:rPr>
          <w:rFonts w:ascii="Arial" w:cs="Arial" w:eastAsia="Arial" w:hAnsi="Arial"/>
          <w:sz w:val="17"/>
          <w:szCs w:val="17"/>
          <w:b w:val="1"/>
          <w:bCs w:val="1"/>
          <w:i w:val="1"/>
          <w:iCs w:val="1"/>
          <w:color w:val="auto"/>
        </w:rPr>
        <w:t>Offering Document</w:t>
      </w:r>
      <w:r>
        <w:rPr>
          <w:rFonts w:ascii="Arial" w:cs="Arial" w:eastAsia="Arial" w:hAnsi="Arial"/>
          <w:sz w:val="17"/>
          <w:szCs w:val="17"/>
          <w:color w:val="auto"/>
        </w:rPr>
        <w:t>” shall have the meaning given to such term in Section 4.1.</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2.17 “</w:t>
      </w:r>
      <w:r>
        <w:rPr>
          <w:rFonts w:ascii="Arial" w:cs="Arial" w:eastAsia="Arial" w:hAnsi="Arial"/>
          <w:sz w:val="17"/>
          <w:szCs w:val="17"/>
          <w:b w:val="1"/>
          <w:bCs w:val="1"/>
          <w:i w:val="1"/>
          <w:iCs w:val="1"/>
          <w:color w:val="auto"/>
        </w:rPr>
        <w:t>Offering Period</w:t>
      </w:r>
      <w:r>
        <w:rPr>
          <w:rFonts w:ascii="Arial" w:cs="Arial" w:eastAsia="Arial" w:hAnsi="Arial"/>
          <w:sz w:val="17"/>
          <w:szCs w:val="17"/>
          <w:color w:val="auto"/>
        </w:rPr>
        <w:t>” shall have the meaning given to such term in Section 4.1.</w:t>
      </w:r>
    </w:p>
    <w:p>
      <w:pPr>
        <w:spacing w:after="0" w:line="106" w:lineRule="exact"/>
        <w:rPr>
          <w:sz w:val="20"/>
          <w:szCs w:val="20"/>
          <w:color w:val="auto"/>
        </w:rPr>
      </w:pPr>
    </w:p>
    <w:p>
      <w:pPr>
        <w:ind w:right="80" w:firstLine="409"/>
        <w:spacing w:after="0" w:line="257" w:lineRule="auto"/>
        <w:rPr>
          <w:sz w:val="20"/>
          <w:szCs w:val="20"/>
          <w:color w:val="auto"/>
        </w:rPr>
      </w:pPr>
      <w:r>
        <w:rPr>
          <w:rFonts w:ascii="Arial" w:cs="Arial" w:eastAsia="Arial" w:hAnsi="Arial"/>
          <w:sz w:val="17"/>
          <w:szCs w:val="17"/>
          <w:color w:val="auto"/>
        </w:rPr>
        <w:t>2.18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0"/>
          </w:cols>
          <w:pgMar w:left="820" w:top="265" w:right="839" w:bottom="1440" w:gutter="0" w:footer="0" w:header="0"/>
        </w:sectPr>
      </w:pPr>
    </w:p>
    <w:bookmarkStart w:id="416" w:name="page417"/>
    <w:bookmarkEnd w:id="416"/>
    <w:p>
      <w:pPr>
        <w:ind w:right="220" w:firstLine="40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2.19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shall mean any Eligible Employee who has executed a subscription agreement and been granted rights to purchase Common Stock pursuant to the Plan.</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2.20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mean this 2020 Employee Stock Purchase Plan.</w:t>
      </w:r>
    </w:p>
    <w:p>
      <w:pPr>
        <w:spacing w:after="0" w:line="106" w:lineRule="exact"/>
        <w:rPr>
          <w:sz w:val="20"/>
          <w:szCs w:val="20"/>
          <w:color w:val="auto"/>
        </w:rPr>
      </w:pPr>
    </w:p>
    <w:p>
      <w:pPr>
        <w:ind w:firstLine="409"/>
        <w:spacing w:after="0" w:line="307" w:lineRule="auto"/>
        <w:rPr>
          <w:sz w:val="20"/>
          <w:szCs w:val="20"/>
          <w:color w:val="auto"/>
        </w:rPr>
      </w:pPr>
      <w:r>
        <w:rPr>
          <w:rFonts w:ascii="Arial" w:cs="Arial" w:eastAsia="Arial" w:hAnsi="Arial"/>
          <w:sz w:val="15"/>
          <w:szCs w:val="15"/>
          <w:color w:val="auto"/>
        </w:rPr>
        <w:t>2.21 “</w:t>
      </w:r>
      <w:r>
        <w:rPr>
          <w:rFonts w:ascii="Arial" w:cs="Arial" w:eastAsia="Arial" w:hAnsi="Arial"/>
          <w:sz w:val="15"/>
          <w:szCs w:val="15"/>
          <w:b w:val="1"/>
          <w:bCs w:val="1"/>
          <w:i w:val="1"/>
          <w:iCs w:val="1"/>
          <w:color w:val="auto"/>
        </w:rPr>
        <w:t>Public Trading Date</w:t>
      </w:r>
      <w:r>
        <w:rPr>
          <w:rFonts w:ascii="Arial" w:cs="Arial" w:eastAsia="Arial" w:hAnsi="Arial"/>
          <w:sz w:val="15"/>
          <w:szCs w:val="15"/>
          <w:color w:val="auto"/>
        </w:rPr>
        <w:t>” shall mean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2.22 “</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shall mean the last Trading Day of each Offering Period.</w:t>
      </w:r>
    </w:p>
    <w:p>
      <w:pPr>
        <w:spacing w:after="0" w:line="106" w:lineRule="exact"/>
        <w:rPr>
          <w:sz w:val="20"/>
          <w:szCs w:val="20"/>
          <w:color w:val="auto"/>
        </w:rPr>
      </w:pPr>
    </w:p>
    <w:p>
      <w:pPr>
        <w:ind w:right="20" w:firstLine="409"/>
        <w:spacing w:after="0" w:line="250" w:lineRule="auto"/>
        <w:rPr>
          <w:sz w:val="20"/>
          <w:szCs w:val="20"/>
          <w:color w:val="auto"/>
        </w:rPr>
      </w:pPr>
      <w:r>
        <w:rPr>
          <w:rFonts w:ascii="Arial" w:cs="Arial" w:eastAsia="Arial" w:hAnsi="Arial"/>
          <w:sz w:val="17"/>
          <w:szCs w:val="17"/>
          <w:color w:val="auto"/>
        </w:rPr>
        <w:t>2.23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Purchase Price may be adjusted by the Administrator pursuant to Article VIII and shall not be less than the par value of a Share.</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2.24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2.25 “</w:t>
      </w:r>
      <w:r>
        <w:rPr>
          <w:rFonts w:ascii="Arial" w:cs="Arial" w:eastAsia="Arial" w:hAnsi="Arial"/>
          <w:sz w:val="17"/>
          <w:szCs w:val="17"/>
          <w:b w:val="1"/>
          <w:bCs w:val="1"/>
          <w:i w:val="1"/>
          <w:iCs w:val="1"/>
          <w:color w:val="auto"/>
        </w:rPr>
        <w:t>Share</w:t>
      </w:r>
      <w:r>
        <w:rPr>
          <w:rFonts w:ascii="Arial" w:cs="Arial" w:eastAsia="Arial" w:hAnsi="Arial"/>
          <w:sz w:val="17"/>
          <w:szCs w:val="17"/>
          <w:color w:val="auto"/>
        </w:rPr>
        <w:t>” shall mean a share of Common Stock.</w:t>
      </w:r>
    </w:p>
    <w:p>
      <w:pPr>
        <w:spacing w:after="0" w:line="106" w:lineRule="exact"/>
        <w:rPr>
          <w:sz w:val="20"/>
          <w:szCs w:val="20"/>
          <w:color w:val="auto"/>
        </w:rPr>
      </w:pPr>
    </w:p>
    <w:p>
      <w:pPr>
        <w:ind w:right="60" w:firstLine="409"/>
        <w:spacing w:after="0" w:line="283" w:lineRule="auto"/>
        <w:rPr>
          <w:sz w:val="20"/>
          <w:szCs w:val="20"/>
          <w:color w:val="auto"/>
        </w:rPr>
      </w:pPr>
      <w:r>
        <w:rPr>
          <w:rFonts w:ascii="Arial" w:cs="Arial" w:eastAsia="Arial" w:hAnsi="Arial"/>
          <w:sz w:val="15"/>
          <w:szCs w:val="15"/>
          <w:color w:val="auto"/>
        </w:rPr>
        <w:t>2.26 “</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a limited liability company or partnership may be treated as a Subsidiary to the extent either (a) such entity is treated as a disregarded entity under Treasury Regulation</w:t>
      </w:r>
    </w:p>
    <w:p>
      <w:pPr>
        <w:spacing w:after="0" w:line="2" w:lineRule="exact"/>
        <w:rPr>
          <w:sz w:val="20"/>
          <w:szCs w:val="20"/>
          <w:color w:val="auto"/>
        </w:rPr>
      </w:pPr>
    </w:p>
    <w:p>
      <w:pPr>
        <w:ind w:right="340"/>
        <w:spacing w:after="0" w:line="318" w:lineRule="auto"/>
        <w:rPr>
          <w:sz w:val="20"/>
          <w:szCs w:val="20"/>
          <w:color w:val="auto"/>
        </w:rPr>
      </w:pPr>
      <w:r>
        <w:rPr>
          <w:rFonts w:ascii="Arial" w:cs="Arial" w:eastAsia="Arial" w:hAnsi="Arial"/>
          <w:sz w:val="15"/>
          <w:szCs w:val="15"/>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2.27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mean a day on which national stock exchanges in the United States are open for trading.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SUBJECT TO THE PLAN</w:t>
      </w:r>
    </w:p>
    <w:p>
      <w:pPr>
        <w:spacing w:after="0" w:line="194" w:lineRule="exact"/>
        <w:rPr>
          <w:sz w:val="20"/>
          <w:szCs w:val="20"/>
          <w:color w:val="auto"/>
        </w:rPr>
      </w:pPr>
    </w:p>
    <w:p>
      <w:pPr>
        <w:ind w:right="160" w:firstLine="409"/>
        <w:spacing w:after="0" w:line="26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Article VIII, the aggregate number of Shares that may be issued pursuant to rights granted under the Plan shall be 150,000 Shares. In addition to the foregoing, subject to Article VIII, on the first day of each calendar year beginning on January 1, 2021 and ending on and including January 1, 2030, the number of Shares available for issuance under the Plan shall be increased by that number of Shares equal to the lesser of (a) 0.5% of the Shares outstanding on the final day of the immediately preceding calendar year and (b) such smaller number of Shares as determined by the Board. If any right granted under the Plan shall for any reason terminate without having been exercised, the Common Stock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987,500 Shares, subject to Article VIII.</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40"/>
          </w:cols>
          <w:pgMar w:left="820" w:top="265" w:right="839" w:bottom="1440" w:gutter="0" w:footer="0" w:header="0"/>
        </w:sectPr>
      </w:pPr>
    </w:p>
    <w:bookmarkStart w:id="417" w:name="page418"/>
    <w:bookmarkEnd w:id="417"/>
    <w:p>
      <w:pPr>
        <w:ind w:right="60" w:firstLine="40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3.2 </w:t>
      </w:r>
      <w:r>
        <w:rPr>
          <w:rFonts w:ascii="Arial" w:cs="Arial" w:eastAsia="Arial" w:hAnsi="Arial"/>
          <w:sz w:val="17"/>
          <w:szCs w:val="17"/>
          <w:u w:val="single" w:color="auto"/>
          <w:color w:val="auto"/>
        </w:rPr>
        <w:t>Stock Distributed</w:t>
      </w:r>
      <w:r>
        <w:rPr>
          <w:rFonts w:ascii="Arial" w:cs="Arial" w:eastAsia="Arial" w:hAnsi="Arial"/>
          <w:sz w:val="17"/>
          <w:szCs w:val="17"/>
          <w:color w:val="auto"/>
        </w:rPr>
        <w:t>. Any Common Stock distributed pursuant to the Plan may consist, in whole or in part, of authorized and unissued Common Stock, treasury stock or Common Stock purchased on the open market.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OFFERING PERIODS; OFFERING DOCUMENTS; PURCHASE DATES</w:t>
      </w:r>
    </w:p>
    <w:p>
      <w:pPr>
        <w:spacing w:after="0" w:line="194" w:lineRule="exact"/>
        <w:rPr>
          <w:sz w:val="20"/>
          <w:szCs w:val="20"/>
          <w:color w:val="auto"/>
        </w:rPr>
      </w:pPr>
    </w:p>
    <w:p>
      <w:pPr>
        <w:ind w:right="60" w:firstLine="409"/>
        <w:spacing w:after="0" w:line="293"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Offering Periods</w:t>
      </w:r>
      <w:r>
        <w:rPr>
          <w:rFonts w:ascii="Arial" w:cs="Arial" w:eastAsia="Arial" w:hAnsi="Arial"/>
          <w:sz w:val="15"/>
          <w:szCs w:val="15"/>
          <w:color w:val="auto"/>
        </w:rPr>
        <w:t>. The Administrator may from time to time grant or provide for the grant of rights to purchase Common Stock under the Plan to Eligible Employees during one or more periods (each, an “</w:t>
      </w:r>
      <w:r>
        <w:rPr>
          <w:rFonts w:ascii="Arial" w:cs="Arial" w:eastAsia="Arial" w:hAnsi="Arial"/>
          <w:sz w:val="15"/>
          <w:szCs w:val="15"/>
          <w:b w:val="1"/>
          <w:bCs w:val="1"/>
          <w:i w:val="1"/>
          <w:iCs w:val="1"/>
          <w:color w:val="auto"/>
        </w:rPr>
        <w:t>Offering Period</w:t>
      </w:r>
      <w:r>
        <w:rPr>
          <w:rFonts w:ascii="Arial" w:cs="Arial" w:eastAsia="Arial" w:hAnsi="Arial"/>
          <w:sz w:val="15"/>
          <w:szCs w:val="15"/>
          <w:color w:val="auto"/>
        </w:rPr>
        <w:t>”) selected by the Administrator. The terms and conditions applicable to each Offering Period shall be set forth in an “</w:t>
      </w:r>
      <w:r>
        <w:rPr>
          <w:rFonts w:ascii="Arial" w:cs="Arial" w:eastAsia="Arial" w:hAnsi="Arial"/>
          <w:sz w:val="15"/>
          <w:szCs w:val="15"/>
          <w:b w:val="1"/>
          <w:bCs w:val="1"/>
          <w:i w:val="1"/>
          <w:iCs w:val="1"/>
          <w:color w:val="auto"/>
        </w:rPr>
        <w:t>Offering Document</w:t>
      </w:r>
      <w:r>
        <w:rPr>
          <w:rFonts w:ascii="Arial" w:cs="Arial" w:eastAsia="Arial" w:hAnsi="Arial"/>
          <w:sz w:val="15"/>
          <w:szCs w:val="15"/>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provisions of separate Offering Periods under the Plan need not be identical.</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Offering Documents</w:t>
      </w:r>
      <w:r>
        <w:rPr>
          <w:rFonts w:ascii="Arial" w:cs="Arial" w:eastAsia="Arial" w:hAnsi="Arial"/>
          <w:sz w:val="15"/>
          <w:szCs w:val="15"/>
          <w:color w:val="auto"/>
        </w:rPr>
        <w:t>. Each Offering Document with respect to an Offering Period shall specify (through incorporation of the provisions of this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Plan by reference or otherwise):</w:t>
      </w:r>
    </w:p>
    <w:p>
      <w:pPr>
        <w:spacing w:after="0" w:line="94" w:lineRule="exact"/>
        <w:rPr>
          <w:sz w:val="20"/>
          <w:szCs w:val="20"/>
          <w:color w:val="auto"/>
        </w:rPr>
      </w:pPr>
    </w:p>
    <w:p>
      <w:pPr>
        <w:ind w:left="1160" w:hanging="236"/>
        <w:spacing w:after="0"/>
        <w:tabs>
          <w:tab w:leader="none" w:pos="116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length of the Offering Period, which period shall not exceed twenty-seven months;</w:t>
      </w:r>
    </w:p>
    <w:p>
      <w:pPr>
        <w:spacing w:after="0" w:line="105" w:lineRule="exact"/>
        <w:rPr>
          <w:rFonts w:ascii="Arial" w:cs="Arial" w:eastAsia="Arial" w:hAnsi="Arial"/>
          <w:sz w:val="17"/>
          <w:szCs w:val="17"/>
          <w:color w:val="auto"/>
        </w:rPr>
      </w:pPr>
    </w:p>
    <w:p>
      <w:pPr>
        <w:ind w:right="120" w:firstLine="924"/>
        <w:spacing w:after="0" w:line="268" w:lineRule="auto"/>
        <w:tabs>
          <w:tab w:leader="none" w:pos="115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maximum number of Shares that may be purchased by any Eligible Employee during such Offering Period, which, in the absence of a contrary designation by the Administrator, shall be 25,000 Shares; and</w:t>
      </w:r>
    </w:p>
    <w:p>
      <w:pPr>
        <w:spacing w:after="0" w:line="65" w:lineRule="exact"/>
        <w:rPr>
          <w:rFonts w:ascii="Arial" w:cs="Arial" w:eastAsia="Arial" w:hAnsi="Arial"/>
          <w:sz w:val="17"/>
          <w:szCs w:val="17"/>
          <w:color w:val="auto"/>
        </w:rPr>
      </w:pPr>
    </w:p>
    <w:p>
      <w:pPr>
        <w:ind w:left="1160" w:hanging="236"/>
        <w:spacing w:after="0"/>
        <w:tabs>
          <w:tab w:leader="none" w:pos="116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such other provisions as the Administrator determines are appropriate, subject to the Plan.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ELIGIBILITY AND PARTICIPATION</w:t>
      </w:r>
    </w:p>
    <w:p>
      <w:pPr>
        <w:spacing w:after="0" w:line="194" w:lineRule="exact"/>
        <w:rPr>
          <w:sz w:val="20"/>
          <w:szCs w:val="20"/>
          <w:color w:val="auto"/>
        </w:rPr>
      </w:pPr>
    </w:p>
    <w:p>
      <w:pPr>
        <w:ind w:right="140" w:firstLine="409"/>
        <w:spacing w:after="0" w:line="257"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w:t>
      </w:r>
      <w:r>
        <w:rPr>
          <w:rFonts w:ascii="Arial" w:cs="Arial" w:eastAsia="Arial" w:hAnsi="Arial"/>
          <w:sz w:val="17"/>
          <w:szCs w:val="17"/>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Enrollment in Plan</w:t>
      </w:r>
      <w:r>
        <w:rPr>
          <w:rFonts w:ascii="Arial" w:cs="Arial" w:eastAsia="Arial" w:hAnsi="Arial"/>
          <w:sz w:val="17"/>
          <w:szCs w:val="17"/>
          <w:color w:val="auto"/>
        </w:rPr>
        <w:t>.</w:t>
      </w:r>
    </w:p>
    <w:p>
      <w:pPr>
        <w:spacing w:after="0" w:line="106" w:lineRule="exact"/>
        <w:rPr>
          <w:sz w:val="20"/>
          <w:szCs w:val="20"/>
          <w:color w:val="auto"/>
        </w:rPr>
      </w:pPr>
    </w:p>
    <w:p>
      <w:pPr>
        <w:ind w:right="20" w:firstLine="924"/>
        <w:spacing w:after="0" w:line="307" w:lineRule="auto"/>
        <w:tabs>
          <w:tab w:leader="none" w:pos="1149" w:val="left"/>
        </w:tabs>
        <w:numPr>
          <w:ilvl w:val="0"/>
          <w:numId w:val="340"/>
        </w:numPr>
        <w:rPr>
          <w:rFonts w:ascii="Arial" w:cs="Arial" w:eastAsia="Arial" w:hAnsi="Arial"/>
          <w:sz w:val="15"/>
          <w:szCs w:val="15"/>
          <w:color w:val="auto"/>
        </w:rPr>
      </w:pPr>
      <w:r>
        <w:rPr>
          <w:rFonts w:ascii="Arial" w:cs="Arial" w:eastAsia="Arial" w:hAnsi="Arial"/>
          <w:sz w:val="15"/>
          <w:szCs w:val="15"/>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41" w:lineRule="exact"/>
        <w:rPr>
          <w:rFonts w:ascii="Arial" w:cs="Arial" w:eastAsia="Arial" w:hAnsi="Arial"/>
          <w:sz w:val="15"/>
          <w:szCs w:val="15"/>
          <w:color w:val="auto"/>
        </w:rPr>
      </w:pPr>
    </w:p>
    <w:p>
      <w:pPr>
        <w:ind w:right="140" w:firstLine="924"/>
        <w:spacing w:after="0" w:line="257" w:lineRule="auto"/>
        <w:tabs>
          <w:tab w:leader="none" w:pos="115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00"/>
          </w:cols>
          <w:pgMar w:left="820" w:top="265" w:right="879" w:bottom="1440" w:gutter="0" w:footer="0" w:header="0"/>
        </w:sectPr>
      </w:pPr>
    </w:p>
    <w:bookmarkStart w:id="418" w:name="page419"/>
    <w:bookmarkEnd w:id="418"/>
    <w:p>
      <w:pPr>
        <w:ind w:right="4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percentage of Compensation designated by an Eligible Employee may not be less than 1% and may not be more than the maximum percentage specified by the Administrator in the applicable Offering Document (which percentage shall be 25% in the absence of any such designation) as payroll deductions. The payroll deductions made for each Participant shall be credited to an account for such Participant under the Plan and shall be deposited with the general funds of the Company.</w:t>
      </w:r>
    </w:p>
    <w:p>
      <w:pPr>
        <w:spacing w:after="0" w:line="80" w:lineRule="exact"/>
        <w:rPr>
          <w:sz w:val="20"/>
          <w:szCs w:val="20"/>
          <w:color w:val="auto"/>
        </w:rPr>
      </w:pPr>
    </w:p>
    <w:p>
      <w:pPr>
        <w:ind w:firstLine="924"/>
        <w:spacing w:after="0" w:line="286" w:lineRule="auto"/>
        <w:tabs>
          <w:tab w:leader="none" w:pos="1149" w:val="left"/>
        </w:tabs>
        <w:numPr>
          <w:ilvl w:val="0"/>
          <w:numId w:val="341"/>
        </w:numPr>
        <w:rPr>
          <w:rFonts w:ascii="Arial" w:cs="Arial" w:eastAsia="Arial" w:hAnsi="Arial"/>
          <w:sz w:val="15"/>
          <w:szCs w:val="15"/>
          <w:color w:val="auto"/>
        </w:rPr>
      </w:pPr>
      <w:r>
        <w:rPr>
          <w:rFonts w:ascii="Arial" w:cs="Arial" w:eastAsia="Arial" w:hAnsi="Arial"/>
          <w:sz w:val="15"/>
          <w:szCs w:val="15"/>
          <w:color w:val="auto"/>
        </w:rPr>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one change to his or her payroll deduction elections during each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58" w:lineRule="exact"/>
        <w:rPr>
          <w:rFonts w:ascii="Arial" w:cs="Arial" w:eastAsia="Arial" w:hAnsi="Arial"/>
          <w:sz w:val="15"/>
          <w:szCs w:val="15"/>
          <w:color w:val="auto"/>
        </w:rPr>
      </w:pPr>
    </w:p>
    <w:p>
      <w:pPr>
        <w:ind w:right="260" w:firstLine="924"/>
        <w:spacing w:after="0" w:line="299" w:lineRule="auto"/>
        <w:tabs>
          <w:tab w:leader="none" w:pos="115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44" w:lineRule="exact"/>
        <w:rPr>
          <w:sz w:val="20"/>
          <w:szCs w:val="20"/>
          <w:color w:val="auto"/>
        </w:rPr>
      </w:pPr>
    </w:p>
    <w:p>
      <w:pPr>
        <w:ind w:right="160" w:firstLine="409"/>
        <w:spacing w:after="0" w:line="25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Payroll Deductions</w:t>
      </w:r>
      <w:r>
        <w:rPr>
          <w:rFonts w:ascii="Arial" w:cs="Arial" w:eastAsia="Arial" w:hAnsi="Arial"/>
          <w:sz w:val="17"/>
          <w:szCs w:val="17"/>
          <w:color w:val="auto"/>
        </w:rPr>
        <w:t>. Except as otherwise provided in the applicable Offering Document,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80" w:lineRule="exact"/>
        <w:rPr>
          <w:sz w:val="20"/>
          <w:szCs w:val="20"/>
          <w:color w:val="auto"/>
        </w:rPr>
      </w:pPr>
    </w:p>
    <w:p>
      <w:pPr>
        <w:ind w:right="40" w:firstLine="409"/>
        <w:spacing w:after="0" w:line="25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Effect of Enrollment</w:t>
      </w:r>
      <w:r>
        <w:rPr>
          <w:rFonts w:ascii="Arial" w:cs="Arial" w:eastAsia="Arial" w:hAnsi="Arial"/>
          <w:sz w:val="17"/>
          <w:szCs w:val="17"/>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75" w:lineRule="exact"/>
        <w:rPr>
          <w:sz w:val="20"/>
          <w:szCs w:val="20"/>
          <w:color w:val="auto"/>
        </w:rPr>
      </w:pPr>
    </w:p>
    <w:p>
      <w:pPr>
        <w:ind w:right="160" w:firstLine="409"/>
        <w:spacing w:after="0" w:line="25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Limitation on Purchase of Common Stock</w:t>
      </w:r>
      <w:r>
        <w:rPr>
          <w:rFonts w:ascii="Arial" w:cs="Arial" w:eastAsia="Arial" w:hAnsi="Arial"/>
          <w:sz w:val="17"/>
          <w:szCs w:val="17"/>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84" w:lineRule="exact"/>
        <w:rPr>
          <w:sz w:val="20"/>
          <w:szCs w:val="20"/>
          <w:color w:val="auto"/>
        </w:rPr>
      </w:pPr>
    </w:p>
    <w:p>
      <w:pPr>
        <w:ind w:right="20" w:firstLine="409"/>
        <w:spacing w:after="0" w:line="251"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Decrease or Suspension of Payroll Deductions</w:t>
      </w:r>
      <w:r>
        <w:rPr>
          <w:rFonts w:ascii="Arial" w:cs="Arial" w:eastAsia="Arial" w:hAnsi="Arial"/>
          <w:sz w:val="17"/>
          <w:szCs w:val="17"/>
          <w:color w:val="auto"/>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40"/>
          </w:cols>
          <w:pgMar w:left="820" w:top="265" w:right="839" w:bottom="1440" w:gutter="0" w:footer="0" w:header="0"/>
        </w:sectPr>
      </w:pPr>
    </w:p>
    <w:bookmarkStart w:id="419" w:name="page420"/>
    <w:bookmarkEnd w:id="419"/>
    <w:p>
      <w:pPr>
        <w:ind w:right="100" w:firstLine="409"/>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5.7 </w:t>
      </w:r>
      <w:r>
        <w:rPr>
          <w:rFonts w:ascii="Arial" w:cs="Arial" w:eastAsia="Arial" w:hAnsi="Arial"/>
          <w:sz w:val="15"/>
          <w:szCs w:val="15"/>
          <w:u w:val="single" w:color="auto"/>
          <w:color w:val="auto"/>
        </w:rPr>
        <w:t>Foreign Employees</w:t>
      </w:r>
      <w:r>
        <w:rPr>
          <w:rFonts w:ascii="Arial" w:cs="Arial" w:eastAsia="Arial" w:hAnsi="Arial"/>
          <w:sz w:val="15"/>
          <w:szCs w:val="15"/>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Leave of Absence</w:t>
      </w:r>
      <w:r>
        <w:rPr>
          <w:rFonts w:ascii="Arial" w:cs="Arial" w:eastAsia="Arial" w:hAnsi="Arial"/>
          <w:sz w:val="17"/>
          <w:szCs w:val="17"/>
          <w:color w:val="auto"/>
        </w:rPr>
        <w:t>. During leaves of absence approved by the Company meeting the requirements of Treasury Regulation</w:t>
      </w:r>
    </w:p>
    <w:p>
      <w:pPr>
        <w:spacing w:after="0" w:line="18"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color w:val="auto"/>
        </w:rPr>
        <w:t>Section 1.421-1(h)(2) under the Code, a Participant may continue participation in the Plan by making cash payments to the Company on his or her normal payday equal to his or her authorized payroll deduction.</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GRANT AND EXERCISE OF RIGHTS</w:t>
      </w:r>
    </w:p>
    <w:p>
      <w:pPr>
        <w:spacing w:after="0" w:line="194" w:lineRule="exact"/>
        <w:rPr>
          <w:sz w:val="20"/>
          <w:szCs w:val="20"/>
          <w:color w:val="auto"/>
        </w:rPr>
      </w:pPr>
    </w:p>
    <w:p>
      <w:pPr>
        <w:ind w:right="160" w:firstLine="409"/>
        <w:spacing w:after="0" w:line="285"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Grant of Rights</w:t>
      </w:r>
      <w:r>
        <w:rPr>
          <w:rFonts w:ascii="Arial" w:cs="Arial" w:eastAsia="Arial" w:hAnsi="Arial"/>
          <w:sz w:val="15"/>
          <w:szCs w:val="15"/>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ind w:left="240" w:hanging="237"/>
        <w:spacing w:after="0"/>
        <w:tabs>
          <w:tab w:leader="none" w:pos="240" w:val="left"/>
        </w:tabs>
        <w:numPr>
          <w:ilvl w:val="0"/>
          <w:numId w:val="342"/>
        </w:numPr>
        <w:rPr>
          <w:rFonts w:ascii="Arial" w:cs="Arial" w:eastAsia="Arial" w:hAnsi="Arial"/>
          <w:sz w:val="15"/>
          <w:szCs w:val="15"/>
          <w:color w:val="auto"/>
        </w:rPr>
      </w:pPr>
      <w:r>
        <w:rPr>
          <w:rFonts w:ascii="Arial" w:cs="Arial" w:eastAsia="Arial" w:hAnsi="Arial"/>
          <w:sz w:val="15"/>
          <w:szCs w:val="15"/>
          <w:color w:val="auto"/>
        </w:rPr>
        <w:t>such Participant’s payroll deductions accumulated prior to such Purchase Date and retained in the Participant’s account as of the Purchase Date, by</w:t>
      </w:r>
    </w:p>
    <w:p>
      <w:pPr>
        <w:spacing w:after="0" w:line="28" w:lineRule="exact"/>
        <w:rPr>
          <w:rFonts w:ascii="Arial" w:cs="Arial" w:eastAsia="Arial" w:hAnsi="Arial"/>
          <w:sz w:val="15"/>
          <w:szCs w:val="15"/>
          <w:color w:val="auto"/>
        </w:rPr>
      </w:pPr>
    </w:p>
    <w:p>
      <w:pPr>
        <w:ind w:left="240" w:hanging="237"/>
        <w:spacing w:after="0"/>
        <w:tabs>
          <w:tab w:leader="none" w:pos="24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applicable Purchase Price (rounded down to the nearest Share). The right shall expire on the last day of the Offering Period.</w:t>
      </w:r>
    </w:p>
    <w:p>
      <w:pPr>
        <w:spacing w:after="0" w:line="94" w:lineRule="exact"/>
        <w:rPr>
          <w:sz w:val="20"/>
          <w:szCs w:val="20"/>
          <w:color w:val="auto"/>
        </w:rPr>
      </w:pPr>
    </w:p>
    <w:p>
      <w:pPr>
        <w:ind w:right="60" w:firstLine="409"/>
        <w:spacing w:after="0" w:line="288"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Exercise of Rights</w:t>
      </w:r>
      <w:r>
        <w:rPr>
          <w:rFonts w:ascii="Arial" w:cs="Arial" w:eastAsia="Arial" w:hAnsi="Arial"/>
          <w:sz w:val="15"/>
          <w:szCs w:val="15"/>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57" w:lineRule="exact"/>
        <w:rPr>
          <w:sz w:val="20"/>
          <w:szCs w:val="20"/>
          <w:color w:val="auto"/>
        </w:rPr>
      </w:pPr>
    </w:p>
    <w:p>
      <w:pPr>
        <w:ind w:firstLine="409"/>
        <w:spacing w:after="0" w:line="293"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Pro Rata Allocation of Shares</w:t>
      </w:r>
      <w:r>
        <w:rPr>
          <w:rFonts w:ascii="Arial" w:cs="Arial" w:eastAsia="Arial" w:hAnsi="Arial"/>
          <w:sz w:val="15"/>
          <w:szCs w:val="15"/>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00"/>
          </w:cols>
          <w:pgMar w:left="820" w:top="265" w:right="879" w:bottom="1440" w:gutter="0" w:footer="0" w:header="0"/>
        </w:sectPr>
      </w:pPr>
    </w:p>
    <w:bookmarkStart w:id="420" w:name="page421"/>
    <w:bookmarkEnd w:id="4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Participants for whom rights to purchase Common Stock are to be exercised pursuant to this Article VI on such Purchase Date, and shall either</w:t>
      </w:r>
    </w:p>
    <w:p>
      <w:pPr>
        <w:spacing w:after="0" w:line="29" w:lineRule="exact"/>
        <w:rPr>
          <w:sz w:val="20"/>
          <w:szCs w:val="20"/>
          <w:color w:val="auto"/>
        </w:rPr>
      </w:pPr>
    </w:p>
    <w:p>
      <w:pPr>
        <w:ind w:right="80" w:firstLine="3"/>
        <w:spacing w:after="0" w:line="267" w:lineRule="auto"/>
        <w:tabs>
          <w:tab w:leader="none" w:pos="2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w:t>
      </w:r>
    </w:p>
    <w:p>
      <w:pPr>
        <w:spacing w:after="0" w:line="69" w:lineRule="exact"/>
        <w:rPr>
          <w:sz w:val="20"/>
          <w:szCs w:val="20"/>
          <w:color w:val="auto"/>
        </w:rPr>
      </w:pPr>
    </w:p>
    <w:p>
      <w:pPr>
        <w:ind w:right="20" w:firstLine="409"/>
        <w:spacing w:after="0" w:line="250"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Withholding</w:t>
      </w:r>
      <w:r>
        <w:rPr>
          <w:rFonts w:ascii="Arial" w:cs="Arial" w:eastAsia="Arial" w:hAnsi="Arial"/>
          <w:sz w:val="17"/>
          <w:szCs w:val="17"/>
          <w:color w:val="auto"/>
        </w:rPr>
        <w:t>. At the time a Participant’s rights under the Plan are exercised, in whole or in part, or at the time some or all of the Common Stock issued under the Plan is disposed of, the Participant must make adequate provision for the Company’s federal, state, or other tax withholding obligations, if any, that arise upon the exercise of the right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Participant.</w:t>
      </w:r>
    </w:p>
    <w:p>
      <w:pPr>
        <w:spacing w:after="0" w:line="84" w:lineRule="exact"/>
        <w:rPr>
          <w:sz w:val="20"/>
          <w:szCs w:val="20"/>
          <w:color w:val="auto"/>
        </w:rPr>
      </w:pPr>
    </w:p>
    <w:p>
      <w:pPr>
        <w:ind w:firstLine="409"/>
        <w:spacing w:after="0" w:line="335"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Conditions to Issuance of Common Stock</w:t>
      </w:r>
      <w:r>
        <w:rPr>
          <w:rFonts w:ascii="Arial" w:cs="Arial" w:eastAsia="Arial" w:hAnsi="Arial"/>
          <w:sz w:val="15"/>
          <w:szCs w:val="15"/>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21" w:lineRule="exact"/>
        <w:rPr>
          <w:sz w:val="20"/>
          <w:szCs w:val="20"/>
          <w:color w:val="auto"/>
        </w:rPr>
      </w:pPr>
    </w:p>
    <w:p>
      <w:pPr>
        <w:ind w:left="1160" w:hanging="236"/>
        <w:spacing w:after="0"/>
        <w:tabs>
          <w:tab w:leader="none" w:pos="11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admission of such Shares to listing on all stock exchanges, if any, on which the Common Stock is then listed;</w:t>
      </w:r>
    </w:p>
    <w:p>
      <w:pPr>
        <w:spacing w:after="0" w:line="105" w:lineRule="exact"/>
        <w:rPr>
          <w:rFonts w:ascii="Arial" w:cs="Arial" w:eastAsia="Arial" w:hAnsi="Arial"/>
          <w:sz w:val="17"/>
          <w:szCs w:val="17"/>
          <w:color w:val="auto"/>
        </w:rPr>
      </w:pPr>
    </w:p>
    <w:p>
      <w:pPr>
        <w:ind w:right="660" w:firstLine="924"/>
        <w:spacing w:after="0" w:line="257" w:lineRule="auto"/>
        <w:tabs>
          <w:tab w:leader="none" w:pos="1159"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74" w:lineRule="exact"/>
        <w:rPr>
          <w:rFonts w:ascii="Arial" w:cs="Arial" w:eastAsia="Arial" w:hAnsi="Arial"/>
          <w:sz w:val="17"/>
          <w:szCs w:val="17"/>
          <w:color w:val="auto"/>
        </w:rPr>
      </w:pPr>
    </w:p>
    <w:p>
      <w:pPr>
        <w:ind w:right="360" w:firstLine="924"/>
        <w:spacing w:after="0" w:line="268" w:lineRule="auto"/>
        <w:tabs>
          <w:tab w:leader="none" w:pos="1149"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obtaining of any approval or other clearance from any state or federal governmental agency that the Administrator shall, in its absolute discretion, determine to be necessary or advisable;</w:t>
      </w:r>
    </w:p>
    <w:p>
      <w:pPr>
        <w:spacing w:after="0" w:line="65" w:lineRule="exact"/>
        <w:rPr>
          <w:rFonts w:ascii="Arial" w:cs="Arial" w:eastAsia="Arial" w:hAnsi="Arial"/>
          <w:sz w:val="17"/>
          <w:szCs w:val="17"/>
          <w:color w:val="auto"/>
        </w:rPr>
      </w:pPr>
    </w:p>
    <w:p>
      <w:pPr>
        <w:ind w:left="1160" w:hanging="236"/>
        <w:spacing w:after="0"/>
        <w:tabs>
          <w:tab w:leader="none" w:pos="1160" w:val="left"/>
        </w:tabs>
        <w:numPr>
          <w:ilvl w:val="0"/>
          <w:numId w:val="344"/>
        </w:numPr>
        <w:rPr>
          <w:rFonts w:ascii="Arial" w:cs="Arial" w:eastAsia="Arial" w:hAnsi="Arial"/>
          <w:sz w:val="15"/>
          <w:szCs w:val="15"/>
          <w:color w:val="auto"/>
        </w:rPr>
      </w:pPr>
      <w:r>
        <w:rPr>
          <w:rFonts w:ascii="Arial" w:cs="Arial" w:eastAsia="Arial" w:hAnsi="Arial"/>
          <w:sz w:val="15"/>
          <w:szCs w:val="15"/>
          <w:color w:val="auto"/>
        </w:rPr>
        <w:t>The payment to the Company of all amounts that it is required to withhold under federal, state or local law upon exercise of the rights,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if any; and</w:t>
      </w:r>
    </w:p>
    <w:p>
      <w:pPr>
        <w:spacing w:after="0" w:line="5" w:lineRule="exact"/>
        <w:rPr>
          <w:rFonts w:ascii="Arial" w:cs="Arial" w:eastAsia="Arial" w:hAnsi="Arial"/>
          <w:sz w:val="15"/>
          <w:szCs w:val="15"/>
          <w:color w:val="auto"/>
        </w:rPr>
      </w:pPr>
    </w:p>
    <w:p>
      <w:pPr>
        <w:ind w:right="240" w:firstLine="1846"/>
        <w:spacing w:after="0" w:line="253" w:lineRule="auto"/>
        <w:tabs>
          <w:tab w:leader="none" w:pos="2071" w:val="left"/>
        </w:tabs>
        <w:numPr>
          <w:ilvl w:val="1"/>
          <w:numId w:val="344"/>
        </w:numPr>
        <w:rPr>
          <w:rFonts w:ascii="Arial" w:cs="Arial" w:eastAsia="Arial" w:hAnsi="Arial"/>
          <w:sz w:val="17"/>
          <w:szCs w:val="17"/>
          <w:color w:val="auto"/>
        </w:rPr>
      </w:pPr>
      <w:r>
        <w:rPr>
          <w:rFonts w:ascii="Arial" w:cs="Arial" w:eastAsia="Arial" w:hAnsi="Arial"/>
          <w:sz w:val="17"/>
          <w:szCs w:val="17"/>
          <w:color w:val="auto"/>
        </w:rPr>
        <w:t>The lapse of such reasonable period of time following the exercise of the rights as the Administrator may from time to time establish for reasons of administrative convenience.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WITHDRAWAL; CESSATION OF ELIGIBILITY</w:t>
      </w:r>
    </w:p>
    <w:p>
      <w:pPr>
        <w:spacing w:after="0" w:line="194" w:lineRule="exact"/>
        <w:rPr>
          <w:sz w:val="20"/>
          <w:szCs w:val="20"/>
          <w:color w:val="auto"/>
        </w:rPr>
      </w:pPr>
    </w:p>
    <w:p>
      <w:pPr>
        <w:ind w:right="80" w:firstLine="409"/>
        <w:spacing w:after="0" w:line="26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Withdrawal</w:t>
      </w:r>
      <w:r>
        <w:rPr>
          <w:rFonts w:ascii="Arial" w:cs="Arial" w:eastAsia="Arial" w:hAnsi="Arial"/>
          <w:sz w:val="16"/>
          <w:szCs w:val="16"/>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timely delivers to the Company a new subscription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5" w:right="839" w:bottom="1440" w:gutter="0" w:footer="0" w:header="0"/>
        </w:sectPr>
      </w:pPr>
    </w:p>
    <w:bookmarkStart w:id="421" w:name="page422"/>
    <w:bookmarkEnd w:id="421"/>
    <w:p>
      <w:pPr>
        <w:jc w:val="both"/>
        <w:ind w:right="160" w:firstLine="40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7.2 </w:t>
      </w:r>
      <w:r>
        <w:rPr>
          <w:rFonts w:ascii="Arial" w:cs="Arial" w:eastAsia="Arial" w:hAnsi="Arial"/>
          <w:sz w:val="17"/>
          <w:szCs w:val="17"/>
          <w:u w:val="single" w:color="auto"/>
          <w:color w:val="auto"/>
        </w:rPr>
        <w:t>Future Participation</w:t>
      </w:r>
      <w:r>
        <w:rPr>
          <w:rFonts w:ascii="Arial" w:cs="Arial" w:eastAsia="Arial" w:hAnsi="Arial"/>
          <w:sz w:val="17"/>
          <w:szCs w:val="17"/>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75" w:lineRule="exact"/>
        <w:rPr>
          <w:sz w:val="20"/>
          <w:szCs w:val="20"/>
          <w:color w:val="auto"/>
        </w:rPr>
      </w:pPr>
    </w:p>
    <w:p>
      <w:pPr>
        <w:jc w:val="both"/>
        <w:ind w:right="40" w:firstLine="409"/>
        <w:spacing w:after="0" w:line="274"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Cessation of Eligibility</w:t>
      </w:r>
      <w:r>
        <w:rPr>
          <w:rFonts w:ascii="Arial" w:cs="Arial" w:eastAsia="Arial" w:hAnsi="Arial"/>
          <w:sz w:val="16"/>
          <w:szCs w:val="16"/>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ADJUSTMENTS UPON CHANGES IN STOCK</w:t>
      </w:r>
    </w:p>
    <w:p>
      <w:pPr>
        <w:spacing w:after="0" w:line="194" w:lineRule="exact"/>
        <w:rPr>
          <w:sz w:val="20"/>
          <w:szCs w:val="20"/>
          <w:color w:val="auto"/>
        </w:rPr>
      </w:pPr>
    </w:p>
    <w:p>
      <w:pPr>
        <w:ind w:firstLine="409"/>
        <w:spacing w:after="0" w:line="285"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Changes in Capitalization</w:t>
      </w:r>
      <w:r>
        <w:rPr>
          <w:rFonts w:ascii="Arial" w:cs="Arial" w:eastAsia="Arial" w:hAnsi="Arial"/>
          <w:sz w:val="15"/>
          <w:szCs w:val="15"/>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57" w:lineRule="exact"/>
        <w:rPr>
          <w:sz w:val="20"/>
          <w:szCs w:val="20"/>
          <w:color w:val="auto"/>
        </w:rPr>
      </w:pPr>
    </w:p>
    <w:p>
      <w:pPr>
        <w:ind w:right="200" w:firstLine="409"/>
        <w:spacing w:after="0" w:line="250"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Other Adjustments</w:t>
      </w:r>
      <w:r>
        <w:rPr>
          <w:rFonts w:ascii="Arial" w:cs="Arial" w:eastAsia="Arial" w:hAnsi="Arial"/>
          <w:sz w:val="17"/>
          <w:szCs w:val="17"/>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81" w:lineRule="exact"/>
        <w:rPr>
          <w:sz w:val="20"/>
          <w:szCs w:val="20"/>
          <w:color w:val="auto"/>
        </w:rPr>
      </w:pPr>
    </w:p>
    <w:p>
      <w:pPr>
        <w:jc w:val="both"/>
        <w:ind w:right="60" w:firstLine="924"/>
        <w:spacing w:after="0" w:line="257" w:lineRule="auto"/>
        <w:tabs>
          <w:tab w:leader="none" w:pos="1149"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20"/>
          </w:cols>
          <w:pgMar w:left="820" w:top="265" w:right="859" w:bottom="1440" w:gutter="0" w:footer="0" w:header="0"/>
        </w:sectPr>
      </w:pPr>
    </w:p>
    <w:bookmarkStart w:id="422" w:name="page423"/>
    <w:bookmarkEnd w:id="422"/>
    <w:p>
      <w:pPr>
        <w:ind w:right="420" w:firstLine="924"/>
        <w:spacing w:after="0" w:line="257" w:lineRule="auto"/>
        <w:tabs>
          <w:tab w:leader="none" w:pos="1159" w:val="left"/>
        </w:tabs>
        <w:numPr>
          <w:ilvl w:val="0"/>
          <w:numId w:val="3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74" w:lineRule="exact"/>
        <w:rPr>
          <w:rFonts w:ascii="Arial" w:cs="Arial" w:eastAsia="Arial" w:hAnsi="Arial"/>
          <w:sz w:val="17"/>
          <w:szCs w:val="17"/>
          <w:color w:val="auto"/>
        </w:rPr>
      </w:pPr>
    </w:p>
    <w:p>
      <w:pPr>
        <w:ind w:right="340" w:firstLine="924"/>
        <w:spacing w:after="0" w:line="268" w:lineRule="auto"/>
        <w:tabs>
          <w:tab w:leader="none" w:pos="1149"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65" w:lineRule="exact"/>
        <w:rPr>
          <w:rFonts w:ascii="Arial" w:cs="Arial" w:eastAsia="Arial" w:hAnsi="Arial"/>
          <w:sz w:val="17"/>
          <w:szCs w:val="17"/>
          <w:color w:val="auto"/>
        </w:rPr>
      </w:pPr>
    </w:p>
    <w:p>
      <w:pPr>
        <w:ind w:right="100" w:firstLine="924"/>
        <w:spacing w:after="0" w:line="257" w:lineRule="auto"/>
        <w:tabs>
          <w:tab w:leader="none" w:pos="1159"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spacing w:after="0" w:line="74" w:lineRule="exact"/>
        <w:rPr>
          <w:rFonts w:ascii="Arial" w:cs="Arial" w:eastAsia="Arial" w:hAnsi="Arial"/>
          <w:sz w:val="17"/>
          <w:szCs w:val="17"/>
          <w:color w:val="auto"/>
        </w:rPr>
      </w:pPr>
    </w:p>
    <w:p>
      <w:pPr>
        <w:ind w:left="1160" w:hanging="236"/>
        <w:spacing w:after="0"/>
        <w:tabs>
          <w:tab w:leader="none" w:pos="116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To provide that all outstanding rights shall terminate without being exercised.</w:t>
      </w:r>
    </w:p>
    <w:p>
      <w:pPr>
        <w:spacing w:after="0" w:line="106" w:lineRule="exact"/>
        <w:rPr>
          <w:sz w:val="20"/>
          <w:szCs w:val="20"/>
          <w:color w:val="auto"/>
        </w:rPr>
      </w:pPr>
    </w:p>
    <w:p>
      <w:pPr>
        <w:ind w:right="40" w:firstLine="409"/>
        <w:spacing w:after="0" w:line="335"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No Adjustment Under Certain Circumstances</w:t>
      </w:r>
      <w:r>
        <w:rPr>
          <w:rFonts w:ascii="Arial" w:cs="Arial" w:eastAsia="Arial" w:hAnsi="Arial"/>
          <w:sz w:val="15"/>
          <w:szCs w:val="15"/>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21" w:lineRule="exact"/>
        <w:rPr>
          <w:sz w:val="20"/>
          <w:szCs w:val="20"/>
          <w:color w:val="auto"/>
        </w:rPr>
      </w:pPr>
    </w:p>
    <w:p>
      <w:pPr>
        <w:ind w:right="120" w:firstLine="409"/>
        <w:spacing w:after="0" w:line="269"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No Other Rights</w:t>
      </w:r>
      <w:r>
        <w:rPr>
          <w:rFonts w:ascii="Arial" w:cs="Arial" w:eastAsia="Arial" w:hAnsi="Arial"/>
          <w:sz w:val="16"/>
          <w:szCs w:val="16"/>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MODIFICATION AND TERMINATION</w:t>
      </w:r>
    </w:p>
    <w:p>
      <w:pPr>
        <w:spacing w:after="0" w:line="194" w:lineRule="exact"/>
        <w:rPr>
          <w:sz w:val="20"/>
          <w:szCs w:val="20"/>
          <w:color w:val="auto"/>
        </w:rPr>
      </w:pPr>
    </w:p>
    <w:p>
      <w:pPr>
        <w:ind w:firstLine="409"/>
        <w:spacing w:after="0" w:line="293"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Amendment, Modification and Termination</w:t>
      </w:r>
      <w:r>
        <w:rPr>
          <w:rFonts w:ascii="Arial" w:cs="Arial" w:eastAsia="Arial" w:hAnsi="Arial"/>
          <w:sz w:val="15"/>
          <w:szCs w:val="15"/>
          <w:color w:val="auto"/>
        </w:rPr>
        <w:t xml:space="preserve">. The Administrator may amend, suspend or terminate the Plan at any time and from time to time;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corporations or classes of corporations whose employees may be granted rights under the Plan; or (c) change the Plan in any manner that would cause the Plan to no longer be an “employee stock purchase plan” within the meaning of Section 423(b) of the Code.</w:t>
      </w:r>
    </w:p>
    <w:p>
      <w:pPr>
        <w:spacing w:after="0" w:line="52" w:lineRule="exact"/>
        <w:rPr>
          <w:sz w:val="20"/>
          <w:szCs w:val="20"/>
          <w:color w:val="auto"/>
        </w:rPr>
      </w:pPr>
    </w:p>
    <w:p>
      <w:pPr>
        <w:ind w:right="20" w:firstLine="409"/>
        <w:spacing w:after="0" w:line="26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Certain Changes to Plan</w:t>
      </w:r>
      <w:r>
        <w:rPr>
          <w:rFonts w:ascii="Arial" w:cs="Arial" w:eastAsia="Arial" w:hAnsi="Arial"/>
          <w:sz w:val="16"/>
          <w:szCs w:val="16"/>
          <w:color w:val="auto"/>
        </w:rPr>
        <w:t>. Without stockholder consent and without regard to whether any Participant rights may be considered to have been adversely affected, to the extent permitted by Section 423 of the Code, the Administrator shall be entitled to change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40"/>
          </w:cols>
          <w:pgMar w:left="820" w:top="265" w:right="839" w:bottom="1440" w:gutter="0" w:footer="0" w:header="0"/>
        </w:sectPr>
      </w:pPr>
    </w:p>
    <w:bookmarkStart w:id="423" w:name="page424"/>
    <w:bookmarkEnd w:id="423"/>
    <w:p>
      <w:pPr>
        <w:ind w:right="120" w:firstLine="409"/>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9.3 </w:t>
      </w:r>
      <w:r>
        <w:rPr>
          <w:rFonts w:ascii="Arial" w:cs="Arial" w:eastAsia="Arial" w:hAnsi="Arial"/>
          <w:sz w:val="16"/>
          <w:szCs w:val="16"/>
          <w:u w:val="single" w:color="auto"/>
          <w:color w:val="auto"/>
        </w:rPr>
        <w:t>Actions In the Event of Unfavorable Financial Accounting Consequences</w:t>
      </w:r>
      <w:r>
        <w:rPr>
          <w:rFonts w:ascii="Arial" w:cs="Arial" w:eastAsia="Arial" w:hAnsi="Arial"/>
          <w:sz w:val="16"/>
          <w:szCs w:val="16"/>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59" w:lineRule="exact"/>
        <w:rPr>
          <w:sz w:val="20"/>
          <w:szCs w:val="20"/>
          <w:color w:val="auto"/>
        </w:rPr>
      </w:pPr>
    </w:p>
    <w:p>
      <w:pPr>
        <w:ind w:left="1160" w:hanging="236"/>
        <w:spacing w:after="0"/>
        <w:tabs>
          <w:tab w:leader="none" w:pos="1160" w:val="left"/>
        </w:tabs>
        <w:numPr>
          <w:ilvl w:val="0"/>
          <w:numId w:val="347"/>
        </w:numPr>
        <w:rPr>
          <w:rFonts w:ascii="Arial" w:cs="Arial" w:eastAsia="Arial" w:hAnsi="Arial"/>
          <w:sz w:val="15"/>
          <w:szCs w:val="15"/>
          <w:color w:val="auto"/>
        </w:rPr>
      </w:pPr>
      <w:r>
        <w:rPr>
          <w:rFonts w:ascii="Arial" w:cs="Arial" w:eastAsia="Arial" w:hAnsi="Arial"/>
          <w:sz w:val="15"/>
          <w:szCs w:val="15"/>
          <w:color w:val="auto"/>
        </w:rPr>
        <w:t>altering the Purchase Price for any Offering Period including an Offering Period underway at the time of the change in Purchase Price;</w:t>
      </w:r>
    </w:p>
    <w:p>
      <w:pPr>
        <w:spacing w:after="0" w:line="128" w:lineRule="exact"/>
        <w:rPr>
          <w:rFonts w:ascii="Arial" w:cs="Arial" w:eastAsia="Arial" w:hAnsi="Arial"/>
          <w:sz w:val="15"/>
          <w:szCs w:val="15"/>
          <w:color w:val="auto"/>
        </w:rPr>
      </w:pPr>
    </w:p>
    <w:p>
      <w:pPr>
        <w:ind w:right="60" w:firstLine="924"/>
        <w:spacing w:after="0" w:line="268" w:lineRule="auto"/>
        <w:tabs>
          <w:tab w:leader="none" w:pos="1159" w:val="left"/>
        </w:tabs>
        <w:numPr>
          <w:ilvl w:val="0"/>
          <w:numId w:val="347"/>
        </w:numPr>
        <w:rPr>
          <w:rFonts w:ascii="Arial" w:cs="Arial" w:eastAsia="Arial" w:hAnsi="Arial"/>
          <w:sz w:val="17"/>
          <w:szCs w:val="17"/>
          <w:color w:val="auto"/>
        </w:rPr>
      </w:pPr>
      <w:r>
        <w:rPr>
          <w:rFonts w:ascii="Arial" w:cs="Arial" w:eastAsia="Arial" w:hAnsi="Arial"/>
          <w:sz w:val="17"/>
          <w:szCs w:val="17"/>
          <w:color w:val="auto"/>
        </w:rPr>
        <w:t>shortening any Offering Period so that the Offering Period ends on a new Purchase Date, including an Offering Period underway at the time of the Administrator action; and</w:t>
      </w:r>
    </w:p>
    <w:p>
      <w:pPr>
        <w:spacing w:after="0" w:line="65" w:lineRule="exact"/>
        <w:rPr>
          <w:rFonts w:ascii="Arial" w:cs="Arial" w:eastAsia="Arial" w:hAnsi="Arial"/>
          <w:sz w:val="17"/>
          <w:szCs w:val="17"/>
          <w:color w:val="auto"/>
        </w:rPr>
      </w:pPr>
    </w:p>
    <w:p>
      <w:pPr>
        <w:ind w:left="1160" w:hanging="236"/>
        <w:spacing w:after="0"/>
        <w:tabs>
          <w:tab w:leader="none" w:pos="116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allocating Shares.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Such modifications or amendments shall not require stockholder approval or the consent of any Participant.</w:t>
      </w:r>
    </w:p>
    <w:p>
      <w:pPr>
        <w:spacing w:after="0" w:line="106" w:lineRule="exact"/>
        <w:rPr>
          <w:sz w:val="20"/>
          <w:szCs w:val="20"/>
          <w:color w:val="auto"/>
        </w:rPr>
      </w:pPr>
    </w:p>
    <w:p>
      <w:pPr>
        <w:ind w:right="40" w:firstLine="409"/>
        <w:spacing w:after="0" w:line="268"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Payments Upon Termination of Plan</w:t>
      </w:r>
      <w:r>
        <w:rPr>
          <w:rFonts w:ascii="Arial" w:cs="Arial" w:eastAsia="Arial" w:hAnsi="Arial"/>
          <w:sz w:val="17"/>
          <w:szCs w:val="17"/>
          <w:color w:val="auto"/>
        </w:rPr>
        <w:t>. Upon termination of the Plan, the balance in each Participant’s Plan account shall be refunded as soon as practicable after such termination, without any interest thereon.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 OF PLAN</w:t>
      </w:r>
    </w:p>
    <w:p>
      <w:pPr>
        <w:spacing w:after="0" w:line="194" w:lineRule="exact"/>
        <w:rPr>
          <w:sz w:val="20"/>
          <w:szCs w:val="20"/>
          <w:color w:val="auto"/>
        </w:rPr>
      </w:pPr>
    </w:p>
    <w:p>
      <w:pPr>
        <w:ind w:right="160" w:firstLine="409"/>
        <w:spacing w:after="0" w:line="307" w:lineRule="auto"/>
        <w:rPr>
          <w:sz w:val="20"/>
          <w:szCs w:val="20"/>
          <w:color w:val="auto"/>
        </w:rPr>
      </w:pPr>
      <w:r>
        <w:rPr>
          <w:rFonts w:ascii="Arial" w:cs="Arial" w:eastAsia="Arial" w:hAnsi="Arial"/>
          <w:sz w:val="15"/>
          <w:szCs w:val="15"/>
          <w:color w:val="auto"/>
        </w:rPr>
        <w:t>The Plan shall be effective on the Effective Date. The effectiveness of the Plan shall be subject to approval of the Plan by the stockholders of the Company within twelve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ADMINISTRATION</w:t>
      </w:r>
    </w:p>
    <w:p>
      <w:pPr>
        <w:spacing w:after="0" w:line="194"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Administrator</w:t>
      </w:r>
      <w:r>
        <w:rPr>
          <w:rFonts w:ascii="Arial" w:cs="Arial" w:eastAsia="Arial" w:hAnsi="Arial"/>
          <w:sz w:val="17"/>
          <w:szCs w:val="17"/>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The Board may at any time vest in the Board any authority or duties for administration of the Plan.</w:t>
      </w:r>
    </w:p>
    <w:p>
      <w:pPr>
        <w:spacing w:after="0" w:line="75" w:lineRule="exact"/>
        <w:rPr>
          <w:sz w:val="20"/>
          <w:szCs w:val="20"/>
          <w:color w:val="auto"/>
        </w:rPr>
      </w:pPr>
    </w:p>
    <w:p>
      <w:pPr>
        <w:ind w:right="160" w:firstLine="409"/>
        <w:spacing w:after="0" w:line="290"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u w:val="single" w:color="auto"/>
          <w:color w:val="auto"/>
        </w:rPr>
        <w:t>Action by the Administrator</w:t>
      </w:r>
      <w:r>
        <w:rPr>
          <w:rFonts w:ascii="Arial" w:cs="Arial" w:eastAsia="Arial" w:hAnsi="Arial"/>
          <w:sz w:val="15"/>
          <w:szCs w:val="15"/>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administration of the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40"/>
          </w:cols>
          <w:pgMar w:left="820" w:top="264" w:right="839" w:bottom="1440" w:gutter="0" w:footer="0" w:header="0"/>
        </w:sectPr>
      </w:pPr>
    </w:p>
    <w:bookmarkStart w:id="424" w:name="page425"/>
    <w:bookmarkEnd w:id="424"/>
    <w:p>
      <w:pPr>
        <w:ind w:left="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11.3 </w:t>
      </w:r>
      <w:r>
        <w:rPr>
          <w:rFonts w:ascii="Arial" w:cs="Arial" w:eastAsia="Arial" w:hAnsi="Arial"/>
          <w:sz w:val="15"/>
          <w:szCs w:val="15"/>
          <w:u w:val="single" w:color="auto"/>
          <w:color w:val="auto"/>
        </w:rPr>
        <w:t>Authority of Administrator</w:t>
      </w:r>
      <w:r>
        <w:rPr>
          <w:rFonts w:ascii="Arial" w:cs="Arial" w:eastAsia="Arial" w:hAnsi="Arial"/>
          <w:sz w:val="15"/>
          <w:szCs w:val="15"/>
          <w:color w:val="auto"/>
        </w:rPr>
        <w:t>. The Administrator shall have the power, subject to, and within the limitations of, the express provisions of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94" w:lineRule="exact"/>
        <w:rPr>
          <w:sz w:val="20"/>
          <w:szCs w:val="20"/>
          <w:color w:val="auto"/>
        </w:rPr>
      </w:pPr>
    </w:p>
    <w:p>
      <w:pPr>
        <w:ind w:right="440" w:firstLine="924"/>
        <w:spacing w:after="0" w:line="268" w:lineRule="auto"/>
        <w:tabs>
          <w:tab w:leader="none" w:pos="1149"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To determine when and how rights to purchase Common Stock shall be granted and the provisions of each offering of such rights (which need not be identical).</w:t>
      </w:r>
    </w:p>
    <w:p>
      <w:pPr>
        <w:spacing w:after="0" w:line="65" w:lineRule="exact"/>
        <w:rPr>
          <w:rFonts w:ascii="Arial" w:cs="Arial" w:eastAsia="Arial" w:hAnsi="Arial"/>
          <w:sz w:val="17"/>
          <w:szCs w:val="17"/>
          <w:color w:val="auto"/>
        </w:rPr>
      </w:pPr>
    </w:p>
    <w:p>
      <w:pPr>
        <w:ind w:right="140" w:firstLine="924"/>
        <w:spacing w:after="0" w:line="268" w:lineRule="auto"/>
        <w:tabs>
          <w:tab w:leader="none" w:pos="1159"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To designate from time to time which Subsidiaries of the Company shall be Designated Subsidiaries, which designation may be made without the approval of the stockholders of the Company.</w:t>
      </w:r>
    </w:p>
    <w:p>
      <w:pPr>
        <w:spacing w:after="0" w:line="65" w:lineRule="exact"/>
        <w:rPr>
          <w:rFonts w:ascii="Arial" w:cs="Arial" w:eastAsia="Arial" w:hAnsi="Arial"/>
          <w:sz w:val="17"/>
          <w:szCs w:val="17"/>
          <w:color w:val="auto"/>
        </w:rPr>
      </w:pPr>
    </w:p>
    <w:p>
      <w:pPr>
        <w:ind w:right="220" w:firstLine="924"/>
        <w:spacing w:after="0" w:line="257" w:lineRule="auto"/>
        <w:tabs>
          <w:tab w:leader="none" w:pos="1149"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74" w:lineRule="exact"/>
        <w:rPr>
          <w:rFonts w:ascii="Arial" w:cs="Arial" w:eastAsia="Arial" w:hAnsi="Arial"/>
          <w:sz w:val="17"/>
          <w:szCs w:val="17"/>
          <w:color w:val="auto"/>
        </w:rPr>
      </w:pPr>
    </w:p>
    <w:p>
      <w:pPr>
        <w:ind w:left="1160" w:hanging="236"/>
        <w:spacing w:after="0"/>
        <w:tabs>
          <w:tab w:leader="none" w:pos="116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To amend, suspend or terminate the Plan as provided in Article IX.</w:t>
      </w:r>
    </w:p>
    <w:p>
      <w:pPr>
        <w:spacing w:after="0" w:line="105" w:lineRule="exact"/>
        <w:rPr>
          <w:rFonts w:ascii="Arial" w:cs="Arial" w:eastAsia="Arial" w:hAnsi="Arial"/>
          <w:sz w:val="17"/>
          <w:szCs w:val="17"/>
          <w:color w:val="auto"/>
        </w:rPr>
      </w:pPr>
    </w:p>
    <w:p>
      <w:pPr>
        <w:ind w:right="300" w:firstLine="924"/>
        <w:spacing w:after="0" w:line="257" w:lineRule="auto"/>
        <w:tabs>
          <w:tab w:leader="none" w:pos="1149" w:val="left"/>
        </w:tabs>
        <w:numPr>
          <w:ilvl w:val="0"/>
          <w:numId w:val="348"/>
        </w:numPr>
        <w:rPr>
          <w:rFonts w:ascii="Arial" w:cs="Arial" w:eastAsia="Arial" w:hAnsi="Arial"/>
          <w:sz w:val="17"/>
          <w:szCs w:val="17"/>
          <w:color w:val="auto"/>
        </w:rPr>
      </w:pPr>
      <w:r>
        <w:rPr>
          <w:rFonts w:ascii="Arial" w:cs="Arial" w:eastAsia="Arial" w:hAnsi="Arial"/>
          <w:sz w:val="17"/>
          <w:szCs w:val="17"/>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75" w:lineRule="exact"/>
        <w:rPr>
          <w:sz w:val="20"/>
          <w:szCs w:val="20"/>
          <w:color w:val="auto"/>
        </w:rPr>
      </w:pPr>
    </w:p>
    <w:p>
      <w:pPr>
        <w:jc w:val="both"/>
        <w:ind w:right="20" w:firstLine="409"/>
        <w:spacing w:after="0" w:line="299"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194" w:lineRule="exact"/>
        <w:rPr>
          <w:sz w:val="20"/>
          <w:szCs w:val="20"/>
          <w:color w:val="auto"/>
        </w:rPr>
      </w:pPr>
    </w:p>
    <w:p>
      <w:pPr>
        <w:jc w:val="both"/>
        <w:ind w:right="40" w:firstLine="409"/>
        <w:spacing w:after="0" w:line="298"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Restriction upon Assignment</w:t>
      </w:r>
      <w:r>
        <w:rPr>
          <w:rFonts w:ascii="Arial" w:cs="Arial" w:eastAsia="Arial" w:hAnsi="Arial"/>
          <w:sz w:val="15"/>
          <w:szCs w:val="15"/>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47" w:lineRule="exact"/>
        <w:rPr>
          <w:sz w:val="20"/>
          <w:szCs w:val="20"/>
          <w:color w:val="auto"/>
        </w:rPr>
      </w:pPr>
    </w:p>
    <w:p>
      <w:pPr>
        <w:ind w:firstLine="409"/>
        <w:spacing w:after="0" w:line="271"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Rights as a Stockholder</w:t>
      </w:r>
      <w:r>
        <w:rPr>
          <w:rFonts w:ascii="Arial" w:cs="Arial" w:eastAsia="Arial" w:hAnsi="Arial"/>
          <w:sz w:val="16"/>
          <w:szCs w:val="16"/>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Interest</w:t>
      </w:r>
      <w:r>
        <w:rPr>
          <w:rFonts w:ascii="Arial" w:cs="Arial" w:eastAsia="Arial" w:hAnsi="Arial"/>
          <w:sz w:val="17"/>
          <w:szCs w:val="17"/>
          <w:color w:val="auto"/>
        </w:rPr>
        <w:t>. No interest shall accrue on the payroll deductions or contributions of a Participant under the Plan.</w:t>
      </w:r>
    </w:p>
    <w:p>
      <w:pPr>
        <w:spacing w:after="0" w:line="14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40"/>
          </w:cols>
          <w:pgMar w:left="820" w:top="265" w:right="839" w:bottom="1440" w:gutter="0" w:footer="0" w:header="0"/>
        </w:sectPr>
      </w:pPr>
    </w:p>
    <w:bookmarkStart w:id="425" w:name="page426"/>
    <w:bookmarkEnd w:id="425"/>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12.4 </w:t>
      </w: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w:t>
      </w:r>
    </w:p>
    <w:p>
      <w:pPr>
        <w:spacing w:after="0" w:line="106" w:lineRule="exact"/>
        <w:rPr>
          <w:sz w:val="20"/>
          <w:szCs w:val="20"/>
          <w:color w:val="auto"/>
        </w:rPr>
      </w:pPr>
    </w:p>
    <w:p>
      <w:pPr>
        <w:ind w:right="20" w:firstLine="924"/>
        <w:spacing w:after="0" w:line="290" w:lineRule="auto"/>
        <w:tabs>
          <w:tab w:leader="none" w:pos="1149" w:val="left"/>
        </w:tabs>
        <w:numPr>
          <w:ilvl w:val="0"/>
          <w:numId w:val="349"/>
        </w:numPr>
        <w:rPr>
          <w:rFonts w:ascii="Arial" w:cs="Arial" w:eastAsia="Arial" w:hAnsi="Arial"/>
          <w:sz w:val="15"/>
          <w:szCs w:val="15"/>
          <w:color w:val="auto"/>
        </w:rPr>
      </w:pPr>
      <w:r>
        <w:rPr>
          <w:rFonts w:ascii="Arial" w:cs="Arial" w:eastAsia="Arial" w:hAnsi="Arial"/>
          <w:sz w:val="15"/>
          <w:szCs w:val="15"/>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54" w:lineRule="exact"/>
        <w:rPr>
          <w:rFonts w:ascii="Arial" w:cs="Arial" w:eastAsia="Arial" w:hAnsi="Arial"/>
          <w:sz w:val="15"/>
          <w:szCs w:val="15"/>
          <w:color w:val="auto"/>
        </w:rPr>
      </w:pPr>
    </w:p>
    <w:p>
      <w:pPr>
        <w:ind w:right="60" w:firstLine="924"/>
        <w:spacing w:after="0" w:line="250" w:lineRule="auto"/>
        <w:tabs>
          <w:tab w:leader="none" w:pos="1159" w:val="left"/>
        </w:tabs>
        <w:numPr>
          <w:ilvl w:val="0"/>
          <w:numId w:val="349"/>
        </w:numPr>
        <w:rPr>
          <w:rFonts w:ascii="Arial" w:cs="Arial" w:eastAsia="Arial" w:hAnsi="Arial"/>
          <w:sz w:val="17"/>
          <w:szCs w:val="17"/>
          <w:color w:val="auto"/>
        </w:rPr>
      </w:pPr>
      <w:r>
        <w:rPr>
          <w:rFonts w:ascii="Arial" w:cs="Arial" w:eastAsia="Arial" w:hAnsi="Arial"/>
          <w:sz w:val="17"/>
          <w:szCs w:val="17"/>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84" w:lineRule="exact"/>
        <w:rPr>
          <w:sz w:val="20"/>
          <w:szCs w:val="20"/>
          <w:color w:val="auto"/>
        </w:rPr>
      </w:pPr>
    </w:p>
    <w:p>
      <w:pPr>
        <w:ind w:right="100" w:firstLine="409"/>
        <w:spacing w:after="0" w:line="257"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75" w:lineRule="exact"/>
        <w:rPr>
          <w:sz w:val="20"/>
          <w:szCs w:val="20"/>
          <w:color w:val="auto"/>
        </w:rPr>
      </w:pPr>
    </w:p>
    <w:p>
      <w:pPr>
        <w:ind w:firstLine="409"/>
        <w:spacing w:after="0" w:line="253"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Equal Rights and Privileges</w:t>
      </w:r>
      <w:r>
        <w:rPr>
          <w:rFonts w:ascii="Arial" w:cs="Arial" w:eastAsia="Arial" w:hAnsi="Arial"/>
          <w:sz w:val="17"/>
          <w:szCs w:val="17"/>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80" w:lineRule="exact"/>
        <w:rPr>
          <w:sz w:val="20"/>
          <w:szCs w:val="20"/>
          <w:color w:val="auto"/>
        </w:rPr>
      </w:pPr>
    </w:p>
    <w:p>
      <w:pPr>
        <w:ind w:right="500" w:firstLine="409"/>
        <w:spacing w:after="0" w:line="268"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Use of Funds</w:t>
      </w:r>
      <w:r>
        <w:rPr>
          <w:rFonts w:ascii="Arial" w:cs="Arial" w:eastAsia="Arial" w:hAnsi="Arial"/>
          <w:sz w:val="17"/>
          <w:szCs w:val="17"/>
          <w:color w:val="auto"/>
        </w:rPr>
        <w:t>. All payroll deductions received or held by the Company under the Plan may be used by the Company for any corporate purpose, and the Company shall not be obligated to segregate such payroll deductions.</w:t>
      </w:r>
    </w:p>
    <w:p>
      <w:pPr>
        <w:spacing w:after="0" w:line="66" w:lineRule="exact"/>
        <w:rPr>
          <w:sz w:val="20"/>
          <w:szCs w:val="20"/>
          <w:color w:val="auto"/>
        </w:rPr>
      </w:pPr>
    </w:p>
    <w:p>
      <w:pPr>
        <w:ind w:right="560" w:firstLine="409"/>
        <w:spacing w:after="0" w:line="268"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Reports</w:t>
      </w:r>
      <w:r>
        <w:rPr>
          <w:rFonts w:ascii="Arial" w:cs="Arial" w:eastAsia="Arial" w:hAnsi="Arial"/>
          <w:sz w:val="17"/>
          <w:szCs w:val="17"/>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66" w:lineRule="exact"/>
        <w:rPr>
          <w:sz w:val="20"/>
          <w:szCs w:val="20"/>
          <w:color w:val="auto"/>
        </w:rPr>
      </w:pPr>
    </w:p>
    <w:p>
      <w:pPr>
        <w:ind w:right="60" w:firstLine="409"/>
        <w:spacing w:after="0" w:line="280"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59" w:lineRule="exact"/>
        <w:rPr>
          <w:sz w:val="20"/>
          <w:szCs w:val="20"/>
          <w:color w:val="auto"/>
        </w:rPr>
      </w:pPr>
    </w:p>
    <w:p>
      <w:pPr>
        <w:ind w:firstLine="409"/>
        <w:spacing w:after="0" w:line="251"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Notice of Disposition of Shares</w:t>
      </w:r>
      <w:r>
        <w:rPr>
          <w:rFonts w:ascii="Arial" w:cs="Arial" w:eastAsia="Arial" w:hAnsi="Arial"/>
          <w:sz w:val="17"/>
          <w:szCs w:val="17"/>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20"/>
          </w:cols>
          <w:pgMar w:left="820" w:top="265" w:right="859" w:bottom="1440" w:gutter="0" w:footer="0" w:header="0"/>
        </w:sectPr>
      </w:pPr>
    </w:p>
    <w:bookmarkStart w:id="426" w:name="page427"/>
    <w:bookmarkEnd w:id="426"/>
    <w:p>
      <w:pPr>
        <w:ind w:firstLine="40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12.11 </w:t>
      </w: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any agreements hereunder shall be administered, interpreted and enforced under the internal laws of the State of Delaware without regard to conflicts of laws thereof or of any other jurisdiction.</w:t>
      </w:r>
    </w:p>
    <w:p>
      <w:pPr>
        <w:spacing w:after="0" w:line="66" w:lineRule="exact"/>
        <w:rPr>
          <w:sz w:val="20"/>
          <w:szCs w:val="20"/>
          <w:color w:val="auto"/>
        </w:rPr>
      </w:pPr>
    </w:p>
    <w:p>
      <w:pPr>
        <w:ind w:right="80" w:firstLine="409"/>
        <w:spacing w:after="0" w:line="253"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u w:val="single" w:color="auto"/>
          <w:color w:val="auto"/>
        </w:rPr>
        <w:t>Electronic Forms</w:t>
      </w:r>
      <w:r>
        <w:rPr>
          <w:rFonts w:ascii="Arial" w:cs="Arial" w:eastAsia="Arial" w:hAnsi="Arial"/>
          <w:sz w:val="17"/>
          <w:szCs w:val="17"/>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00"/>
          </w:cols>
          <w:pgMar w:left="820" w:top="265" w:right="879" w:bottom="1440" w:gutter="0" w:footer="0" w:header="0"/>
        </w:sectPr>
      </w:pPr>
    </w:p>
    <w:bookmarkStart w:id="427" w:name="page428"/>
    <w:bookmarkEnd w:id="427"/>
    <w:p>
      <w:pPr>
        <w:jc w:val="right"/>
        <w:spacing w:after="0"/>
        <w:rPr>
          <w:sz w:val="20"/>
          <w:szCs w:val="20"/>
          <w:color w:val="auto"/>
        </w:rPr>
      </w:pPr>
      <w:r>
        <w:rPr>
          <w:rFonts w:ascii="Arial" w:cs="Arial" w:eastAsia="Arial" w:hAnsi="Arial"/>
          <w:sz w:val="17"/>
          <w:szCs w:val="17"/>
          <w:b w:val="1"/>
          <w:bCs w:val="1"/>
          <w:color w:val="auto"/>
        </w:rPr>
        <w:t>Exhibit 10.6</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3"/>
          <w:szCs w:val="13"/>
          <w:b w:val="1"/>
          <w:bCs w:val="1"/>
          <w:color w:val="auto"/>
        </w:rPr>
        <w:t>YRA</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NDEMNIFICATION</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INDEMNIFICATION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______________, 20[20] between Lyra</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[Name]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WITNESSETH THAT:</w:t>
      </w:r>
    </w:p>
    <w:p>
      <w:pPr>
        <w:spacing w:after="0" w:line="106" w:lineRule="exact"/>
        <w:rPr>
          <w:sz w:val="20"/>
          <w:szCs w:val="20"/>
          <w:color w:val="auto"/>
        </w:rPr>
      </w:pPr>
    </w:p>
    <w:p>
      <w:pPr>
        <w:ind w:right="100" w:firstLine="409"/>
        <w:spacing w:after="0" w:line="257" w:lineRule="auto"/>
        <w:rPr>
          <w:sz w:val="20"/>
          <w:szCs w:val="20"/>
          <w:color w:val="auto"/>
        </w:rPr>
      </w:pPr>
      <w:r>
        <w:rPr>
          <w:rFonts w:ascii="Arial" w:cs="Arial" w:eastAsia="Arial" w:hAnsi="Arial"/>
          <w:sz w:val="17"/>
          <w:szCs w:val="17"/>
          <w:color w:val="auto"/>
        </w:rPr>
        <w:t>WHEREAS, highly competent persons have become more reluctant to serve corporations as directors,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75" w:lineRule="exact"/>
        <w:rPr>
          <w:sz w:val="20"/>
          <w:szCs w:val="20"/>
          <w:color w:val="auto"/>
        </w:rPr>
      </w:pPr>
    </w:p>
    <w:p>
      <w:pPr>
        <w:ind w:firstLine="409"/>
        <w:spacing w:after="0" w:line="265"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of the Company require indemnification of the officers and directors of the Company. Indemnitee may also be entitled to indemnification pursuant to the General Corporation Law of the State of Delaware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The Bylaws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75" w:lineRule="exact"/>
        <w:rPr>
          <w:sz w:val="20"/>
          <w:szCs w:val="20"/>
          <w:color w:val="auto"/>
        </w:rPr>
      </w:pPr>
    </w:p>
    <w:p>
      <w:pPr>
        <w:ind w:right="460" w:firstLine="409"/>
        <w:spacing w:after="0" w:line="268" w:lineRule="auto"/>
        <w:rPr>
          <w:sz w:val="20"/>
          <w:szCs w:val="20"/>
          <w:color w:val="auto"/>
        </w:rPr>
      </w:pPr>
      <w:r>
        <w:rPr>
          <w:rFonts w:ascii="Arial" w:cs="Arial" w:eastAsia="Arial" w:hAnsi="Arial"/>
          <w:sz w:val="17"/>
          <w:szCs w:val="17"/>
          <w:color w:val="auto"/>
        </w:rPr>
        <w:t>WHEREAS, the uncertainties relating to such insurance and to indemnification have increased the difficulty of attracting and retaining such persons;</w:t>
      </w:r>
    </w:p>
    <w:p>
      <w:pPr>
        <w:spacing w:after="0" w:line="166" w:lineRule="exact"/>
        <w:rPr>
          <w:sz w:val="20"/>
          <w:szCs w:val="20"/>
          <w:color w:val="auto"/>
        </w:rPr>
      </w:pPr>
    </w:p>
    <w:p>
      <w:pPr>
        <w:ind w:right="220" w:firstLine="409"/>
        <w:spacing w:after="0" w:line="257" w:lineRule="auto"/>
        <w:rPr>
          <w:sz w:val="20"/>
          <w:szCs w:val="20"/>
          <w:color w:val="auto"/>
        </w:rPr>
      </w:pPr>
      <w:r>
        <w:rPr>
          <w:rFonts w:ascii="Arial" w:cs="Arial" w:eastAsia="Arial" w:hAnsi="Arial"/>
          <w:sz w:val="17"/>
          <w:szCs w:val="17"/>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75" w:lineRule="exact"/>
        <w:rPr>
          <w:sz w:val="20"/>
          <w:szCs w:val="20"/>
          <w:color w:val="auto"/>
        </w:rPr>
      </w:pPr>
    </w:p>
    <w:p>
      <w:pPr>
        <w:ind w:right="300" w:firstLine="409"/>
        <w:spacing w:after="0" w:line="257" w:lineRule="auto"/>
        <w:rPr>
          <w:sz w:val="20"/>
          <w:szCs w:val="20"/>
          <w:color w:val="auto"/>
        </w:rPr>
      </w:pPr>
      <w:r>
        <w:rPr>
          <w:rFonts w:ascii="Arial" w:cs="Arial" w:eastAsia="Arial" w:hAnsi="Arial"/>
          <w:sz w:val="17"/>
          <w:szCs w:val="17"/>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5" w:lineRule="exact"/>
        <w:rPr>
          <w:sz w:val="20"/>
          <w:szCs w:val="20"/>
          <w:color w:val="auto"/>
        </w:rPr>
      </w:pPr>
    </w:p>
    <w:p>
      <w:pPr>
        <w:ind w:right="220" w:firstLine="409"/>
        <w:spacing w:after="0" w:line="299" w:lineRule="auto"/>
        <w:rPr>
          <w:sz w:val="20"/>
          <w:szCs w:val="20"/>
          <w:color w:val="auto"/>
        </w:rPr>
      </w:pPr>
      <w:r>
        <w:rPr>
          <w:rFonts w:ascii="Arial" w:cs="Arial" w:eastAsia="Arial" w:hAnsi="Arial"/>
          <w:sz w:val="16"/>
          <w:szCs w:val="16"/>
          <w:color w:val="auto"/>
        </w:rPr>
        <w:t>WHEREAS, this Agreement is a supplement to and in furtherance of the Bylaws of the Company and any resolutions adopted pursuant thereto, and shall not be deemed a substitute therefor, nor to diminish or abrogate any rights of Indemnitee thereunder; [and]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40"/>
          </w:cols>
          <w:pgMar w:left="820" w:top="122" w:right="839" w:bottom="1440" w:gutter="0" w:footer="0" w:header="0"/>
        </w:sectPr>
      </w:pPr>
    </w:p>
    <w:bookmarkStart w:id="428" w:name="page429"/>
    <w:bookmarkEnd w:id="428"/>
    <w:p>
      <w:pPr>
        <w:ind w:firstLine="409"/>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WHEREAS, Indemnitee does not regard the protection available under the Company’s Bylaws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 [and]</w:t>
      </w:r>
    </w:p>
    <w:p>
      <w:pPr>
        <w:spacing w:after="0" w:line="180" w:lineRule="exact"/>
        <w:rPr>
          <w:sz w:val="20"/>
          <w:szCs w:val="20"/>
          <w:color w:val="auto"/>
        </w:rPr>
      </w:pPr>
    </w:p>
    <w:p>
      <w:pPr>
        <w:jc w:val="both"/>
        <w:ind w:right="20" w:firstLine="409"/>
        <w:spacing w:after="0" w:line="257" w:lineRule="auto"/>
        <w:rPr>
          <w:sz w:val="20"/>
          <w:szCs w:val="20"/>
          <w:color w:val="auto"/>
        </w:rPr>
      </w:pPr>
      <w:r>
        <w:rPr>
          <w:rFonts w:ascii="Arial" w:cs="Arial" w:eastAsia="Arial" w:hAnsi="Arial"/>
          <w:sz w:val="17"/>
          <w:szCs w:val="17"/>
          <w:color w:val="auto"/>
        </w:rPr>
        <w:t>[WHEREAS, Indemnitee has certain rights to indemnification and/or insurance provided by [NAME] which Indemnitee and [NAME]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75" w:lineRule="exact"/>
        <w:rPr>
          <w:sz w:val="20"/>
          <w:szCs w:val="20"/>
          <w:color w:val="auto"/>
        </w:rPr>
      </w:pPr>
    </w:p>
    <w:p>
      <w:pPr>
        <w:ind w:right="420" w:firstLine="409"/>
        <w:spacing w:after="0" w:line="268" w:lineRule="auto"/>
        <w:rPr>
          <w:sz w:val="20"/>
          <w:szCs w:val="20"/>
          <w:color w:val="auto"/>
        </w:rPr>
      </w:pPr>
      <w:r>
        <w:rPr>
          <w:rFonts w:ascii="Arial" w:cs="Arial" w:eastAsia="Arial" w:hAnsi="Arial"/>
          <w:sz w:val="17"/>
          <w:szCs w:val="17"/>
          <w:color w:val="auto"/>
        </w:rPr>
        <w:t>NOW, THEREFORE, in consideration of Indemnitee’s agreement to serve as an officer or director from and after the date hereof, the parties hereto agree as follows:</w:t>
      </w:r>
    </w:p>
    <w:p>
      <w:pPr>
        <w:spacing w:after="0" w:line="66" w:lineRule="exact"/>
        <w:rPr>
          <w:sz w:val="20"/>
          <w:szCs w:val="20"/>
          <w:color w:val="auto"/>
        </w:rPr>
      </w:pPr>
    </w:p>
    <w:p>
      <w:pPr>
        <w:ind w:right="300" w:firstLine="924"/>
        <w:spacing w:after="0" w:line="335" w:lineRule="auto"/>
        <w:tabs>
          <w:tab w:leader="none" w:pos="1089" w:val="left"/>
        </w:tabs>
        <w:numPr>
          <w:ilvl w:val="0"/>
          <w:numId w:val="350"/>
        </w:numPr>
        <w:rPr>
          <w:rFonts w:ascii="Arial" w:cs="Arial" w:eastAsia="Arial" w:hAnsi="Arial"/>
          <w:sz w:val="15"/>
          <w:szCs w:val="15"/>
          <w:color w:val="auto"/>
        </w:rPr>
      </w:pPr>
      <w:r>
        <w:rPr>
          <w:rFonts w:ascii="Arial" w:cs="Arial" w:eastAsia="Arial" w:hAnsi="Arial"/>
          <w:sz w:val="15"/>
          <w:szCs w:val="15"/>
          <w:u w:val="single" w:color="auto"/>
          <w:color w:val="auto"/>
        </w:rPr>
        <w:t>Indemnity of Indemnitee</w:t>
      </w:r>
      <w:r>
        <w:rPr>
          <w:rFonts w:ascii="Arial" w:cs="Arial" w:eastAsia="Arial" w:hAnsi="Arial"/>
          <w:sz w:val="15"/>
          <w:szCs w:val="15"/>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20" w:lineRule="exact"/>
        <w:rPr>
          <w:rFonts w:ascii="Arial" w:cs="Arial" w:eastAsia="Arial" w:hAnsi="Arial"/>
          <w:sz w:val="15"/>
          <w:szCs w:val="15"/>
          <w:color w:val="auto"/>
        </w:rPr>
      </w:pPr>
    </w:p>
    <w:p>
      <w:pPr>
        <w:ind w:right="40" w:firstLine="1334"/>
        <w:spacing w:after="0" w:line="285" w:lineRule="auto"/>
        <w:tabs>
          <w:tab w:leader="none" w:pos="1559" w:val="left"/>
        </w:tabs>
        <w:numPr>
          <w:ilvl w:val="1"/>
          <w:numId w:val="350"/>
        </w:numPr>
        <w:rPr>
          <w:rFonts w:ascii="Arial" w:cs="Arial" w:eastAsia="Arial" w:hAnsi="Arial"/>
          <w:sz w:val="15"/>
          <w:szCs w:val="15"/>
          <w:color w:val="auto"/>
        </w:rPr>
      </w:pPr>
      <w:r>
        <w:rPr>
          <w:rFonts w:ascii="Arial" w:cs="Arial" w:eastAsia="Arial" w:hAnsi="Arial"/>
          <w:sz w:val="15"/>
          <w:szCs w:val="15"/>
          <w:u w:val="single" w:color="auto"/>
          <w:color w:val="auto"/>
        </w:rPr>
        <w:t>Proceedings Other Than Proceedings by or in the Right of the Company</w:t>
      </w:r>
      <w:r>
        <w:rPr>
          <w:rFonts w:ascii="Arial" w:cs="Arial" w:eastAsia="Arial" w:hAnsi="Arial"/>
          <w:sz w:val="15"/>
          <w:szCs w:val="15"/>
          <w:color w:val="auto"/>
        </w:rPr>
        <w:t xml:space="preserve">. Indemnitee shall be entitled to the rights of indemnification provided in this </w:t>
      </w:r>
      <w:r>
        <w:rPr>
          <w:rFonts w:ascii="Arial" w:cs="Arial" w:eastAsia="Arial" w:hAnsi="Arial"/>
          <w:sz w:val="15"/>
          <w:szCs w:val="15"/>
          <w:u w:val="single" w:color="auto"/>
          <w:color w:val="auto"/>
        </w:rPr>
        <w:t>Section l(a)</w:t>
      </w:r>
      <w:r>
        <w:rPr>
          <w:rFonts w:ascii="Arial" w:cs="Arial" w:eastAsia="Arial" w:hAnsi="Arial"/>
          <w:sz w:val="15"/>
          <w:szCs w:val="15"/>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w:t>
      </w:r>
    </w:p>
    <w:p>
      <w:pPr>
        <w:ind w:right="80"/>
        <w:spacing w:after="0" w:line="269" w:lineRule="auto"/>
        <w:rPr>
          <w:rFonts w:ascii="Arial" w:cs="Arial" w:eastAsia="Arial" w:hAnsi="Arial"/>
          <w:sz w:val="15"/>
          <w:szCs w:val="15"/>
          <w:color w:val="auto"/>
        </w:rPr>
      </w:pPr>
      <w:r>
        <w:rPr>
          <w:rFonts w:ascii="Arial" w:cs="Arial" w:eastAsia="Arial" w:hAnsi="Arial"/>
          <w:sz w:val="16"/>
          <w:szCs w:val="16"/>
          <w:u w:val="single" w:color="auto"/>
          <w:color w:val="auto"/>
        </w:rPr>
        <w:t>Section 1(a)</w:t>
      </w:r>
      <w:r>
        <w:rPr>
          <w:rFonts w:ascii="Arial" w:cs="Arial" w:eastAsia="Arial" w:hAnsi="Arial"/>
          <w:sz w:val="16"/>
          <w:szCs w:val="16"/>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66" w:lineRule="exact"/>
        <w:rPr>
          <w:rFonts w:ascii="Arial" w:cs="Arial" w:eastAsia="Arial" w:hAnsi="Arial"/>
          <w:sz w:val="15"/>
          <w:szCs w:val="15"/>
          <w:color w:val="auto"/>
        </w:rPr>
      </w:pPr>
    </w:p>
    <w:p>
      <w:pPr>
        <w:ind w:right="100" w:firstLine="1334"/>
        <w:spacing w:after="0" w:line="267" w:lineRule="auto"/>
        <w:tabs>
          <w:tab w:leader="none" w:pos="1568" w:val="left"/>
        </w:tabs>
        <w:numPr>
          <w:ilvl w:val="1"/>
          <w:numId w:val="350"/>
        </w:numPr>
        <w:rPr>
          <w:rFonts w:ascii="Arial" w:cs="Arial" w:eastAsia="Arial" w:hAnsi="Arial"/>
          <w:sz w:val="16"/>
          <w:szCs w:val="16"/>
          <w:color w:val="auto"/>
        </w:rPr>
      </w:pPr>
      <w:r>
        <w:rPr>
          <w:rFonts w:ascii="Arial" w:cs="Arial" w:eastAsia="Arial" w:hAnsi="Arial"/>
          <w:sz w:val="16"/>
          <w:szCs w:val="16"/>
          <w:u w:val="single" w:color="auto"/>
          <w:color w:val="auto"/>
        </w:rPr>
        <w:t>Proceedings by or in the Right of the Company</w:t>
      </w:r>
      <w:r>
        <w:rPr>
          <w:rFonts w:ascii="Arial" w:cs="Arial" w:eastAsia="Arial" w:hAnsi="Arial"/>
          <w:sz w:val="16"/>
          <w:szCs w:val="16"/>
          <w:color w:val="auto"/>
        </w:rPr>
        <w:t xml:space="preserve">. Indemnitee shall be entitled to the rights of indemnification provided in this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if, by reason of his Corporate Status, the Indemnitee is, or is threatened to be made, a party to or participant in any Proceeding brought by or in the right of the Company. Pursuant to this </w:t>
      </w:r>
      <w:r>
        <w:rPr>
          <w:rFonts w:ascii="Arial" w:cs="Arial" w:eastAsia="Arial" w:hAnsi="Arial"/>
          <w:sz w:val="16"/>
          <w:szCs w:val="16"/>
          <w:u w:val="single" w:color="auto"/>
          <w:color w:val="auto"/>
        </w:rPr>
        <w:t>Section 1(b)</w:t>
      </w:r>
      <w:r>
        <w:rPr>
          <w:rFonts w:ascii="Arial" w:cs="Arial" w:eastAsia="Arial" w:hAnsi="Arial"/>
          <w:sz w:val="16"/>
          <w:szCs w:val="16"/>
          <w:color w:val="auto"/>
        </w:rPr>
        <w:t>,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4" w:right="839" w:bottom="1440" w:gutter="0" w:footer="0" w:header="0"/>
        </w:sectPr>
      </w:pPr>
    </w:p>
    <w:bookmarkStart w:id="429" w:name="page430"/>
    <w:bookmarkEnd w:id="429"/>
    <w:p>
      <w:pPr>
        <w:ind w:firstLine="1334"/>
        <w:spacing w:after="0" w:line="267" w:lineRule="auto"/>
        <w:tabs>
          <w:tab w:leader="none" w:pos="1559" w:val="left"/>
        </w:tabs>
        <w:numPr>
          <w:ilvl w:val="1"/>
          <w:numId w:val="3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Indemnification for Expenses of a Party Who is Wholly or Partly Successful</w:t>
      </w:r>
      <w:r>
        <w:rPr>
          <w:rFonts w:ascii="Arial" w:cs="Arial" w:eastAsia="Arial" w:hAnsi="Arial"/>
          <w:sz w:val="16"/>
          <w:szCs w:val="16"/>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69" w:lineRule="exact"/>
        <w:rPr>
          <w:rFonts w:ascii="Arial" w:cs="Arial" w:eastAsia="Arial" w:hAnsi="Arial"/>
          <w:sz w:val="16"/>
          <w:szCs w:val="16"/>
          <w:color w:val="auto"/>
        </w:rPr>
      </w:pPr>
    </w:p>
    <w:p>
      <w:pPr>
        <w:ind w:right="120" w:firstLine="1334"/>
        <w:spacing w:after="0" w:line="286" w:lineRule="auto"/>
        <w:tabs>
          <w:tab w:leader="none" w:pos="1568" w:val="left"/>
        </w:tabs>
        <w:numPr>
          <w:ilvl w:val="1"/>
          <w:numId w:val="351"/>
        </w:numPr>
        <w:rPr>
          <w:rFonts w:ascii="Arial" w:cs="Arial" w:eastAsia="Arial" w:hAnsi="Arial"/>
          <w:sz w:val="15"/>
          <w:szCs w:val="15"/>
          <w:color w:val="auto"/>
        </w:rPr>
      </w:pPr>
      <w:r>
        <w:rPr>
          <w:rFonts w:ascii="Arial" w:cs="Arial" w:eastAsia="Arial" w:hAnsi="Arial"/>
          <w:sz w:val="15"/>
          <w:szCs w:val="15"/>
          <w:u w:val="single" w:color="auto"/>
          <w:color w:val="auto"/>
        </w:rPr>
        <w:t>Indemnification of Appointing Stockholder.</w:t>
      </w:r>
      <w:r>
        <w:rPr>
          <w:rFonts w:ascii="Arial" w:cs="Arial" w:eastAsia="Arial" w:hAnsi="Arial"/>
          <w:sz w:val="15"/>
          <w:szCs w:val="15"/>
          <w:color w:val="auto"/>
        </w:rPr>
        <w:t xml:space="preserve"> If (i) Indemnitee is or was affiliated with one or more venture capital funds that has invested in the Company (an “</w:t>
      </w:r>
      <w:r>
        <w:rPr>
          <w:rFonts w:ascii="Arial" w:cs="Arial" w:eastAsia="Arial" w:hAnsi="Arial"/>
          <w:sz w:val="15"/>
          <w:szCs w:val="15"/>
          <w:b w:val="1"/>
          <w:bCs w:val="1"/>
          <w:i w:val="1"/>
          <w:iCs w:val="1"/>
          <w:color w:val="auto"/>
        </w:rPr>
        <w:t>Appointing Stockholder</w:t>
      </w:r>
      <w:r>
        <w:rPr>
          <w:rFonts w:ascii="Arial" w:cs="Arial" w:eastAsia="Arial" w:hAnsi="Arial"/>
          <w:sz w:val="15"/>
          <w:szCs w:val="15"/>
          <w:color w:val="auto"/>
        </w:rPr>
        <w:t>”), and (ii) the Appointing Stockholder is, or is threatened to be made, a party to or a participant in any Proceeding relating to or arising by reason of Appointing Stockholder’s position as a stockholder of, or lender to, the Company, or Appointing Stockholder’s appointment of or affiliation with Indemnitee or any other director, including without limitation any alleged misappropriation of a Company asset or corporate opportunity, any claim of misappropriation or infringement of intellectual property relating to the Company, any alleged false or misleading statement or omission made by the Company (or on its behalf) or its employees or agents, or any allegation of inappropriate control or influence over the Company or its Board members, officers, equity holders or debt holders, then the Appointing Stockholder will be entitled to indemnification hereunder for Expenses to the same extent as Indemnitee, and the terms of this Agreement as they relate to procedures for indemnification of Indemnitee and advancement of Expenses shall apply to any such indemnification of Appointing Stockholder.</w:t>
      </w:r>
    </w:p>
    <w:p>
      <w:pPr>
        <w:spacing w:after="0" w:line="58" w:lineRule="exact"/>
        <w:rPr>
          <w:rFonts w:ascii="Arial" w:cs="Arial" w:eastAsia="Arial" w:hAnsi="Arial"/>
          <w:sz w:val="15"/>
          <w:szCs w:val="15"/>
          <w:color w:val="auto"/>
        </w:rPr>
      </w:pPr>
    </w:p>
    <w:p>
      <w:pPr>
        <w:ind w:right="60" w:firstLine="1334"/>
        <w:spacing w:after="0" w:line="290" w:lineRule="auto"/>
        <w:tabs>
          <w:tab w:leader="none" w:pos="1559" w:val="left"/>
        </w:tabs>
        <w:numPr>
          <w:ilvl w:val="1"/>
          <w:numId w:val="351"/>
        </w:numPr>
        <w:rPr>
          <w:rFonts w:ascii="Arial" w:cs="Arial" w:eastAsia="Arial" w:hAnsi="Arial"/>
          <w:sz w:val="15"/>
          <w:szCs w:val="15"/>
          <w:color w:val="auto"/>
        </w:rPr>
      </w:pPr>
      <w:r>
        <w:rPr>
          <w:rFonts w:ascii="Arial" w:cs="Arial" w:eastAsia="Arial" w:hAnsi="Arial"/>
          <w:sz w:val="15"/>
          <w:szCs w:val="15"/>
          <w:color w:val="auto"/>
        </w:rPr>
        <w:t>The rights provided to the Appointing Stockholder under this Section 1(d) shall (i) be suspended during any period during which the Appointing Stockholder does not have a representative on the Company’s Board and (ii) terminate on an initial public offering of the Company’s Common Stock; provided, however, that in the event of any such suspension or termination, the Appointing Stockholder’s rights to indemnification will not be suspended or terminated with respect to any Proceeding based in whole or in part on facts and circumstances occurring at any time prior to such suspension or termination regardless of whether the Proceeding arises before or after such suspension or termination. The Company and Indemnitee agree that the Appointing Stockholder is an express third party beneficiary of the terms of this Section 1(d).</w:t>
      </w:r>
    </w:p>
    <w:p>
      <w:pPr>
        <w:spacing w:after="0" w:line="54" w:lineRule="exact"/>
        <w:rPr>
          <w:rFonts w:ascii="Arial" w:cs="Arial" w:eastAsia="Arial" w:hAnsi="Arial"/>
          <w:sz w:val="15"/>
          <w:szCs w:val="15"/>
          <w:color w:val="auto"/>
        </w:rPr>
      </w:pPr>
    </w:p>
    <w:p>
      <w:pPr>
        <w:ind w:right="60" w:firstLine="412"/>
        <w:spacing w:after="0" w:line="268" w:lineRule="auto"/>
        <w:tabs>
          <w:tab w:leader="none" w:pos="577"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Additional Indemnity</w:t>
      </w:r>
      <w:r>
        <w:rPr>
          <w:rFonts w:ascii="Arial" w:cs="Arial" w:eastAsia="Arial" w:hAnsi="Arial"/>
          <w:sz w:val="16"/>
          <w:szCs w:val="16"/>
          <w:color w:val="auto"/>
        </w:rPr>
        <w:t xml:space="preserve">. In addition to, and without regard to any limitations on, the indemnification provided for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hereof) to be unlawful.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0"/>
          </w:cols>
          <w:pgMar w:left="820" w:top="264" w:right="839" w:bottom="1440" w:gutter="0" w:footer="0" w:header="0"/>
        </w:sectPr>
      </w:pPr>
    </w:p>
    <w:bookmarkStart w:id="430" w:name="page431"/>
    <w:bookmarkEnd w:id="430"/>
    <w:p>
      <w:pPr>
        <w:ind w:left="1060" w:hanging="176"/>
        <w:spacing w:after="0"/>
        <w:tabs>
          <w:tab w:leader="none" w:pos="1060"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Contribution.</w:t>
      </w:r>
    </w:p>
    <w:p>
      <w:pPr>
        <w:spacing w:after="0" w:line="105" w:lineRule="exact"/>
        <w:rPr>
          <w:rFonts w:ascii="Arial" w:cs="Arial" w:eastAsia="Arial" w:hAnsi="Arial"/>
          <w:sz w:val="17"/>
          <w:szCs w:val="17"/>
          <w:color w:val="auto"/>
        </w:rPr>
      </w:pPr>
    </w:p>
    <w:p>
      <w:pPr>
        <w:ind w:left="-40" w:right="120" w:firstLine="1334"/>
        <w:spacing w:after="0" w:line="290" w:lineRule="auto"/>
        <w:tabs>
          <w:tab w:leader="none" w:pos="1519" w:val="left"/>
        </w:tabs>
        <w:numPr>
          <w:ilvl w:val="1"/>
          <w:numId w:val="353"/>
        </w:numPr>
        <w:rPr>
          <w:rFonts w:ascii="Arial" w:cs="Arial" w:eastAsia="Arial" w:hAnsi="Arial"/>
          <w:sz w:val="15"/>
          <w:szCs w:val="15"/>
          <w:color w:val="auto"/>
        </w:rPr>
      </w:pPr>
      <w:r>
        <w:rPr>
          <w:rFonts w:ascii="Arial" w:cs="Arial" w:eastAsia="Arial" w:hAnsi="Arial"/>
          <w:sz w:val="15"/>
          <w:szCs w:val="15"/>
          <w:color w:val="auto"/>
        </w:rPr>
        <w:t xml:space="preserve">Whether or not the indemnification provided in </w:t>
      </w:r>
      <w:r>
        <w:rPr>
          <w:rFonts w:ascii="Arial" w:cs="Arial" w:eastAsia="Arial" w:hAnsi="Arial"/>
          <w:sz w:val="15"/>
          <w:szCs w:val="15"/>
          <w:u w:val="single" w:color="auto"/>
          <w:color w:val="auto"/>
        </w:rPr>
        <w:t>Sections 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w:t>
      </w:r>
      <w:r>
        <w:rPr>
          <w:rFonts w:ascii="Arial" w:cs="Arial" w:eastAsia="Arial" w:hAnsi="Arial"/>
          <w:sz w:val="15"/>
          <w:szCs w:val="15"/>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54" w:lineRule="exact"/>
        <w:rPr>
          <w:rFonts w:ascii="Arial" w:cs="Arial" w:eastAsia="Arial" w:hAnsi="Arial"/>
          <w:sz w:val="15"/>
          <w:szCs w:val="15"/>
          <w:color w:val="auto"/>
        </w:rPr>
      </w:pPr>
    </w:p>
    <w:p>
      <w:pPr>
        <w:ind w:left="-40" w:right="80" w:firstLine="1334"/>
        <w:spacing w:after="0" w:line="283" w:lineRule="auto"/>
        <w:tabs>
          <w:tab w:leader="none" w:pos="1528" w:val="left"/>
        </w:tabs>
        <w:numPr>
          <w:ilvl w:val="1"/>
          <w:numId w:val="353"/>
        </w:numPr>
        <w:rPr>
          <w:rFonts w:ascii="Arial" w:cs="Arial" w:eastAsia="Arial" w:hAnsi="Arial"/>
          <w:sz w:val="15"/>
          <w:szCs w:val="15"/>
          <w:color w:val="auto"/>
        </w:rPr>
      </w:pPr>
      <w:r>
        <w:rPr>
          <w:rFonts w:ascii="Arial" w:cs="Arial" w:eastAsia="Arial" w:hAnsi="Arial"/>
          <w:sz w:val="15"/>
          <w:szCs w:val="15"/>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62" w:lineRule="exact"/>
        <w:rPr>
          <w:rFonts w:ascii="Arial" w:cs="Arial" w:eastAsia="Arial" w:hAnsi="Arial"/>
          <w:sz w:val="15"/>
          <w:szCs w:val="15"/>
          <w:color w:val="auto"/>
        </w:rPr>
      </w:pPr>
    </w:p>
    <w:p>
      <w:pPr>
        <w:ind w:left="-40" w:right="280" w:firstLine="1334"/>
        <w:spacing w:after="0" w:line="299" w:lineRule="auto"/>
        <w:tabs>
          <w:tab w:leader="none" w:pos="1519" w:val="left"/>
        </w:tabs>
        <w:numPr>
          <w:ilvl w:val="1"/>
          <w:numId w:val="353"/>
        </w:numPr>
        <w:rPr>
          <w:rFonts w:ascii="Arial" w:cs="Arial" w:eastAsia="Arial" w:hAnsi="Arial"/>
          <w:sz w:val="16"/>
          <w:szCs w:val="16"/>
          <w:color w:val="auto"/>
        </w:rPr>
      </w:pPr>
      <w:r>
        <w:rPr>
          <w:rFonts w:ascii="Arial" w:cs="Arial" w:eastAsia="Arial" w:hAnsi="Arial"/>
          <w:sz w:val="16"/>
          <w:szCs w:val="16"/>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43" w:lineRule="exact"/>
        <w:rPr>
          <w:rFonts w:ascii="Arial" w:cs="Arial" w:eastAsia="Arial" w:hAnsi="Arial"/>
          <w:sz w:val="16"/>
          <w:szCs w:val="16"/>
          <w:color w:val="auto"/>
        </w:rPr>
      </w:pPr>
    </w:p>
    <w:p>
      <w:pPr>
        <w:ind w:left="-40" w:firstLine="1334"/>
        <w:spacing w:after="0" w:line="250" w:lineRule="auto"/>
        <w:tabs>
          <w:tab w:leader="none" w:pos="1528" w:val="left"/>
        </w:tabs>
        <w:numPr>
          <w:ilvl w:val="1"/>
          <w:numId w:val="353"/>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80"/>
          </w:cols>
          <w:pgMar w:left="860" w:top="264" w:right="859" w:bottom="1440" w:gutter="0" w:footer="0" w:header="0"/>
        </w:sectPr>
      </w:pPr>
    </w:p>
    <w:bookmarkStart w:id="431" w:name="page432"/>
    <w:bookmarkEnd w:id="431"/>
    <w:p>
      <w:pPr>
        <w:ind w:left="-20" w:right="80" w:firstLine="924"/>
        <w:spacing w:after="0" w:line="280" w:lineRule="auto"/>
        <w:tabs>
          <w:tab w:leader="none" w:pos="1069"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Indemnification for Expenses of a Witness</w:t>
      </w:r>
      <w:r>
        <w:rPr>
          <w:rFonts w:ascii="Arial" w:cs="Arial" w:eastAsia="Arial" w:hAnsi="Arial"/>
          <w:sz w:val="16"/>
          <w:szCs w:val="16"/>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58" w:lineRule="exact"/>
        <w:rPr>
          <w:rFonts w:ascii="Arial" w:cs="Arial" w:eastAsia="Arial" w:hAnsi="Arial"/>
          <w:sz w:val="16"/>
          <w:szCs w:val="16"/>
          <w:color w:val="auto"/>
        </w:rPr>
      </w:pPr>
    </w:p>
    <w:p>
      <w:pPr>
        <w:ind w:left="-20" w:right="80" w:firstLine="924"/>
        <w:spacing w:after="0" w:line="288" w:lineRule="auto"/>
        <w:tabs>
          <w:tab w:leader="none" w:pos="1069" w:val="left"/>
        </w:tabs>
        <w:numPr>
          <w:ilvl w:val="0"/>
          <w:numId w:val="354"/>
        </w:numPr>
        <w:rPr>
          <w:rFonts w:ascii="Arial" w:cs="Arial" w:eastAsia="Arial" w:hAnsi="Arial"/>
          <w:sz w:val="15"/>
          <w:szCs w:val="15"/>
          <w:color w:val="auto"/>
        </w:rPr>
      </w:pPr>
      <w:r>
        <w:rPr>
          <w:rFonts w:ascii="Arial" w:cs="Arial" w:eastAsia="Arial" w:hAnsi="Arial"/>
          <w:sz w:val="15"/>
          <w:szCs w:val="15"/>
          <w:u w:val="single" w:color="auto"/>
          <w:color w:val="auto"/>
        </w:rPr>
        <w:t>Advancement of Expenses</w:t>
      </w:r>
      <w:r>
        <w:rPr>
          <w:rFonts w:ascii="Arial" w:cs="Arial" w:eastAsia="Arial" w:hAnsi="Arial"/>
          <w:sz w:val="15"/>
          <w:szCs w:val="15"/>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Indemnitee shall qualify for advances upon the execution and delivery to the Company of this Agreement, which shall constitute an undertaking by Indemnitee to repay any Expenses advanced if it shall ultimately be determined that Indemnitee is not entitled to be indemnified against such Expenses. Any advances and undertakings to repay pursuant to this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shall be unsecured and interest free.</w:t>
      </w:r>
    </w:p>
    <w:p>
      <w:pPr>
        <w:spacing w:after="0" w:line="57" w:lineRule="exact"/>
        <w:rPr>
          <w:rFonts w:ascii="Arial" w:cs="Arial" w:eastAsia="Arial" w:hAnsi="Arial"/>
          <w:sz w:val="15"/>
          <w:szCs w:val="15"/>
          <w:color w:val="auto"/>
        </w:rPr>
      </w:pPr>
    </w:p>
    <w:p>
      <w:pPr>
        <w:ind w:left="-20" w:right="120" w:firstLine="924"/>
        <w:spacing w:after="0" w:line="253" w:lineRule="auto"/>
        <w:tabs>
          <w:tab w:leader="none" w:pos="1069"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Procedures and Presumptions for Determination of Entitlement to Indemnification</w:t>
      </w:r>
      <w:r>
        <w:rPr>
          <w:rFonts w:ascii="Arial" w:cs="Arial" w:eastAsia="Arial" w:hAnsi="Arial"/>
          <w:sz w:val="17"/>
          <w:szCs w:val="17"/>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79" w:lineRule="exact"/>
        <w:rPr>
          <w:rFonts w:ascii="Arial" w:cs="Arial" w:eastAsia="Arial" w:hAnsi="Arial"/>
          <w:sz w:val="17"/>
          <w:szCs w:val="17"/>
          <w:color w:val="auto"/>
        </w:rPr>
      </w:pPr>
    </w:p>
    <w:p>
      <w:pPr>
        <w:ind w:left="-20" w:right="80" w:firstLine="1334"/>
        <w:spacing w:after="0" w:line="290" w:lineRule="auto"/>
        <w:tabs>
          <w:tab w:leader="none" w:pos="1539" w:val="left"/>
        </w:tabs>
        <w:numPr>
          <w:ilvl w:val="1"/>
          <w:numId w:val="354"/>
        </w:numPr>
        <w:rPr>
          <w:rFonts w:ascii="Arial" w:cs="Arial" w:eastAsia="Arial" w:hAnsi="Arial"/>
          <w:sz w:val="15"/>
          <w:szCs w:val="15"/>
          <w:color w:val="auto"/>
        </w:rPr>
      </w:pPr>
      <w:r>
        <w:rPr>
          <w:rFonts w:ascii="Arial" w:cs="Arial" w:eastAsia="Arial" w:hAnsi="Arial"/>
          <w:sz w:val="15"/>
          <w:szCs w:val="15"/>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54" w:lineRule="exact"/>
        <w:rPr>
          <w:rFonts w:ascii="Arial" w:cs="Arial" w:eastAsia="Arial" w:hAnsi="Arial"/>
          <w:sz w:val="15"/>
          <w:szCs w:val="15"/>
          <w:color w:val="auto"/>
        </w:rPr>
      </w:pPr>
    </w:p>
    <w:p>
      <w:pPr>
        <w:ind w:left="-20" w:firstLine="1334"/>
        <w:spacing w:after="0" w:line="288" w:lineRule="auto"/>
        <w:tabs>
          <w:tab w:leader="none" w:pos="1548" w:val="left"/>
        </w:tabs>
        <w:numPr>
          <w:ilvl w:val="1"/>
          <w:numId w:val="354"/>
        </w:numPr>
        <w:rPr>
          <w:rFonts w:ascii="Arial" w:cs="Arial" w:eastAsia="Arial" w:hAnsi="Arial"/>
          <w:sz w:val="15"/>
          <w:szCs w:val="15"/>
          <w:color w:val="auto"/>
        </w:rPr>
      </w:pPr>
      <w:r>
        <w:rPr>
          <w:rFonts w:ascii="Arial" w:cs="Arial" w:eastAsia="Arial" w:hAnsi="Arial"/>
          <w:sz w:val="15"/>
          <w:szCs w:val="15"/>
          <w:color w:val="auto"/>
        </w:rPr>
        <w:t xml:space="preserve">Upon written request by Indemnitee for indemnification pursuant to the first sentence of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a copy of which shall be delivered to the Indemnitee, or (4) if so directed by the Board, by the stockholders of the Company. For purposes hereof, disinterested directors are those members of the Board who are not parties to the action, suit or proceeding in respect of which indemnification is sought by Indemnitee.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00"/>
          </w:cols>
          <w:pgMar w:left="840" w:top="265" w:right="859" w:bottom="1440" w:gutter="0" w:footer="0" w:header="0"/>
        </w:sectPr>
      </w:pPr>
    </w:p>
    <w:bookmarkStart w:id="432" w:name="page433"/>
    <w:bookmarkEnd w:id="432"/>
    <w:p>
      <w:pPr>
        <w:ind w:left="-20" w:firstLine="1334"/>
        <w:spacing w:after="0" w:line="283" w:lineRule="auto"/>
        <w:tabs>
          <w:tab w:leader="none" w:pos="1539" w:val="left"/>
        </w:tabs>
        <w:numPr>
          <w:ilvl w:val="0"/>
          <w:numId w:val="35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If the determination of entitlement to indemnification is to be made by Independent Counsel pursuant to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hereof, the Independent Counsel shall be selected as provided in this </w:t>
      </w:r>
      <w:r>
        <w:rPr>
          <w:rFonts w:ascii="Arial" w:cs="Arial" w:eastAsia="Arial" w:hAnsi="Arial"/>
          <w:sz w:val="15"/>
          <w:szCs w:val="15"/>
          <w:u w:val="single" w:color="auto"/>
          <w:color w:val="auto"/>
        </w:rPr>
        <w:t>Section 6(c)</w:t>
      </w:r>
      <w:r>
        <w:rPr>
          <w:rFonts w:ascii="Arial" w:cs="Arial" w:eastAsia="Arial" w:hAnsi="Arial"/>
          <w:sz w:val="15"/>
          <w:szCs w:val="15"/>
          <w:color w:val="auto"/>
        </w:rPr>
        <w:t xml:space="preserve">. The Independent Counsel shall be selected by the Board.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the conclusion of the Proceeding giving rise to the request for indemnification, no Independent Counsel shall have been selected and not objected to, either the Company or Indemnitee may petition the Court of Chancery of the State of Delaware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hereof, and the Company shall pay all reasonable fees and expenses incident to the procedures of this </w:t>
      </w:r>
      <w:r>
        <w:rPr>
          <w:rFonts w:ascii="Arial" w:cs="Arial" w:eastAsia="Arial" w:hAnsi="Arial"/>
          <w:sz w:val="15"/>
          <w:szCs w:val="15"/>
          <w:u w:val="single" w:color="auto"/>
          <w:color w:val="auto"/>
        </w:rPr>
        <w:t>Section 6(c)</w:t>
      </w:r>
      <w:r>
        <w:rPr>
          <w:rFonts w:ascii="Arial" w:cs="Arial" w:eastAsia="Arial" w:hAnsi="Arial"/>
          <w:sz w:val="15"/>
          <w:szCs w:val="15"/>
          <w:color w:val="auto"/>
        </w:rPr>
        <w:t>, regardless of the manner in which such Independent Counsel was selected or appointed.</w:t>
      </w:r>
    </w:p>
    <w:p>
      <w:pPr>
        <w:spacing w:after="0" w:line="62" w:lineRule="exact"/>
        <w:rPr>
          <w:rFonts w:ascii="Arial" w:cs="Arial" w:eastAsia="Arial" w:hAnsi="Arial"/>
          <w:sz w:val="15"/>
          <w:szCs w:val="15"/>
          <w:color w:val="auto"/>
        </w:rPr>
      </w:pPr>
    </w:p>
    <w:p>
      <w:pPr>
        <w:ind w:left="-20" w:right="40" w:firstLine="1334"/>
        <w:spacing w:after="0" w:line="268" w:lineRule="auto"/>
        <w:tabs>
          <w:tab w:leader="none" w:pos="154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68" w:lineRule="exact"/>
        <w:rPr>
          <w:rFonts w:ascii="Arial" w:cs="Arial" w:eastAsia="Arial" w:hAnsi="Arial"/>
          <w:sz w:val="16"/>
          <w:szCs w:val="16"/>
          <w:color w:val="auto"/>
        </w:rPr>
      </w:pPr>
    </w:p>
    <w:p>
      <w:pPr>
        <w:ind w:left="-20" w:right="120" w:firstLine="1334"/>
        <w:spacing w:after="0" w:line="266" w:lineRule="auto"/>
        <w:tabs>
          <w:tab w:leader="none" w:pos="1539"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20"/>
          </w:cols>
          <w:pgMar w:left="840" w:top="265" w:right="839" w:bottom="1440" w:gutter="0" w:footer="0" w:header="0"/>
        </w:sectPr>
      </w:pPr>
    </w:p>
    <w:bookmarkStart w:id="433" w:name="page434"/>
    <w:bookmarkEnd w:id="433"/>
    <w:p>
      <w:pPr>
        <w:ind w:left="-3" w:right="100" w:firstLine="1334"/>
        <w:spacing w:after="0" w:line="281" w:lineRule="auto"/>
        <w:tabs>
          <w:tab w:leader="none" w:pos="1538" w:val="left"/>
        </w:tabs>
        <w:numPr>
          <w:ilvl w:val="1"/>
          <w:numId w:val="35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If the person, persons or entity empowered or selected under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to determine whether Indemnitee is entitled to indemnification shall not have made a determination within sixty (60) days after the conclusion of the Proceeding giving rise to the request for indemnification,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sixty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Arial" w:cs="Arial" w:eastAsia="Arial" w:hAnsi="Arial"/>
          <w:sz w:val="15"/>
          <w:szCs w:val="15"/>
          <w:u w:val="single" w:color="auto"/>
          <w:color w:val="auto"/>
        </w:rPr>
        <w:t>Section 6(f)</w:t>
      </w:r>
      <w:r>
        <w:rPr>
          <w:rFonts w:ascii="Arial" w:cs="Arial" w:eastAsia="Arial" w:hAnsi="Arial"/>
          <w:sz w:val="15"/>
          <w:szCs w:val="15"/>
          <w:color w:val="auto"/>
        </w:rPr>
        <w:t xml:space="preserve"> shall not apply if the determination of entitlement to indemnification is to be made by the stockholders pursuant to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of this Agreement and if (A) within fifteen (15) days after the conclusion of the Proceeding giving rise to the request for indemnification, the Board or the Disinterested Directors, if appropriate, resolve to submit such determination to the stockholders for their consideration at an annual meeting thereof to be held within seventy-five</w:t>
      </w:r>
    </w:p>
    <w:p>
      <w:pPr>
        <w:ind w:left="-3" w:right="220" w:firstLine="3"/>
        <w:spacing w:after="0" w:line="318" w:lineRule="auto"/>
        <w:tabs>
          <w:tab w:leader="none" w:pos="318" w:val="left"/>
        </w:tabs>
        <w:numPr>
          <w:ilvl w:val="0"/>
          <w:numId w:val="357"/>
        </w:numPr>
        <w:rPr>
          <w:rFonts w:ascii="Arial" w:cs="Arial" w:eastAsia="Arial" w:hAnsi="Arial"/>
          <w:sz w:val="15"/>
          <w:szCs w:val="15"/>
          <w:color w:val="auto"/>
        </w:rPr>
      </w:pPr>
      <w:r>
        <w:rPr>
          <w:rFonts w:ascii="Arial" w:cs="Arial" w:eastAsia="Arial" w:hAnsi="Arial"/>
          <w:sz w:val="15"/>
          <w:szCs w:val="15"/>
          <w:color w:val="auto"/>
        </w:rPr>
        <w:t>days after such resolution and such determination is made thereat, or (B) a special meeting of stockholders is called within fifteen (15) days after such resolution and such meeting is held for such purpose within sixty (60) days after having been so called and such determination is made thereat.</w:t>
      </w:r>
    </w:p>
    <w:p>
      <w:pPr>
        <w:spacing w:after="0" w:line="32" w:lineRule="exact"/>
        <w:rPr>
          <w:rFonts w:ascii="Arial" w:cs="Arial" w:eastAsia="Arial" w:hAnsi="Arial"/>
          <w:sz w:val="15"/>
          <w:szCs w:val="15"/>
          <w:color w:val="auto"/>
        </w:rPr>
      </w:pPr>
    </w:p>
    <w:p>
      <w:pPr>
        <w:ind w:left="-3" w:firstLine="1334"/>
        <w:spacing w:after="0" w:line="249" w:lineRule="auto"/>
        <w:tabs>
          <w:tab w:leader="none" w:pos="1566" w:val="left"/>
        </w:tabs>
        <w:numPr>
          <w:ilvl w:val="1"/>
          <w:numId w:val="357"/>
        </w:numPr>
        <w:rPr>
          <w:rFonts w:ascii="Arial" w:cs="Arial" w:eastAsia="Arial" w:hAnsi="Arial"/>
          <w:sz w:val="17"/>
          <w:szCs w:val="17"/>
          <w:color w:val="auto"/>
        </w:rPr>
      </w:pPr>
      <w:r>
        <w:rPr>
          <w:rFonts w:ascii="Arial" w:cs="Arial" w:eastAsia="Arial" w:hAnsi="Arial"/>
          <w:sz w:val="17"/>
          <w:szCs w:val="17"/>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84" w:lineRule="exact"/>
        <w:rPr>
          <w:rFonts w:ascii="Arial" w:cs="Arial" w:eastAsia="Arial" w:hAnsi="Arial"/>
          <w:sz w:val="17"/>
          <w:szCs w:val="17"/>
          <w:color w:val="auto"/>
        </w:rPr>
      </w:pPr>
    </w:p>
    <w:p>
      <w:pPr>
        <w:ind w:left="-3" w:right="20" w:firstLine="1334"/>
        <w:spacing w:after="0" w:line="250" w:lineRule="auto"/>
        <w:tabs>
          <w:tab w:leader="none" w:pos="1566" w:val="left"/>
        </w:tabs>
        <w:numPr>
          <w:ilvl w:val="1"/>
          <w:numId w:val="357"/>
        </w:numPr>
        <w:rPr>
          <w:rFonts w:ascii="Arial" w:cs="Arial" w:eastAsia="Arial" w:hAnsi="Arial"/>
          <w:sz w:val="17"/>
          <w:szCs w:val="17"/>
          <w:color w:val="auto"/>
        </w:rPr>
      </w:pPr>
      <w:r>
        <w:rPr>
          <w:rFonts w:ascii="Arial" w:cs="Arial" w:eastAsia="Arial" w:hAnsi="Arial"/>
          <w:sz w:val="17"/>
          <w:szCs w:val="17"/>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21"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37"/>
          </w:cols>
          <w:pgMar w:left="823" w:top="265" w:right="839" w:bottom="1440" w:gutter="0" w:footer="0" w:header="0"/>
        </w:sectPr>
      </w:pPr>
    </w:p>
    <w:bookmarkStart w:id="434" w:name="page435"/>
    <w:bookmarkEnd w:id="434"/>
    <w:p>
      <w:pPr>
        <w:ind w:firstLine="1334"/>
        <w:spacing w:after="0" w:line="251" w:lineRule="auto"/>
        <w:tabs>
          <w:tab w:leader="none" w:pos="1531" w:val="left"/>
        </w:tabs>
        <w:numPr>
          <w:ilvl w:val="2"/>
          <w:numId w:val="3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82" w:lineRule="exact"/>
        <w:rPr>
          <w:rFonts w:ascii="Arial" w:cs="Arial" w:eastAsia="Arial" w:hAnsi="Arial"/>
          <w:sz w:val="17"/>
          <w:szCs w:val="17"/>
          <w:color w:val="auto"/>
        </w:rPr>
      </w:pPr>
    </w:p>
    <w:p>
      <w:pPr>
        <w:ind w:left="1100" w:hanging="176"/>
        <w:spacing w:after="0"/>
        <w:tabs>
          <w:tab w:leader="none" w:pos="1100"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Remedies of Indemnitee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firstLine="1334"/>
        <w:spacing w:after="0" w:line="283" w:lineRule="auto"/>
        <w:tabs>
          <w:tab w:leader="none" w:pos="1559" w:val="left"/>
        </w:tabs>
        <w:numPr>
          <w:ilvl w:val="2"/>
          <w:numId w:val="359"/>
        </w:numPr>
        <w:rPr>
          <w:rFonts w:ascii="Arial" w:cs="Arial" w:eastAsia="Arial" w:hAnsi="Arial"/>
          <w:sz w:val="15"/>
          <w:szCs w:val="15"/>
          <w:color w:val="auto"/>
        </w:rPr>
      </w:pPr>
      <w:r>
        <w:rPr>
          <w:rFonts w:ascii="Arial" w:cs="Arial" w:eastAsia="Arial" w:hAnsi="Arial"/>
          <w:sz w:val="15"/>
          <w:szCs w:val="15"/>
          <w:color w:val="auto"/>
        </w:rPr>
        <w:t xml:space="preserve">In the event that (i) a determination is made pursuant to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of this Agreement that Indemnitee is not entitled to indemnification under this Agreement, (ii) advancement of Expenses is not timely made pursuant to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of this Agreement, (iii) no determination of entitlement to indemnification is made pursuant to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of this Agreement within ninety (90) days after the conclusion of the Proceeding giving rise to the request for indemnification, (iv) payment of indemnification required by Section 4 is not made pursuant to this Agreement within thirty</w:t>
      </w:r>
    </w:p>
    <w:p>
      <w:pPr>
        <w:spacing w:after="0" w:line="2" w:lineRule="exact"/>
        <w:rPr>
          <w:rFonts w:ascii="Arial" w:cs="Arial" w:eastAsia="Arial" w:hAnsi="Arial"/>
          <w:sz w:val="15"/>
          <w:szCs w:val="15"/>
          <w:color w:val="auto"/>
        </w:rPr>
      </w:pPr>
    </w:p>
    <w:p>
      <w:pPr>
        <w:ind w:right="80" w:firstLine="3"/>
        <w:spacing w:after="0" w:line="247" w:lineRule="auto"/>
        <w:tabs>
          <w:tab w:leader="none" w:pos="32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Indemnitee shall be entitled to an adjudication in Court of Chancery of the State of Delaware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7"/>
          <w:szCs w:val="17"/>
          <w:u w:val="single" w:color="auto"/>
          <w:color w:val="auto"/>
        </w:rPr>
        <w:t>Section 7(a)</w:t>
      </w:r>
      <w:r>
        <w:rPr>
          <w:rFonts w:ascii="Arial" w:cs="Arial" w:eastAsia="Arial" w:hAnsi="Arial"/>
          <w:sz w:val="17"/>
          <w:szCs w:val="17"/>
          <w:color w:val="auto"/>
        </w:rPr>
        <w:t>. The Company shall not oppose Indemnitee’s right to seek any such adjudication.</w:t>
      </w:r>
    </w:p>
    <w:p>
      <w:pPr>
        <w:spacing w:after="0" w:line="86" w:lineRule="exact"/>
        <w:rPr>
          <w:rFonts w:ascii="Arial" w:cs="Arial" w:eastAsia="Arial" w:hAnsi="Arial"/>
          <w:sz w:val="17"/>
          <w:szCs w:val="17"/>
          <w:color w:val="auto"/>
        </w:rPr>
      </w:pPr>
    </w:p>
    <w:p>
      <w:pPr>
        <w:jc w:val="both"/>
        <w:ind w:right="80" w:firstLine="1334"/>
        <w:spacing w:after="0" w:line="280" w:lineRule="auto"/>
        <w:tabs>
          <w:tab w:leader="none" w:pos="1568" w:val="left"/>
        </w:tabs>
        <w:numPr>
          <w:ilvl w:val="2"/>
          <w:numId w:val="360"/>
        </w:numPr>
        <w:rPr>
          <w:rFonts w:ascii="Arial" w:cs="Arial" w:eastAsia="Arial" w:hAnsi="Arial"/>
          <w:sz w:val="16"/>
          <w:szCs w:val="16"/>
          <w:color w:val="auto"/>
        </w:rPr>
      </w:pPr>
      <w:r>
        <w:rPr>
          <w:rFonts w:ascii="Arial" w:cs="Arial" w:eastAsia="Arial" w:hAnsi="Arial"/>
          <w:sz w:val="16"/>
          <w:szCs w:val="16"/>
          <w:color w:val="auto"/>
        </w:rPr>
        <w:t xml:space="preserve">In the event that a determination shall have been made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that Indemnitee is not entitled to indemnification, any judicial proceeding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conducted in all respects as a de novo trial on the merits, and Indemnitee shall not be prejudiced by reason of the adverse determination under </w:t>
      </w:r>
      <w:r>
        <w:rPr>
          <w:rFonts w:ascii="Arial" w:cs="Arial" w:eastAsia="Arial" w:hAnsi="Arial"/>
          <w:sz w:val="16"/>
          <w:szCs w:val="16"/>
          <w:u w:val="single" w:color="auto"/>
          <w:color w:val="auto"/>
        </w:rPr>
        <w:t>Section 6(b)</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firstLine="1334"/>
        <w:spacing w:after="0" w:line="274" w:lineRule="auto"/>
        <w:tabs>
          <w:tab w:leader="none" w:pos="1559" w:val="left"/>
        </w:tabs>
        <w:numPr>
          <w:ilvl w:val="2"/>
          <w:numId w:val="360"/>
        </w:numPr>
        <w:rPr>
          <w:rFonts w:ascii="Arial" w:cs="Arial" w:eastAsia="Arial" w:hAnsi="Arial"/>
          <w:sz w:val="16"/>
          <w:szCs w:val="16"/>
          <w:color w:val="auto"/>
        </w:rPr>
      </w:pPr>
      <w:r>
        <w:rPr>
          <w:rFonts w:ascii="Arial" w:cs="Arial" w:eastAsia="Arial" w:hAnsi="Arial"/>
          <w:sz w:val="16"/>
          <w:szCs w:val="16"/>
          <w:color w:val="auto"/>
        </w:rPr>
        <w:t xml:space="preserve">If a determination shall have been made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63" w:lineRule="exact"/>
        <w:rPr>
          <w:rFonts w:ascii="Arial" w:cs="Arial" w:eastAsia="Arial" w:hAnsi="Arial"/>
          <w:sz w:val="16"/>
          <w:szCs w:val="16"/>
          <w:color w:val="auto"/>
        </w:rPr>
      </w:pPr>
    </w:p>
    <w:p>
      <w:pPr>
        <w:ind w:right="140" w:firstLine="1334"/>
        <w:spacing w:after="0" w:line="251" w:lineRule="auto"/>
        <w:tabs>
          <w:tab w:leader="none" w:pos="1568" w:val="left"/>
        </w:tabs>
        <w:numPr>
          <w:ilvl w:val="2"/>
          <w:numId w:val="360"/>
        </w:numPr>
        <w:rPr>
          <w:rFonts w:ascii="Arial" w:cs="Arial" w:eastAsia="Arial" w:hAnsi="Arial"/>
          <w:sz w:val="17"/>
          <w:szCs w:val="17"/>
          <w:color w:val="auto"/>
        </w:rPr>
      </w:pPr>
      <w:r>
        <w:rPr>
          <w:rFonts w:ascii="Arial" w:cs="Arial" w:eastAsia="Arial" w:hAnsi="Arial"/>
          <w:sz w:val="17"/>
          <w:szCs w:val="17"/>
          <w:color w:val="auto"/>
        </w:rPr>
        <w:t xml:space="preserve">In the event that Indemnitee,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 actually and reasonably incurred by him in such judicial adjudication, regardless of whether Indemnitee ultimately is determined to be entitled to such indemnification, advancement of expenses or insurance recovery.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5" w:right="839" w:bottom="1440" w:gutter="0" w:footer="0" w:header="0"/>
        </w:sectPr>
      </w:pPr>
    </w:p>
    <w:bookmarkStart w:id="435" w:name="page436"/>
    <w:bookmarkEnd w:id="435"/>
    <w:p>
      <w:pPr>
        <w:ind w:right="140" w:firstLine="1334"/>
        <w:spacing w:after="0" w:line="288" w:lineRule="auto"/>
        <w:tabs>
          <w:tab w:leader="none" w:pos="1559" w:val="left"/>
        </w:tabs>
        <w:numPr>
          <w:ilvl w:val="1"/>
          <w:numId w:val="36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The Company shall be precluded from asserting in any judicial proceeding commenced pursuant to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57" w:lineRule="exact"/>
        <w:rPr>
          <w:rFonts w:ascii="Arial" w:cs="Arial" w:eastAsia="Arial" w:hAnsi="Arial"/>
          <w:sz w:val="15"/>
          <w:szCs w:val="15"/>
          <w:color w:val="auto"/>
        </w:rPr>
      </w:pPr>
    </w:p>
    <w:p>
      <w:pPr>
        <w:ind w:right="360" w:firstLine="1334"/>
        <w:spacing w:after="0" w:line="268" w:lineRule="auto"/>
        <w:tabs>
          <w:tab w:leader="none" w:pos="154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determination as to entitlement to indemnification under this Agreement shall be required to be made prior to the final disposition of the Proceeding.</w:t>
      </w:r>
    </w:p>
    <w:p>
      <w:pPr>
        <w:spacing w:after="0" w:line="65" w:lineRule="exact"/>
        <w:rPr>
          <w:rFonts w:ascii="Arial" w:cs="Arial" w:eastAsia="Arial" w:hAnsi="Arial"/>
          <w:sz w:val="17"/>
          <w:szCs w:val="17"/>
          <w:color w:val="auto"/>
        </w:rPr>
      </w:pPr>
    </w:p>
    <w:p>
      <w:pPr>
        <w:ind w:left="1100" w:hanging="176"/>
        <w:spacing w:after="0"/>
        <w:tabs>
          <w:tab w:leader="none" w:pos="1100"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Non-Exclusivity; Survival of Rights; Insurance; Primacy of Indemnification; Subrogation</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right="60" w:firstLine="1334"/>
        <w:spacing w:after="0" w:line="285" w:lineRule="auto"/>
        <w:tabs>
          <w:tab w:leader="none" w:pos="1559" w:val="left"/>
        </w:tabs>
        <w:numPr>
          <w:ilvl w:val="1"/>
          <w:numId w:val="362"/>
        </w:numPr>
        <w:rPr>
          <w:rFonts w:ascii="Arial" w:cs="Arial" w:eastAsia="Arial" w:hAnsi="Arial"/>
          <w:sz w:val="15"/>
          <w:szCs w:val="15"/>
          <w:color w:val="auto"/>
        </w:rPr>
      </w:pPr>
      <w:r>
        <w:rPr>
          <w:rFonts w:ascii="Arial" w:cs="Arial" w:eastAsia="Arial" w:hAnsi="Arial"/>
          <w:sz w:val="15"/>
          <w:szCs w:val="15"/>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60" w:lineRule="exact"/>
        <w:rPr>
          <w:rFonts w:ascii="Arial" w:cs="Arial" w:eastAsia="Arial" w:hAnsi="Arial"/>
          <w:sz w:val="15"/>
          <w:szCs w:val="15"/>
          <w:color w:val="auto"/>
        </w:rPr>
      </w:pPr>
    </w:p>
    <w:p>
      <w:pPr>
        <w:ind w:firstLine="1334"/>
        <w:spacing w:after="0" w:line="267" w:lineRule="auto"/>
        <w:tabs>
          <w:tab w:leader="none" w:pos="156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40"/>
          </w:cols>
          <w:pgMar w:left="820" w:top="265" w:right="839" w:bottom="1440" w:gutter="0" w:footer="0" w:header="0"/>
        </w:sectPr>
      </w:pPr>
    </w:p>
    <w:bookmarkStart w:id="436" w:name="page437"/>
    <w:bookmarkEnd w:id="436"/>
    <w:p>
      <w:pPr>
        <w:ind w:left="-20" w:firstLine="1334"/>
        <w:spacing w:after="0" w:line="284" w:lineRule="auto"/>
        <w:tabs>
          <w:tab w:leader="none" w:pos="1539" w:val="left"/>
        </w:tabs>
        <w:numPr>
          <w:ilvl w:val="1"/>
          <w:numId w:val="36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Company hereby acknowledges that Indemnitee has certain rights to indemnification, advancement of expenses and/or insurance provided by [ ] and certain of its affiliates (collectively, the “</w:t>
      </w:r>
      <w:r>
        <w:rPr>
          <w:rFonts w:ascii="Arial" w:cs="Arial" w:eastAsia="Arial" w:hAnsi="Arial"/>
          <w:sz w:val="15"/>
          <w:szCs w:val="15"/>
          <w:b w:val="1"/>
          <w:bCs w:val="1"/>
          <w:i w:val="1"/>
          <w:iCs w:val="1"/>
          <w:color w:val="auto"/>
        </w:rPr>
        <w:t>Fund Indemnitors</w:t>
      </w:r>
      <w:r>
        <w:rPr>
          <w:rFonts w:ascii="Arial" w:cs="Arial" w:eastAsia="Arial" w:hAnsi="Arial"/>
          <w:sz w:val="15"/>
          <w:szCs w:val="15"/>
          <w:color w:val="auto"/>
        </w:rPr>
        <w:t>”).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8(c).]</w:t>
      </w:r>
    </w:p>
    <w:p>
      <w:pPr>
        <w:spacing w:after="0" w:line="61" w:lineRule="exact"/>
        <w:rPr>
          <w:rFonts w:ascii="Arial" w:cs="Arial" w:eastAsia="Arial" w:hAnsi="Arial"/>
          <w:sz w:val="15"/>
          <w:szCs w:val="15"/>
          <w:color w:val="auto"/>
        </w:rPr>
      </w:pPr>
    </w:p>
    <w:p>
      <w:pPr>
        <w:ind w:left="-20" w:right="160" w:firstLine="1334"/>
        <w:spacing w:after="0" w:line="253" w:lineRule="auto"/>
        <w:tabs>
          <w:tab w:leader="none" w:pos="1548" w:val="left"/>
        </w:tabs>
        <w:numPr>
          <w:ilvl w:val="1"/>
          <w:numId w:val="363"/>
        </w:numPr>
        <w:rPr>
          <w:rFonts w:ascii="Arial" w:cs="Arial" w:eastAsia="Arial" w:hAnsi="Arial"/>
          <w:sz w:val="17"/>
          <w:szCs w:val="17"/>
          <w:color w:val="auto"/>
        </w:rPr>
      </w:pPr>
      <w:r>
        <w:rPr>
          <w:rFonts w:ascii="Arial" w:cs="Arial" w:eastAsia="Arial" w:hAnsi="Arial"/>
          <w:sz w:val="17"/>
          <w:szCs w:val="17"/>
          <w:color w:val="auto"/>
        </w:rPr>
        <w:t>[Except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79" w:lineRule="exact"/>
        <w:rPr>
          <w:rFonts w:ascii="Arial" w:cs="Arial" w:eastAsia="Arial" w:hAnsi="Arial"/>
          <w:sz w:val="17"/>
          <w:szCs w:val="17"/>
          <w:color w:val="auto"/>
        </w:rPr>
      </w:pPr>
    </w:p>
    <w:p>
      <w:pPr>
        <w:jc w:val="both"/>
        <w:ind w:left="-20" w:right="380" w:firstLine="1334"/>
        <w:spacing w:after="0" w:line="257" w:lineRule="auto"/>
        <w:tabs>
          <w:tab w:leader="none" w:pos="1539" w:val="left"/>
        </w:tabs>
        <w:numPr>
          <w:ilvl w:val="1"/>
          <w:numId w:val="363"/>
        </w:numPr>
        <w:rPr>
          <w:rFonts w:ascii="Arial" w:cs="Arial" w:eastAsia="Arial" w:hAnsi="Arial"/>
          <w:sz w:val="17"/>
          <w:szCs w:val="17"/>
          <w:color w:val="auto"/>
        </w:rPr>
      </w:pPr>
      <w:r>
        <w:rPr>
          <w:rFonts w:ascii="Arial" w:cs="Arial" w:eastAsia="Arial" w:hAnsi="Arial"/>
          <w:sz w:val="17"/>
          <w:szCs w:val="17"/>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74" w:lineRule="exact"/>
        <w:rPr>
          <w:rFonts w:ascii="Arial" w:cs="Arial" w:eastAsia="Arial" w:hAnsi="Arial"/>
          <w:sz w:val="17"/>
          <w:szCs w:val="17"/>
          <w:color w:val="auto"/>
        </w:rPr>
      </w:pPr>
    </w:p>
    <w:p>
      <w:pPr>
        <w:ind w:left="-20" w:right="340" w:firstLine="1334"/>
        <w:spacing w:after="0" w:line="298" w:lineRule="auto"/>
        <w:tabs>
          <w:tab w:leader="none" w:pos="1520" w:val="left"/>
        </w:tabs>
        <w:numPr>
          <w:ilvl w:val="1"/>
          <w:numId w:val="363"/>
        </w:numPr>
        <w:rPr>
          <w:rFonts w:ascii="Arial" w:cs="Arial" w:eastAsia="Arial" w:hAnsi="Arial"/>
          <w:sz w:val="15"/>
          <w:szCs w:val="15"/>
          <w:color w:val="auto"/>
        </w:rPr>
      </w:pPr>
      <w:r>
        <w:rPr>
          <w:rFonts w:ascii="Arial" w:cs="Arial" w:eastAsia="Arial" w:hAnsi="Arial"/>
          <w:sz w:val="15"/>
          <w:szCs w:val="15"/>
          <w:color w:val="auto"/>
        </w:rPr>
        <w:t>[Except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47" w:lineRule="exact"/>
        <w:rPr>
          <w:rFonts w:ascii="Arial" w:cs="Arial" w:eastAsia="Arial" w:hAnsi="Arial"/>
          <w:sz w:val="15"/>
          <w:szCs w:val="15"/>
          <w:color w:val="auto"/>
        </w:rPr>
      </w:pPr>
    </w:p>
    <w:p>
      <w:pPr>
        <w:ind w:left="-20" w:right="40" w:firstLine="924"/>
        <w:spacing w:after="0" w:line="268" w:lineRule="auto"/>
        <w:tabs>
          <w:tab w:leader="none" w:pos="1069"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Exception to Right of Indemnification</w:t>
      </w:r>
      <w:r>
        <w:rPr>
          <w:rFonts w:ascii="Arial" w:cs="Arial" w:eastAsia="Arial" w:hAnsi="Arial"/>
          <w:sz w:val="17"/>
          <w:szCs w:val="17"/>
          <w:color w:val="auto"/>
        </w:rPr>
        <w:t>. Notwithstanding any provision in this Agreement, the Company shall not be obligated under this Agreement to make any indemnity in connection with any claim made against Indemnitee:</w:t>
      </w:r>
    </w:p>
    <w:p>
      <w:pPr>
        <w:spacing w:after="0" w:line="65" w:lineRule="exact"/>
        <w:rPr>
          <w:rFonts w:ascii="Arial" w:cs="Arial" w:eastAsia="Arial" w:hAnsi="Arial"/>
          <w:sz w:val="17"/>
          <w:szCs w:val="17"/>
          <w:color w:val="auto"/>
        </w:rPr>
      </w:pPr>
    </w:p>
    <w:p>
      <w:pPr>
        <w:ind w:left="-20" w:right="520" w:firstLine="1334"/>
        <w:spacing w:after="0" w:line="280" w:lineRule="auto"/>
        <w:tabs>
          <w:tab w:leader="none" w:pos="1539" w:val="left"/>
        </w:tabs>
        <w:numPr>
          <w:ilvl w:val="1"/>
          <w:numId w:val="364"/>
        </w:numPr>
        <w:rPr>
          <w:rFonts w:ascii="Arial" w:cs="Arial" w:eastAsia="Arial" w:hAnsi="Arial"/>
          <w:sz w:val="16"/>
          <w:szCs w:val="16"/>
          <w:color w:val="auto"/>
        </w:rPr>
      </w:pPr>
      <w:r>
        <w:rPr>
          <w:rFonts w:ascii="Arial" w:cs="Arial" w:eastAsia="Arial" w:hAnsi="Arial"/>
          <w:sz w:val="16"/>
          <w:szCs w:val="16"/>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Fund Indemnitors set forth in Section 8(c) above];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20"/>
          </w:cols>
          <w:pgMar w:left="840" w:top="265" w:right="839" w:bottom="1440" w:gutter="0" w:footer="0" w:header="0"/>
        </w:sectPr>
      </w:pPr>
    </w:p>
    <w:bookmarkStart w:id="437" w:name="page438"/>
    <w:bookmarkEnd w:id="437"/>
    <w:p>
      <w:pPr>
        <w:ind w:left="-20" w:right="40" w:firstLine="1334"/>
        <w:spacing w:after="0" w:line="335" w:lineRule="auto"/>
        <w:tabs>
          <w:tab w:leader="none" w:pos="1548" w:val="left"/>
        </w:tabs>
        <w:numPr>
          <w:ilvl w:val="1"/>
          <w:numId w:val="36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for an accounting of profits made from the purchase and sale (or sale and purchase) by Indemnitee of securities of the Company within the meaning of </w:t>
      </w:r>
      <w:r>
        <w:rPr>
          <w:rFonts w:ascii="Arial" w:cs="Arial" w:eastAsia="Arial" w:hAnsi="Arial"/>
          <w:sz w:val="15"/>
          <w:szCs w:val="15"/>
          <w:u w:val="single" w:color="auto"/>
          <w:color w:val="auto"/>
        </w:rPr>
        <w:t>Section 16(b)</w:t>
      </w:r>
      <w:r>
        <w:rPr>
          <w:rFonts w:ascii="Arial" w:cs="Arial" w:eastAsia="Arial" w:hAnsi="Arial"/>
          <w:sz w:val="15"/>
          <w:szCs w:val="15"/>
          <w:color w:val="auto"/>
        </w:rPr>
        <w:t xml:space="preserve"> of the Securities Exchange Act of 1934, as amended, or similar provisions of state statutory law or common law; or</w:t>
      </w:r>
    </w:p>
    <w:p>
      <w:pPr>
        <w:spacing w:after="0" w:line="20" w:lineRule="exact"/>
        <w:rPr>
          <w:rFonts w:ascii="Arial" w:cs="Arial" w:eastAsia="Arial" w:hAnsi="Arial"/>
          <w:sz w:val="15"/>
          <w:szCs w:val="15"/>
          <w:color w:val="auto"/>
        </w:rPr>
      </w:pPr>
    </w:p>
    <w:p>
      <w:pPr>
        <w:ind w:left="-20" w:firstLine="1334"/>
        <w:spacing w:after="0" w:line="253" w:lineRule="auto"/>
        <w:tabs>
          <w:tab w:leader="none" w:pos="1539" w:val="left"/>
        </w:tabs>
        <w:numPr>
          <w:ilvl w:val="1"/>
          <w:numId w:val="365"/>
        </w:numPr>
        <w:rPr>
          <w:rFonts w:ascii="Arial" w:cs="Arial" w:eastAsia="Arial" w:hAnsi="Arial"/>
          <w:sz w:val="17"/>
          <w:szCs w:val="17"/>
          <w:color w:val="auto"/>
        </w:rPr>
      </w:pPr>
      <w:r>
        <w:rPr>
          <w:rFonts w:ascii="Arial" w:cs="Arial" w:eastAsia="Arial" w:hAnsi="Arial"/>
          <w:sz w:val="17"/>
          <w:szCs w:val="17"/>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79" w:lineRule="exact"/>
        <w:rPr>
          <w:rFonts w:ascii="Arial" w:cs="Arial" w:eastAsia="Arial" w:hAnsi="Arial"/>
          <w:sz w:val="17"/>
          <w:szCs w:val="17"/>
          <w:color w:val="auto"/>
        </w:rPr>
      </w:pPr>
    </w:p>
    <w:p>
      <w:pPr>
        <w:ind w:left="-20" w:right="20" w:firstLine="924"/>
        <w:spacing w:after="0" w:line="267" w:lineRule="auto"/>
        <w:tabs>
          <w:tab w:leader="none" w:pos="1153"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Duration of Agreement</w:t>
      </w:r>
      <w:r>
        <w:rPr>
          <w:rFonts w:ascii="Arial" w:cs="Arial" w:eastAsia="Arial" w:hAnsi="Arial"/>
          <w:sz w:val="16"/>
          <w:szCs w:val="16"/>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69" w:lineRule="exact"/>
        <w:rPr>
          <w:rFonts w:ascii="Arial" w:cs="Arial" w:eastAsia="Arial" w:hAnsi="Arial"/>
          <w:sz w:val="16"/>
          <w:szCs w:val="16"/>
          <w:color w:val="auto"/>
        </w:rPr>
      </w:pPr>
    </w:p>
    <w:p>
      <w:pPr>
        <w:ind w:left="-20" w:right="100" w:firstLine="924"/>
        <w:spacing w:after="0" w:line="280" w:lineRule="auto"/>
        <w:tabs>
          <w:tab w:leader="none" w:pos="1146"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58" w:lineRule="exact"/>
        <w:rPr>
          <w:rFonts w:ascii="Arial" w:cs="Arial" w:eastAsia="Arial" w:hAnsi="Arial"/>
          <w:sz w:val="16"/>
          <w:szCs w:val="16"/>
          <w:color w:val="auto"/>
        </w:rPr>
      </w:pPr>
    </w:p>
    <w:p>
      <w:pPr>
        <w:ind w:left="1160" w:hanging="256"/>
        <w:spacing w:after="0"/>
        <w:tabs>
          <w:tab w:leader="none" w:pos="1160"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20" w:right="100" w:firstLine="1334"/>
        <w:spacing w:after="0" w:line="257" w:lineRule="auto"/>
        <w:tabs>
          <w:tab w:leader="none" w:pos="1539" w:val="left"/>
        </w:tabs>
        <w:numPr>
          <w:ilvl w:val="1"/>
          <w:numId w:val="366"/>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74" w:lineRule="exact"/>
        <w:rPr>
          <w:rFonts w:ascii="Arial" w:cs="Arial" w:eastAsia="Arial" w:hAnsi="Arial"/>
          <w:sz w:val="17"/>
          <w:szCs w:val="17"/>
          <w:color w:val="auto"/>
        </w:rPr>
      </w:pPr>
    </w:p>
    <w:p>
      <w:pPr>
        <w:ind w:left="-20" w:right="460" w:firstLine="1334"/>
        <w:spacing w:after="0" w:line="374" w:lineRule="auto"/>
        <w:tabs>
          <w:tab w:leader="none" w:pos="1548" w:val="left"/>
        </w:tabs>
        <w:numPr>
          <w:ilvl w:val="1"/>
          <w:numId w:val="366"/>
        </w:numPr>
        <w:rPr>
          <w:rFonts w:ascii="Arial" w:cs="Arial" w:eastAsia="Arial" w:hAnsi="Arial"/>
          <w:sz w:val="14"/>
          <w:szCs w:val="14"/>
          <w:color w:val="auto"/>
        </w:rPr>
      </w:pPr>
      <w:r>
        <w:rPr>
          <w:rFonts w:ascii="Arial" w:cs="Arial" w:eastAsia="Arial" w:hAnsi="Arial"/>
          <w:sz w:val="14"/>
          <w:szCs w:val="14"/>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ind w:left="-20" w:right="260" w:firstLine="1334"/>
        <w:spacing w:after="0" w:line="268" w:lineRule="auto"/>
        <w:tabs>
          <w:tab w:leader="none" w:pos="1536" w:val="left"/>
        </w:tabs>
        <w:numPr>
          <w:ilvl w:val="1"/>
          <w:numId w:val="366"/>
        </w:numPr>
        <w:rPr>
          <w:rFonts w:ascii="Arial" w:cs="Arial" w:eastAsia="Arial" w:hAnsi="Arial"/>
          <w:sz w:val="17"/>
          <w:szCs w:val="17"/>
          <w:color w:val="auto"/>
        </w:rPr>
      </w:pPr>
      <w:r>
        <w:rPr>
          <w:rFonts w:ascii="Arial" w:cs="Arial" w:eastAsia="Arial" w:hAnsi="Arial"/>
          <w:sz w:val="17"/>
          <w:szCs w:val="17"/>
          <w:color w:val="auto"/>
        </w:rPr>
        <w:t>The Company shall not seek from a court, or agree to, a “bar order” which would have the effect of prohibiting or limiting the Indemnitee’s rights to receive advancement of expenses under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20"/>
          </w:cols>
          <w:pgMar w:left="840" w:top="265" w:right="839" w:bottom="1440" w:gutter="0" w:footer="0" w:header="0"/>
        </w:sectPr>
      </w:pPr>
    </w:p>
    <w:bookmarkStart w:id="438" w:name="page439"/>
    <w:bookmarkEnd w:id="438"/>
    <w:p>
      <w:pPr>
        <w:ind w:left="1177" w:hanging="256"/>
        <w:spacing w:after="0"/>
        <w:tabs>
          <w:tab w:leader="none" w:pos="1177" w:val="left"/>
        </w:tabs>
        <w:numPr>
          <w:ilvl w:val="1"/>
          <w:numId w:val="36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Definitions</w:t>
      </w:r>
      <w:r>
        <w:rPr>
          <w:rFonts w:ascii="Arial" w:cs="Arial" w:eastAsia="Arial" w:hAnsi="Arial"/>
          <w:sz w:val="17"/>
          <w:szCs w:val="17"/>
          <w:color w:val="auto"/>
        </w:rPr>
        <w:t>. For purposes of this Agreement:</w:t>
      </w:r>
    </w:p>
    <w:p>
      <w:pPr>
        <w:spacing w:after="0" w:line="105" w:lineRule="exact"/>
        <w:rPr>
          <w:rFonts w:ascii="Arial" w:cs="Arial" w:eastAsia="Arial" w:hAnsi="Arial"/>
          <w:sz w:val="17"/>
          <w:szCs w:val="17"/>
          <w:color w:val="auto"/>
        </w:rPr>
      </w:pPr>
    </w:p>
    <w:p>
      <w:pPr>
        <w:ind w:left="-3" w:right="40" w:firstLine="1334"/>
        <w:spacing w:after="0" w:line="257" w:lineRule="auto"/>
        <w:tabs>
          <w:tab w:leader="none" w:pos="1556" w:val="left"/>
        </w:tabs>
        <w:numPr>
          <w:ilvl w:val="2"/>
          <w:numId w:val="3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Status</w:t>
      </w:r>
      <w:r>
        <w:rPr>
          <w:rFonts w:ascii="Arial" w:cs="Arial" w:eastAsia="Arial" w:hAnsi="Arial"/>
          <w:sz w:val="17"/>
          <w:szCs w:val="17"/>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74" w:lineRule="exact"/>
        <w:rPr>
          <w:rFonts w:ascii="Arial" w:cs="Arial" w:eastAsia="Arial" w:hAnsi="Arial"/>
          <w:sz w:val="17"/>
          <w:szCs w:val="17"/>
          <w:color w:val="auto"/>
        </w:rPr>
      </w:pPr>
    </w:p>
    <w:p>
      <w:pPr>
        <w:ind w:left="-3" w:right="120" w:firstLine="1334"/>
        <w:spacing w:after="0" w:line="268" w:lineRule="auto"/>
        <w:tabs>
          <w:tab w:leader="none" w:pos="1566" w:val="left"/>
        </w:tabs>
        <w:numPr>
          <w:ilvl w:val="2"/>
          <w:numId w:val="3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Disinterested Director</w:t>
      </w:r>
      <w:r>
        <w:rPr>
          <w:rFonts w:ascii="Arial" w:cs="Arial" w:eastAsia="Arial" w:hAnsi="Arial"/>
          <w:sz w:val="17"/>
          <w:szCs w:val="17"/>
          <w:color w:val="auto"/>
        </w:rPr>
        <w:t>” means a director of the Company who is not and was not a party to the Proceeding in respect of which indemnification is sought by Indemnitee.</w:t>
      </w:r>
    </w:p>
    <w:p>
      <w:pPr>
        <w:spacing w:after="0" w:line="65" w:lineRule="exact"/>
        <w:rPr>
          <w:rFonts w:ascii="Arial" w:cs="Arial" w:eastAsia="Arial" w:hAnsi="Arial"/>
          <w:sz w:val="17"/>
          <w:szCs w:val="17"/>
          <w:color w:val="auto"/>
        </w:rPr>
      </w:pPr>
    </w:p>
    <w:p>
      <w:pPr>
        <w:ind w:left="-3" w:right="60" w:firstLine="1334"/>
        <w:spacing w:after="0" w:line="335" w:lineRule="auto"/>
        <w:tabs>
          <w:tab w:leader="none" w:pos="1556" w:val="left"/>
        </w:tabs>
        <w:numPr>
          <w:ilvl w:val="2"/>
          <w:numId w:val="36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Enterprise</w:t>
      </w:r>
      <w:r>
        <w:rPr>
          <w:rFonts w:ascii="Arial" w:cs="Arial" w:eastAsia="Arial" w:hAnsi="Arial"/>
          <w:sz w:val="15"/>
          <w:szCs w:val="15"/>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20" w:lineRule="exact"/>
        <w:rPr>
          <w:rFonts w:ascii="Arial" w:cs="Arial" w:eastAsia="Arial" w:hAnsi="Arial"/>
          <w:sz w:val="15"/>
          <w:szCs w:val="15"/>
          <w:color w:val="auto"/>
        </w:rPr>
      </w:pPr>
    </w:p>
    <w:p>
      <w:pPr>
        <w:ind w:left="-3" w:firstLine="1334"/>
        <w:spacing w:after="0" w:line="287" w:lineRule="auto"/>
        <w:tabs>
          <w:tab w:leader="none" w:pos="1566" w:val="left"/>
        </w:tabs>
        <w:numPr>
          <w:ilvl w:val="2"/>
          <w:numId w:val="36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Expenses</w:t>
      </w:r>
      <w:r>
        <w:rPr>
          <w:rFonts w:ascii="Arial" w:cs="Arial" w:eastAsia="Arial" w:hAnsi="Arial"/>
          <w:sz w:val="15"/>
          <w:szCs w:val="15"/>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57" w:lineRule="exact"/>
        <w:rPr>
          <w:rFonts w:ascii="Arial" w:cs="Arial" w:eastAsia="Arial" w:hAnsi="Arial"/>
          <w:sz w:val="15"/>
          <w:szCs w:val="15"/>
          <w:color w:val="auto"/>
        </w:rPr>
      </w:pPr>
    </w:p>
    <w:p>
      <w:pPr>
        <w:ind w:left="-3" w:right="120" w:firstLine="1334"/>
        <w:spacing w:after="0" w:line="285" w:lineRule="auto"/>
        <w:tabs>
          <w:tab w:leader="none" w:pos="1556" w:val="left"/>
        </w:tabs>
        <w:numPr>
          <w:ilvl w:val="2"/>
          <w:numId w:val="36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 Counsel</w:t>
      </w:r>
      <w:r>
        <w:rPr>
          <w:rFonts w:ascii="Arial" w:cs="Arial" w:eastAsia="Arial" w:hAnsi="Arial"/>
          <w:sz w:val="15"/>
          <w:szCs w:val="15"/>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3" w:right="180" w:firstLine="3"/>
        <w:spacing w:after="0" w:line="267" w:lineRule="auto"/>
        <w:tabs>
          <w:tab w:leader="none" w:pos="24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68" w:lineRule="exact"/>
        <w:rPr>
          <w:rFonts w:ascii="Arial" w:cs="Arial" w:eastAsia="Arial" w:hAnsi="Arial"/>
          <w:sz w:val="16"/>
          <w:szCs w:val="16"/>
          <w:color w:val="auto"/>
        </w:rPr>
      </w:pPr>
    </w:p>
    <w:p>
      <w:pPr>
        <w:ind w:left="-3" w:right="40" w:firstLine="1334"/>
        <w:spacing w:after="0" w:line="268" w:lineRule="auto"/>
        <w:tabs>
          <w:tab w:leader="none" w:pos="1538" w:val="left"/>
        </w:tabs>
        <w:numPr>
          <w:ilvl w:val="2"/>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her Corporate Status, by reason of any action taken by him or of any inaction on his part while acting in his or her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to enforce his rights under this Agreement.</w:t>
      </w:r>
    </w:p>
    <w:p>
      <w:pPr>
        <w:spacing w:after="0" w:line="106"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37"/>
          </w:cols>
          <w:pgMar w:left="823" w:top="265" w:right="839" w:bottom="1440" w:gutter="0" w:footer="0" w:header="0"/>
        </w:sectPr>
      </w:pPr>
    </w:p>
    <w:bookmarkStart w:id="439" w:name="page440"/>
    <w:bookmarkEnd w:id="439"/>
    <w:p>
      <w:pPr>
        <w:ind w:firstLine="924"/>
        <w:spacing w:after="0" w:line="250" w:lineRule="auto"/>
        <w:tabs>
          <w:tab w:leader="none" w:pos="1173"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Severability</w:t>
      </w:r>
      <w:r>
        <w:rPr>
          <w:rFonts w:ascii="Arial" w:cs="Arial" w:eastAsia="Arial" w:hAnsi="Arial"/>
          <w:sz w:val="17"/>
          <w:szCs w:val="17"/>
          <w:color w:val="auto"/>
        </w:rPr>
        <w:t>.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 limiting the generality of the foregoing, this Agreement is intended to confer upon Indemnitee and Appointing Stockholder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83" w:lineRule="exact"/>
        <w:rPr>
          <w:rFonts w:ascii="Arial" w:cs="Arial" w:eastAsia="Arial" w:hAnsi="Arial"/>
          <w:sz w:val="17"/>
          <w:szCs w:val="17"/>
          <w:color w:val="auto"/>
        </w:rPr>
      </w:pPr>
    </w:p>
    <w:p>
      <w:pPr>
        <w:ind w:right="40" w:firstLine="924"/>
        <w:spacing w:after="0" w:line="257" w:lineRule="auto"/>
        <w:tabs>
          <w:tab w:leader="none" w:pos="1173"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74" w:lineRule="exact"/>
        <w:rPr>
          <w:rFonts w:ascii="Arial" w:cs="Arial" w:eastAsia="Arial" w:hAnsi="Arial"/>
          <w:sz w:val="17"/>
          <w:szCs w:val="17"/>
          <w:color w:val="auto"/>
        </w:rPr>
      </w:pPr>
    </w:p>
    <w:p>
      <w:pPr>
        <w:jc w:val="both"/>
        <w:ind w:right="200" w:firstLine="924"/>
        <w:spacing w:after="0" w:line="298" w:lineRule="auto"/>
        <w:tabs>
          <w:tab w:leader="none" w:pos="1173" w:val="left"/>
        </w:tabs>
        <w:numPr>
          <w:ilvl w:val="0"/>
          <w:numId w:val="369"/>
        </w:numPr>
        <w:rPr>
          <w:rFonts w:ascii="Arial" w:cs="Arial" w:eastAsia="Arial" w:hAnsi="Arial"/>
          <w:sz w:val="15"/>
          <w:szCs w:val="15"/>
          <w:color w:val="auto"/>
        </w:rPr>
      </w:pPr>
      <w:r>
        <w:rPr>
          <w:rFonts w:ascii="Arial" w:cs="Arial" w:eastAsia="Arial" w:hAnsi="Arial"/>
          <w:sz w:val="15"/>
          <w:szCs w:val="15"/>
          <w:u w:val="single" w:color="auto"/>
          <w:color w:val="auto"/>
        </w:rPr>
        <w:t>Notice By Indemnitee</w:t>
      </w:r>
      <w:r>
        <w:rPr>
          <w:rFonts w:ascii="Arial" w:cs="Arial" w:eastAsia="Arial" w:hAnsi="Arial"/>
          <w:sz w:val="15"/>
          <w:szCs w:val="15"/>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47" w:lineRule="exact"/>
        <w:rPr>
          <w:rFonts w:ascii="Arial" w:cs="Arial" w:eastAsia="Arial" w:hAnsi="Arial"/>
          <w:sz w:val="15"/>
          <w:szCs w:val="15"/>
          <w:color w:val="auto"/>
        </w:rPr>
      </w:pPr>
    </w:p>
    <w:p>
      <w:pPr>
        <w:ind w:left="1180" w:hanging="256"/>
        <w:spacing w:after="0"/>
        <w:tabs>
          <w:tab w:leader="none" w:pos="1180" w:val="left"/>
        </w:tabs>
        <w:numPr>
          <w:ilvl w:val="0"/>
          <w:numId w:val="36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given or made pursuant to this Agreement shall be in writing and shall be deemed</w:t>
      </w:r>
    </w:p>
    <w:p>
      <w:pPr>
        <w:spacing w:after="0" w:line="40" w:lineRule="exact"/>
        <w:rPr>
          <w:rFonts w:ascii="Arial" w:cs="Arial" w:eastAsia="Arial" w:hAnsi="Arial"/>
          <w:sz w:val="15"/>
          <w:szCs w:val="15"/>
          <w:color w:val="auto"/>
        </w:rPr>
      </w:pPr>
    </w:p>
    <w:p>
      <w:pPr>
        <w:ind w:right="160"/>
        <w:spacing w:after="0" w:line="248" w:lineRule="auto"/>
        <w:rPr>
          <w:rFonts w:ascii="Arial" w:cs="Arial" w:eastAsia="Arial" w:hAnsi="Arial"/>
          <w:sz w:val="15"/>
          <w:szCs w:val="15"/>
          <w:color w:val="auto"/>
        </w:rPr>
      </w:pPr>
      <w:r>
        <w:rPr>
          <w:rFonts w:ascii="Arial" w:cs="Arial" w:eastAsia="Arial" w:hAnsi="Arial"/>
          <w:sz w:val="17"/>
          <w:szCs w:val="17"/>
          <w:color w:val="auto"/>
        </w:rPr>
        <w:t>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83" w:lineRule="exact"/>
        <w:rPr>
          <w:rFonts w:ascii="Arial" w:cs="Arial" w:eastAsia="Arial" w:hAnsi="Arial"/>
          <w:sz w:val="15"/>
          <w:szCs w:val="15"/>
          <w:color w:val="auto"/>
        </w:rPr>
      </w:pPr>
    </w:p>
    <w:p>
      <w:pPr>
        <w:ind w:left="1560" w:hanging="226"/>
        <w:spacing w:after="0"/>
        <w:tabs>
          <w:tab w:leader="none" w:pos="1560" w:val="left"/>
        </w:tabs>
        <w:numPr>
          <w:ilvl w:val="1"/>
          <w:numId w:val="369"/>
        </w:numPr>
        <w:rPr>
          <w:rFonts w:ascii="Arial" w:cs="Arial" w:eastAsia="Arial" w:hAnsi="Arial"/>
          <w:sz w:val="17"/>
          <w:szCs w:val="17"/>
          <w:color w:val="auto"/>
        </w:rPr>
      </w:pPr>
      <w:r>
        <w:rPr>
          <w:rFonts w:ascii="Arial" w:cs="Arial" w:eastAsia="Arial" w:hAnsi="Arial"/>
          <w:sz w:val="17"/>
          <w:szCs w:val="17"/>
          <w:color w:val="auto"/>
        </w:rPr>
        <w:t>To Indemnitee at the address set forth below Indemnitee signature hereto.</w:t>
      </w:r>
    </w:p>
    <w:p>
      <w:pPr>
        <w:spacing w:after="0" w:line="105" w:lineRule="exact"/>
        <w:rPr>
          <w:rFonts w:ascii="Arial" w:cs="Arial" w:eastAsia="Arial" w:hAnsi="Arial"/>
          <w:sz w:val="17"/>
          <w:szCs w:val="17"/>
          <w:color w:val="auto"/>
        </w:rPr>
      </w:pPr>
    </w:p>
    <w:p>
      <w:pPr>
        <w:ind w:left="1580" w:hanging="246"/>
        <w:spacing w:after="0"/>
        <w:tabs>
          <w:tab w:leader="none" w:pos="1580" w:val="left"/>
        </w:tabs>
        <w:numPr>
          <w:ilvl w:val="1"/>
          <w:numId w:val="369"/>
        </w:numPr>
        <w:rPr>
          <w:rFonts w:ascii="Arial" w:cs="Arial" w:eastAsia="Arial" w:hAnsi="Arial"/>
          <w:sz w:val="17"/>
          <w:szCs w:val="17"/>
          <w:color w:val="auto"/>
        </w:rPr>
      </w:pPr>
      <w:r>
        <w:rPr>
          <w:rFonts w:ascii="Arial" w:cs="Arial" w:eastAsia="Arial" w:hAnsi="Arial"/>
          <w:sz w:val="17"/>
          <w:szCs w:val="17"/>
          <w:color w:val="auto"/>
        </w:rPr>
        <w:t>To the Company at:</w:t>
      </w:r>
    </w:p>
    <w:p>
      <w:pPr>
        <w:spacing w:after="0" w:line="10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Lyra Therapeutics, Inc.</w:t>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480 Arsenal Way</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Watertown, MA 02472</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Attention: Chief Executive Officer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40"/>
          </w:cols>
          <w:pgMar w:left="820" w:top="265" w:right="839" w:bottom="1440" w:gutter="0" w:footer="0" w:header="0"/>
        </w:sectPr>
      </w:pPr>
    </w:p>
    <w:bookmarkStart w:id="440" w:name="page441"/>
    <w:bookmarkEnd w:id="4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or to such other address as may have been furnished to Indemnitee by the Company or to the Company by Indemnitee, as the case may be.</w:t>
      </w:r>
    </w:p>
    <w:p>
      <w:pPr>
        <w:spacing w:after="0" w:line="117" w:lineRule="exact"/>
        <w:rPr>
          <w:sz w:val="20"/>
          <w:szCs w:val="20"/>
          <w:color w:val="auto"/>
        </w:rPr>
      </w:pPr>
    </w:p>
    <w:p>
      <w:pPr>
        <w:ind w:right="360" w:firstLine="924"/>
        <w:spacing w:after="0" w:line="298" w:lineRule="auto"/>
        <w:tabs>
          <w:tab w:leader="none" w:pos="1173" w:val="left"/>
        </w:tabs>
        <w:numPr>
          <w:ilvl w:val="0"/>
          <w:numId w:val="370"/>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5"/>
          <w:szCs w:val="15"/>
          <w:i w:val="1"/>
          <w:iCs w:val="1"/>
          <w:color w:val="auto"/>
        </w:rPr>
        <w:t>e.g.</w:t>
      </w:r>
      <w:r>
        <w:rPr>
          <w:rFonts w:ascii="Arial" w:cs="Arial" w:eastAsia="Arial" w:hAnsi="Arial"/>
          <w:sz w:val="15"/>
          <w:szCs w:val="15"/>
          <w:color w:val="auto"/>
        </w:rPr>
        <w:t>, www.docusign.com) or any other transmission method and any counterpart so delivered shall be deemed to have been duly and validly delivered and be valid and effective for all purposes.</w:t>
      </w:r>
    </w:p>
    <w:p>
      <w:pPr>
        <w:spacing w:after="0" w:line="47" w:lineRule="exact"/>
        <w:rPr>
          <w:rFonts w:ascii="Arial" w:cs="Arial" w:eastAsia="Arial" w:hAnsi="Arial"/>
          <w:sz w:val="15"/>
          <w:szCs w:val="15"/>
          <w:color w:val="auto"/>
        </w:rPr>
      </w:pPr>
    </w:p>
    <w:p>
      <w:pPr>
        <w:ind w:right="180" w:firstLine="924"/>
        <w:spacing w:after="0" w:line="268" w:lineRule="auto"/>
        <w:tabs>
          <w:tab w:leader="none" w:pos="1173"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paragraphs of this Agreement are inserted for convenience only and shall not be deemed to constitute part of this Agreement or to affect the construction thereof.</w:t>
      </w:r>
    </w:p>
    <w:p>
      <w:pPr>
        <w:spacing w:after="0" w:line="65" w:lineRule="exact"/>
        <w:rPr>
          <w:rFonts w:ascii="Arial" w:cs="Arial" w:eastAsia="Arial" w:hAnsi="Arial"/>
          <w:sz w:val="17"/>
          <w:szCs w:val="17"/>
          <w:color w:val="auto"/>
        </w:rPr>
      </w:pPr>
    </w:p>
    <w:p>
      <w:pPr>
        <w:ind w:firstLine="924"/>
        <w:spacing w:after="0" w:line="265" w:lineRule="auto"/>
        <w:tabs>
          <w:tab w:leader="none" w:pos="1173"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Governing Law and Consent to Jurisdiction.</w:t>
      </w:r>
      <w:r>
        <w:rPr>
          <w:rFonts w:ascii="Arial" w:cs="Arial" w:eastAsia="Arial" w:hAnsi="Arial"/>
          <w:sz w:val="16"/>
          <w:szCs w:val="16"/>
          <w:color w:val="auto"/>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6"/>
          <w:szCs w:val="16"/>
          <w:b w:val="1"/>
          <w:bCs w:val="1"/>
          <w:i w:val="1"/>
          <w:iCs w:val="1"/>
          <w:color w:val="auto"/>
        </w:rPr>
        <w:t>Delaware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The Corporation Trust Center, 1209 Orange Street, Wilmington, DE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20"/>
          </w:cols>
          <w:pgMar w:left="820" w:top="265" w:right="859" w:bottom="1440" w:gutter="0" w:footer="0" w:header="0"/>
        </w:sectPr>
      </w:pPr>
    </w:p>
    <w:bookmarkStart w:id="441" w:name="page442"/>
    <w:bookmarkEnd w:id="44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the parties hereto have executed this Indemnification Agreement on and as of the day and year first above written.</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11430</wp:posOffset>
            </wp:positionV>
            <wp:extent cx="239141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11430</wp:posOffset>
            </wp:positionV>
            <wp:extent cx="204851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11430</wp:posOffset>
            </wp:positionV>
            <wp:extent cx="204851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269240</wp:posOffset>
            </wp:positionV>
            <wp:extent cx="25984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0">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3959225</wp:posOffset>
            </wp:positionH>
            <wp:positionV relativeFrom="paragraph">
              <wp:posOffset>11430</wp:posOffset>
            </wp:positionV>
            <wp:extent cx="227965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1">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266700</wp:posOffset>
            </wp:positionV>
            <wp:extent cx="25984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2">
                      <a:extLst>
                        <a:ext uri="{28A0092B-C50C-407E-A947-70E740481C1C}"/>
                      </a:extLst>
                    </a:blip>
                    <a:srcRect/>
                    <a:stretch>
                      <a:fillRect/>
                    </a:stretch>
                  </pic:blipFill>
                  <pic:spPr bwMode="auto">
                    <a:xfrm>
                      <a:off x="0" y="0"/>
                      <a:ext cx="259842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409575</wp:posOffset>
            </wp:positionV>
            <wp:extent cx="25984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3">
                      <a:extLst>
                        <a:ext uri="{28A0092B-C50C-407E-A947-70E740481C1C}"/>
                      </a:extLst>
                    </a:blip>
                    <a:srcRect/>
                    <a:stretch>
                      <a:fillRect/>
                    </a:stretch>
                  </pic:blipFill>
                  <pic:spPr bwMode="auto">
                    <a:xfrm>
                      <a:off x="0" y="0"/>
                      <a:ext cx="259842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553085</wp:posOffset>
            </wp:positionV>
            <wp:extent cx="25984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4">
                      <a:extLst>
                        <a:ext uri="{28A0092B-C50C-407E-A947-70E740481C1C}"/>
                      </a:extLst>
                    </a:blip>
                    <a:srcRect/>
                    <a:stretch>
                      <a:fillRect/>
                    </a:stretch>
                  </pic:blipFill>
                  <pic:spPr bwMode="auto">
                    <a:xfrm>
                      <a:off x="0" y="0"/>
                      <a:ext cx="259842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696595</wp:posOffset>
            </wp:positionV>
            <wp:extent cx="25984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5">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Indemnification Agreement</w:t>
      </w:r>
    </w:p>
    <w:p>
      <w:pPr>
        <w:sectPr>
          <w:pgSz w:w="11900" w:h="16838" w:orient="portrait"/>
          <w:cols w:equalWidth="0" w:num="1">
            <w:col w:w="9480"/>
          </w:cols>
          <w:pgMar w:left="1240" w:top="265" w:right="1179" w:bottom="1440" w:gutter="0" w:footer="0" w:header="0"/>
        </w:sectPr>
      </w:pPr>
    </w:p>
    <w:bookmarkStart w:id="442" w:name="page443"/>
    <w:bookmarkEnd w:id="442"/>
    <w:p>
      <w:pPr>
        <w:jc w:val="right"/>
        <w:spacing w:after="0"/>
        <w:rPr>
          <w:sz w:val="20"/>
          <w:szCs w:val="20"/>
          <w:color w:val="auto"/>
        </w:rPr>
      </w:pPr>
      <w:r>
        <w:rPr>
          <w:rFonts w:ascii="Arial" w:cs="Arial" w:eastAsia="Arial" w:hAnsi="Arial"/>
          <w:sz w:val="17"/>
          <w:szCs w:val="17"/>
          <w:b w:val="1"/>
          <w:bCs w:val="1"/>
          <w:color w:val="auto"/>
        </w:rPr>
        <w:t>Exhibit 10.8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210" w:lineRule="exact"/>
        <w:rPr>
          <w:sz w:val="20"/>
          <w:szCs w:val="20"/>
          <w:color w:val="auto"/>
        </w:rPr>
      </w:pPr>
    </w:p>
    <w:p>
      <w:pPr>
        <w:ind w:right="240" w:firstLine="409"/>
        <w:spacing w:after="0" w:line="257"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April 27, 2020, is made by and between Lyra Therapeutics, Inc., a Delaware corporation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and Maria Palasis (“</w:t>
      </w:r>
      <w:r>
        <w:rPr>
          <w:rFonts w:ascii="Arial" w:cs="Arial" w:eastAsia="Arial" w:hAnsi="Arial"/>
          <w:sz w:val="17"/>
          <w:szCs w:val="17"/>
          <w:u w:val="single" w:color="auto"/>
          <w:color w:val="auto"/>
        </w:rPr>
        <w:t>Executive</w:t>
      </w:r>
      <w:r>
        <w:rPr>
          <w:rFonts w:ascii="Arial" w:cs="Arial" w:eastAsia="Arial" w:hAnsi="Arial"/>
          <w:sz w:val="17"/>
          <w:szCs w:val="17"/>
          <w:color w:val="auto"/>
        </w:rPr>
        <w:t>”) (collectively referred to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 or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5" w:lineRule="exact"/>
        <w:rPr>
          <w:sz w:val="20"/>
          <w:szCs w:val="20"/>
          <w:color w:val="auto"/>
        </w:rPr>
      </w:pPr>
    </w:p>
    <w:p>
      <w:pPr>
        <w:ind w:left="400" w:hanging="397"/>
        <w:spacing w:after="0"/>
        <w:tabs>
          <w:tab w:leader="none" w:pos="40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It is the desire of the Company to assure itself of the services of Executive as of the Effective Date and thereafter by entering into this Agreement.</w:t>
      </w:r>
    </w:p>
    <w:p>
      <w:pPr>
        <w:spacing w:after="0" w:line="141" w:lineRule="exact"/>
        <w:rPr>
          <w:rFonts w:ascii="Arial" w:cs="Arial" w:eastAsia="Arial" w:hAnsi="Arial"/>
          <w:sz w:val="15"/>
          <w:szCs w:val="15"/>
          <w:color w:val="auto"/>
        </w:rPr>
      </w:pPr>
    </w:p>
    <w:p>
      <w:pPr>
        <w:ind w:left="400" w:hanging="397"/>
        <w:spacing w:after="0"/>
        <w:tabs>
          <w:tab w:leader="none" w:pos="40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Executive and the Company mutually desire that Executive provide services to the Company on the terms herein provided.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10" w:lineRule="exact"/>
        <w:rPr>
          <w:sz w:val="20"/>
          <w:szCs w:val="20"/>
          <w:color w:val="auto"/>
        </w:rPr>
      </w:pPr>
    </w:p>
    <w:p>
      <w:pPr>
        <w:ind w:right="20" w:firstLine="409"/>
        <w:spacing w:after="0" w:line="268" w:lineRule="auto"/>
        <w:rPr>
          <w:sz w:val="20"/>
          <w:szCs w:val="20"/>
          <w:color w:val="auto"/>
        </w:rPr>
      </w:pPr>
      <w:r>
        <w:rPr>
          <w:rFonts w:ascii="Arial" w:cs="Arial" w:eastAsia="Arial" w:hAnsi="Arial"/>
          <w:sz w:val="17"/>
          <w:szCs w:val="17"/>
          <w:color w:val="auto"/>
        </w:rPr>
        <w:t>NOW, THEREFORE, in consideration of the foregoing and of the respective covenants and agreements set forth below, the Parties hereto agree as follows:</w:t>
      </w:r>
    </w:p>
    <w:p>
      <w:pPr>
        <w:spacing w:after="0" w:line="300" w:lineRule="exact"/>
        <w:rPr>
          <w:sz w:val="20"/>
          <w:szCs w:val="20"/>
          <w:color w:val="auto"/>
        </w:rPr>
      </w:pPr>
    </w:p>
    <w:p>
      <w:pPr>
        <w:ind w:left="400" w:hanging="397"/>
        <w:spacing w:after="0"/>
        <w:tabs>
          <w:tab w:leader="none" w:pos="400" w:val="left"/>
        </w:tabs>
        <w:numPr>
          <w:ilvl w:val="0"/>
          <w:numId w:val="3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Employment</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right="160" w:firstLine="412"/>
        <w:spacing w:after="0" w:line="307" w:lineRule="auto"/>
        <w:tabs>
          <w:tab w:leader="none" w:pos="637"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consummation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be employed by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41" w:lineRule="exact"/>
        <w:rPr>
          <w:rFonts w:ascii="Arial" w:cs="Arial" w:eastAsia="Arial" w:hAnsi="Arial"/>
          <w:sz w:val="15"/>
          <w:szCs w:val="15"/>
          <w:color w:val="auto"/>
        </w:rPr>
      </w:pPr>
    </w:p>
    <w:p>
      <w:pPr>
        <w:ind w:right="20" w:firstLine="412"/>
        <w:spacing w:after="0" w:line="288" w:lineRule="auto"/>
        <w:tabs>
          <w:tab w:leader="none" w:pos="646" w:val="left"/>
        </w:tabs>
        <w:numPr>
          <w:ilvl w:val="1"/>
          <w:numId w:val="372"/>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57" w:lineRule="exact"/>
        <w:rPr>
          <w:rFonts w:ascii="Arial" w:cs="Arial" w:eastAsia="Arial" w:hAnsi="Arial"/>
          <w:sz w:val="15"/>
          <w:szCs w:val="15"/>
          <w:color w:val="auto"/>
        </w:rPr>
      </w:pPr>
    </w:p>
    <w:p>
      <w:pPr>
        <w:ind w:right="140" w:firstLine="412"/>
        <w:spacing w:after="0" w:line="250" w:lineRule="auto"/>
        <w:tabs>
          <w:tab w:leader="none" w:pos="637" w:val="left"/>
        </w:tabs>
        <w:numPr>
          <w:ilvl w:val="1"/>
          <w:numId w:val="372"/>
        </w:numPr>
        <w:rPr>
          <w:rFonts w:ascii="Arial" w:cs="Arial" w:eastAsia="Arial" w:hAnsi="Arial"/>
          <w:sz w:val="17"/>
          <w:szCs w:val="17"/>
          <w:color w:val="auto"/>
        </w:rPr>
      </w:pPr>
      <w:r>
        <w:rPr>
          <w:rFonts w:ascii="Arial" w:cs="Arial" w:eastAsia="Arial" w:hAnsi="Arial"/>
          <w:sz w:val="17"/>
          <w:szCs w:val="17"/>
          <w:u w:val="single" w:color="auto"/>
          <w:color w:val="auto"/>
        </w:rPr>
        <w:t>Positions and Duties</w:t>
      </w:r>
      <w:r>
        <w:rPr>
          <w:rFonts w:ascii="Arial" w:cs="Arial" w:eastAsia="Arial" w:hAnsi="Arial"/>
          <w:sz w:val="17"/>
          <w:szCs w:val="17"/>
          <w:color w:val="auto"/>
        </w:rPr>
        <w:t>. During the Term, Executive shall serve as President and Chief Executive Officer of the Company, with such responsibilities, duties and authority normally associated with such position and as may from time to time be assigned to Executive by the Board of Directors of the Company or an authorized committee thereof (in either case, the “</w:t>
      </w:r>
      <w:r>
        <w:rPr>
          <w:rFonts w:ascii="Arial" w:cs="Arial" w:eastAsia="Arial" w:hAnsi="Arial"/>
          <w:sz w:val="17"/>
          <w:szCs w:val="17"/>
          <w:u w:val="single" w:color="auto"/>
          <w:color w:val="auto"/>
        </w:rPr>
        <w:t>Board</w:t>
      </w:r>
      <w:r>
        <w:rPr>
          <w:rFonts w:ascii="Arial" w:cs="Arial" w:eastAsia="Arial" w:hAnsi="Arial"/>
          <w:sz w:val="17"/>
          <w:szCs w:val="17"/>
          <w:color w:val="auto"/>
        </w:rPr>
        <w:t>”).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provided that Executive shall be permitted to (i) manage Executive’s personal, financial and legal affairs, (ii) participate in trade associations, and (iii) serve on the board of directors of not-for-profit or tax-exempt</w:t>
      </w:r>
    </w:p>
    <w:p>
      <w:pPr>
        <w:sectPr>
          <w:pgSz w:w="11900" w:h="16838" w:orient="portrait"/>
          <w:cols w:equalWidth="0" w:num="1">
            <w:col w:w="10240"/>
          </w:cols>
          <w:pgMar w:left="820" w:top="122" w:right="839" w:bottom="1440" w:gutter="0" w:footer="0" w:header="0"/>
        </w:sectPr>
      </w:pPr>
    </w:p>
    <w:bookmarkStart w:id="443" w:name="page444"/>
    <w:bookmarkEnd w:id="443"/>
    <w:p>
      <w:pPr>
        <w:ind w:right="8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(collectively, the “</w:t>
      </w:r>
      <w:r>
        <w:rPr>
          <w:rFonts w:ascii="Arial" w:cs="Arial" w:eastAsia="Arial" w:hAnsi="Arial"/>
          <w:sz w:val="17"/>
          <w:szCs w:val="17"/>
          <w:u w:val="single" w:color="auto"/>
          <w:color w:val="auto"/>
        </w:rPr>
        <w:t>Policies</w:t>
      </w:r>
      <w:r>
        <w:rPr>
          <w:rFonts w:ascii="Arial" w:cs="Arial" w:eastAsia="Arial" w:hAnsi="Arial"/>
          <w:sz w:val="17"/>
          <w:szCs w:val="17"/>
          <w:color w:val="auto"/>
        </w:rPr>
        <w:t>” and, each, a “</w:t>
      </w:r>
      <w:r>
        <w:rPr>
          <w:rFonts w:ascii="Arial" w:cs="Arial" w:eastAsia="Arial" w:hAnsi="Arial"/>
          <w:sz w:val="17"/>
          <w:szCs w:val="17"/>
          <w:u w:val="single" w:color="auto"/>
          <w:color w:val="auto"/>
        </w:rPr>
        <w:t>Policy</w:t>
      </w:r>
      <w:r>
        <w:rPr>
          <w:rFonts w:ascii="Arial" w:cs="Arial" w:eastAsia="Arial" w:hAnsi="Arial"/>
          <w:sz w:val="17"/>
          <w:szCs w:val="17"/>
          <w:color w:val="auto"/>
        </w:rPr>
        <w:t>”).</w:t>
      </w:r>
    </w:p>
    <w:p>
      <w:pPr>
        <w:spacing w:after="0" w:line="276" w:lineRule="exact"/>
        <w:rPr>
          <w:sz w:val="20"/>
          <w:szCs w:val="20"/>
          <w:color w:val="auto"/>
        </w:rPr>
      </w:pPr>
    </w:p>
    <w:p>
      <w:pPr>
        <w:ind w:left="160" w:hanging="157"/>
        <w:spacing w:after="0"/>
        <w:tabs>
          <w:tab w:leader="none" w:pos="160" w:val="left"/>
        </w:tabs>
        <w:numPr>
          <w:ilvl w:val="0"/>
          <w:numId w:val="3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and Related Matters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right="20" w:firstLine="412"/>
        <w:spacing w:after="0" w:line="307" w:lineRule="auto"/>
        <w:tabs>
          <w:tab w:leader="none" w:pos="637" w:val="left"/>
        </w:tabs>
        <w:numPr>
          <w:ilvl w:val="1"/>
          <w:numId w:val="373"/>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$500,000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Arial" w:cs="Arial" w:eastAsia="Arial" w:hAnsi="Arial"/>
          <w:sz w:val="15"/>
          <w:szCs w:val="15"/>
          <w:u w:val="single" w:color="auto"/>
          <w:color w:val="auto"/>
        </w:rPr>
        <w:t>Annual Base Salary</w:t>
      </w:r>
      <w:r>
        <w:rPr>
          <w:rFonts w:ascii="Arial" w:cs="Arial" w:eastAsia="Arial" w:hAnsi="Arial"/>
          <w:sz w:val="15"/>
          <w:szCs w:val="15"/>
          <w:color w:val="auto"/>
        </w:rPr>
        <w:t>”).</w:t>
      </w:r>
    </w:p>
    <w:p>
      <w:pPr>
        <w:spacing w:after="0" w:line="41" w:lineRule="exact"/>
        <w:rPr>
          <w:rFonts w:ascii="Arial" w:cs="Arial" w:eastAsia="Arial" w:hAnsi="Arial"/>
          <w:sz w:val="15"/>
          <w:szCs w:val="15"/>
          <w:color w:val="auto"/>
        </w:rPr>
      </w:pPr>
    </w:p>
    <w:p>
      <w:pPr>
        <w:ind w:right="100" w:firstLine="412"/>
        <w:spacing w:after="0" w:line="250" w:lineRule="auto"/>
        <w:tabs>
          <w:tab w:leader="none" w:pos="646"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Annual Cash Bonus Opportunity</w:t>
      </w:r>
      <w:r>
        <w:rPr>
          <w:rFonts w:ascii="Arial" w:cs="Arial" w:eastAsia="Arial" w:hAnsi="Arial"/>
          <w:sz w:val="17"/>
          <w:szCs w:val="17"/>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7"/>
          <w:szCs w:val="17"/>
          <w:u w:val="single" w:color="auto"/>
          <w:color w:val="auto"/>
        </w:rPr>
        <w:t>Annual Bonus</w:t>
      </w:r>
      <w:r>
        <w:rPr>
          <w:rFonts w:ascii="Arial" w:cs="Arial" w:eastAsia="Arial" w:hAnsi="Arial"/>
          <w:sz w:val="17"/>
          <w:szCs w:val="17"/>
          <w:color w:val="auto"/>
        </w:rPr>
        <w:t>”) shall be targeted at 55% of Executive’s Annual Base Salary (such target, as may be increased by the Board from time to time, the “</w:t>
      </w:r>
      <w:r>
        <w:rPr>
          <w:rFonts w:ascii="Arial" w:cs="Arial" w:eastAsia="Arial" w:hAnsi="Arial"/>
          <w:sz w:val="17"/>
          <w:szCs w:val="17"/>
          <w:u w:val="single" w:color="auto"/>
          <w:color w:val="auto"/>
        </w:rPr>
        <w:t>Target Annual Bonus</w:t>
      </w:r>
      <w:r>
        <w:rPr>
          <w:rFonts w:ascii="Arial" w:cs="Arial" w:eastAsia="Arial" w:hAnsi="Arial"/>
          <w:sz w:val="17"/>
          <w:szCs w:val="17"/>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Arial" w:cs="Arial" w:eastAsia="Arial" w:hAnsi="Arial"/>
          <w:sz w:val="17"/>
          <w:szCs w:val="17"/>
          <w:u w:val="single" w:color="auto"/>
          <w:color w:val="auto"/>
        </w:rPr>
        <w:t>Section 4(b)</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firstLine="412"/>
        <w:spacing w:after="0" w:line="253" w:lineRule="auto"/>
        <w:tabs>
          <w:tab w:leader="none" w:pos="637"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xml:space="preserve">. During the Term, Executive shall be eligible to participate in employee benefit plans, programs and arrangements of the Company (including medical, dental and 401(k) plans), subject to the terms and eligibility requirements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w:t>
      </w:r>
    </w:p>
    <w:p>
      <w:pPr>
        <w:spacing w:after="0" w:line="79" w:lineRule="exact"/>
        <w:rPr>
          <w:rFonts w:ascii="Arial" w:cs="Arial" w:eastAsia="Arial" w:hAnsi="Arial"/>
          <w:sz w:val="17"/>
          <w:szCs w:val="17"/>
          <w:color w:val="auto"/>
        </w:rPr>
      </w:pPr>
    </w:p>
    <w:p>
      <w:pPr>
        <w:ind w:right="180" w:firstLine="412"/>
        <w:spacing w:after="0" w:line="268" w:lineRule="auto"/>
        <w:tabs>
          <w:tab w:leader="none" w:pos="646"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Term, Executive shall be entitled to paid personal leave in accordance with the Company’s Policies. Any vacation shall be taken at the reasonable and mutual convenience of the Company and Executive.</w:t>
      </w:r>
    </w:p>
    <w:p>
      <w:pPr>
        <w:spacing w:after="0" w:line="65" w:lineRule="exact"/>
        <w:rPr>
          <w:rFonts w:ascii="Arial" w:cs="Arial" w:eastAsia="Arial" w:hAnsi="Arial"/>
          <w:sz w:val="17"/>
          <w:szCs w:val="17"/>
          <w:color w:val="auto"/>
        </w:rPr>
      </w:pPr>
    </w:p>
    <w:p>
      <w:pPr>
        <w:ind w:right="20" w:firstLine="412"/>
        <w:spacing w:after="0" w:line="335" w:lineRule="auto"/>
        <w:tabs>
          <w:tab w:leader="none" w:pos="637" w:val="left"/>
        </w:tabs>
        <w:numPr>
          <w:ilvl w:val="1"/>
          <w:numId w:val="373"/>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20" w:lineRule="exact"/>
        <w:rPr>
          <w:rFonts w:ascii="Arial" w:cs="Arial" w:eastAsia="Arial" w:hAnsi="Arial"/>
          <w:sz w:val="15"/>
          <w:szCs w:val="15"/>
          <w:color w:val="auto"/>
        </w:rPr>
      </w:pPr>
    </w:p>
    <w:p>
      <w:pPr>
        <w:ind w:firstLine="412"/>
        <w:spacing w:after="0" w:line="290" w:lineRule="auto"/>
        <w:tabs>
          <w:tab w:leader="none" w:pos="618" w:val="left"/>
        </w:tabs>
        <w:numPr>
          <w:ilvl w:val="1"/>
          <w:numId w:val="373"/>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5" w:right="839" w:bottom="1440" w:gutter="0" w:footer="0" w:header="0"/>
        </w:sectPr>
      </w:pPr>
    </w:p>
    <w:bookmarkStart w:id="444" w:name="page445"/>
    <w:bookmarkEnd w:id="444"/>
    <w:p>
      <w:pPr>
        <w:ind w:left="160" w:hanging="157"/>
        <w:spacing w:after="0"/>
        <w:tabs>
          <w:tab w:leader="none" w:pos="160"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Termination</w:t>
      </w:r>
      <w:r>
        <w:rPr>
          <w:rFonts w:ascii="Arial" w:cs="Arial" w:eastAsia="Arial" w:hAnsi="Arial"/>
          <w:sz w:val="17"/>
          <w:szCs w:val="17"/>
          <w:b w:val="1"/>
          <w:bCs w:val="1"/>
          <w:color w:val="auto"/>
        </w:rPr>
        <w:t>.</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Both Executive’s employment hereunder and the Term may be terminated by the Company or Executive, as applicable, without any breach of this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Agreement under the following circumstances:</w:t>
      </w:r>
    </w:p>
    <w:p>
      <w:pPr>
        <w:spacing w:after="0" w:line="94" w:lineRule="exact"/>
        <w:rPr>
          <w:sz w:val="20"/>
          <w:szCs w:val="20"/>
          <w:color w:val="auto"/>
        </w:rPr>
      </w:pPr>
    </w:p>
    <w:p>
      <w:pPr>
        <w:ind w:left="640" w:hanging="228"/>
        <w:spacing w:after="0"/>
        <w:tabs>
          <w:tab w:leader="none" w:pos="640" w:val="left"/>
        </w:tabs>
        <w:numPr>
          <w:ilvl w:val="0"/>
          <w:numId w:val="375"/>
        </w:numPr>
        <w:rPr>
          <w:rFonts w:ascii="Arial" w:cs="Arial" w:eastAsia="Arial" w:hAnsi="Arial"/>
          <w:sz w:val="17"/>
          <w:szCs w:val="17"/>
          <w:color w:val="auto"/>
        </w:rPr>
      </w:pPr>
      <w:r>
        <w:rPr>
          <w:rFonts w:ascii="Arial" w:cs="Arial" w:eastAsia="Arial" w:hAnsi="Arial"/>
          <w:sz w:val="17"/>
          <w:szCs w:val="17"/>
          <w:u w:val="single" w:color="auto"/>
          <w:color w:val="auto"/>
        </w:rPr>
        <w:t>Circumstances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1000" w:hanging="195"/>
        <w:spacing w:after="0"/>
        <w:tabs>
          <w:tab w:leader="none" w:pos="1000" w:val="left"/>
        </w:tabs>
        <w:numPr>
          <w:ilvl w:val="1"/>
          <w:numId w:val="375"/>
        </w:numPr>
        <w:rPr>
          <w:rFonts w:ascii="Arial" w:cs="Arial" w:eastAsia="Arial" w:hAnsi="Arial"/>
          <w:sz w:val="17"/>
          <w:szCs w:val="17"/>
          <w:color w:val="auto"/>
        </w:rPr>
      </w:pPr>
      <w:r>
        <w:rPr>
          <w:rFonts w:ascii="Arial" w:cs="Arial" w:eastAsia="Arial" w:hAnsi="Arial"/>
          <w:sz w:val="17"/>
          <w:szCs w:val="17"/>
          <w:i w:val="1"/>
          <w:iCs w:val="1"/>
          <w:color w:val="auto"/>
        </w:rPr>
        <w:t>Death</w:t>
      </w:r>
      <w:r>
        <w:rPr>
          <w:rFonts w:ascii="Arial" w:cs="Arial" w:eastAsia="Arial" w:hAnsi="Arial"/>
          <w:sz w:val="17"/>
          <w:szCs w:val="17"/>
          <w:color w:val="auto"/>
        </w:rPr>
        <w:t>. Executive’s employment hereunder shall terminate upon Executive’s death.</w:t>
      </w:r>
    </w:p>
    <w:p>
      <w:pPr>
        <w:spacing w:after="0" w:line="105" w:lineRule="exact"/>
        <w:rPr>
          <w:rFonts w:ascii="Arial" w:cs="Arial" w:eastAsia="Arial" w:hAnsi="Arial"/>
          <w:sz w:val="17"/>
          <w:szCs w:val="17"/>
          <w:color w:val="auto"/>
        </w:rPr>
      </w:pPr>
    </w:p>
    <w:p>
      <w:pPr>
        <w:ind w:left="1060" w:hanging="255"/>
        <w:spacing w:after="0"/>
        <w:tabs>
          <w:tab w:leader="none" w:pos="1060" w:val="left"/>
        </w:tabs>
        <w:numPr>
          <w:ilvl w:val="1"/>
          <w:numId w:val="375"/>
        </w:numPr>
        <w:rPr>
          <w:rFonts w:ascii="Arial" w:cs="Arial" w:eastAsia="Arial" w:hAnsi="Arial"/>
          <w:sz w:val="17"/>
          <w:szCs w:val="17"/>
          <w:color w:val="auto"/>
        </w:rPr>
      </w:pPr>
      <w:r>
        <w:rPr>
          <w:rFonts w:ascii="Arial" w:cs="Arial" w:eastAsia="Arial" w:hAnsi="Arial"/>
          <w:sz w:val="17"/>
          <w:szCs w:val="17"/>
          <w:i w:val="1"/>
          <w:iCs w:val="1"/>
          <w:color w:val="auto"/>
        </w:rPr>
        <w:t>Disability</w:t>
      </w:r>
      <w:r>
        <w:rPr>
          <w:rFonts w:ascii="Arial" w:cs="Arial" w:eastAsia="Arial" w:hAnsi="Arial"/>
          <w:sz w:val="17"/>
          <w:szCs w:val="17"/>
          <w:color w:val="auto"/>
        </w:rPr>
        <w:t>. If Executive has incurred a Disability, as defined below, the Company may terminate Executive’s employment.</w:t>
      </w:r>
    </w:p>
    <w:p>
      <w:pPr>
        <w:spacing w:after="0" w:line="105" w:lineRule="exact"/>
        <w:rPr>
          <w:rFonts w:ascii="Arial" w:cs="Arial" w:eastAsia="Arial" w:hAnsi="Arial"/>
          <w:sz w:val="17"/>
          <w:szCs w:val="17"/>
          <w:color w:val="auto"/>
        </w:rPr>
      </w:pPr>
    </w:p>
    <w:p>
      <w:pPr>
        <w:ind w:left="1100" w:hanging="295"/>
        <w:spacing w:after="0"/>
        <w:tabs>
          <w:tab w:leader="none" w:pos="1100" w:val="left"/>
        </w:tabs>
        <w:numPr>
          <w:ilvl w:val="1"/>
          <w:numId w:val="375"/>
        </w:numPr>
        <w:rPr>
          <w:rFonts w:ascii="Arial" w:cs="Arial" w:eastAsia="Arial" w:hAnsi="Arial"/>
          <w:sz w:val="17"/>
          <w:szCs w:val="17"/>
          <w:color w:val="auto"/>
        </w:rPr>
      </w:pPr>
      <w:r>
        <w:rPr>
          <w:rFonts w:ascii="Arial" w:cs="Arial" w:eastAsia="Arial" w:hAnsi="Arial"/>
          <w:sz w:val="17"/>
          <w:szCs w:val="17"/>
          <w:i w:val="1"/>
          <w:iCs w:val="1"/>
          <w:color w:val="auto"/>
        </w:rPr>
        <w:t>Termination for Cause</w:t>
      </w:r>
      <w:r>
        <w:rPr>
          <w:rFonts w:ascii="Arial" w:cs="Arial" w:eastAsia="Arial" w:hAnsi="Arial"/>
          <w:sz w:val="17"/>
          <w:szCs w:val="17"/>
          <w:color w:val="auto"/>
        </w:rPr>
        <w:t>. The Company may terminate Executive’s employment for Cause, as defined below.</w:t>
      </w:r>
    </w:p>
    <w:p>
      <w:pPr>
        <w:spacing w:after="0" w:line="105" w:lineRule="exact"/>
        <w:rPr>
          <w:rFonts w:ascii="Arial" w:cs="Arial" w:eastAsia="Arial" w:hAnsi="Arial"/>
          <w:sz w:val="17"/>
          <w:szCs w:val="17"/>
          <w:color w:val="auto"/>
        </w:rPr>
      </w:pPr>
    </w:p>
    <w:p>
      <w:pPr>
        <w:ind w:left="1080" w:hanging="275"/>
        <w:spacing w:after="0"/>
        <w:tabs>
          <w:tab w:leader="none" w:pos="1080" w:val="left"/>
        </w:tabs>
        <w:numPr>
          <w:ilvl w:val="1"/>
          <w:numId w:val="375"/>
        </w:numPr>
        <w:rPr>
          <w:rFonts w:ascii="Arial" w:cs="Arial" w:eastAsia="Arial" w:hAnsi="Arial"/>
          <w:sz w:val="17"/>
          <w:szCs w:val="17"/>
          <w:color w:val="auto"/>
        </w:rPr>
      </w:pPr>
      <w:r>
        <w:rPr>
          <w:rFonts w:ascii="Arial" w:cs="Arial" w:eastAsia="Arial" w:hAnsi="Arial"/>
          <w:sz w:val="17"/>
          <w:szCs w:val="17"/>
          <w:i w:val="1"/>
          <w:iCs w:val="1"/>
          <w:color w:val="auto"/>
        </w:rPr>
        <w:t>Termination without Cause</w:t>
      </w:r>
      <w:r>
        <w:rPr>
          <w:rFonts w:ascii="Arial" w:cs="Arial" w:eastAsia="Arial" w:hAnsi="Arial"/>
          <w:sz w:val="17"/>
          <w:szCs w:val="17"/>
          <w:color w:val="auto"/>
        </w:rPr>
        <w:t>. The Company may terminate Executive’s employment without Cause.</w:t>
      </w:r>
    </w:p>
    <w:p>
      <w:pPr>
        <w:spacing w:after="0" w:line="105" w:lineRule="exact"/>
        <w:rPr>
          <w:rFonts w:ascii="Arial" w:cs="Arial" w:eastAsia="Arial" w:hAnsi="Arial"/>
          <w:sz w:val="17"/>
          <w:szCs w:val="17"/>
          <w:color w:val="auto"/>
        </w:rPr>
      </w:pPr>
    </w:p>
    <w:p>
      <w:pPr>
        <w:ind w:left="420" w:firstLine="385"/>
        <w:spacing w:after="0" w:line="268" w:lineRule="auto"/>
        <w:tabs>
          <w:tab w:leader="none" w:pos="1050" w:val="left"/>
        </w:tabs>
        <w:numPr>
          <w:ilvl w:val="1"/>
          <w:numId w:val="375"/>
        </w:numPr>
        <w:rPr>
          <w:rFonts w:ascii="Arial" w:cs="Arial" w:eastAsia="Arial" w:hAnsi="Arial"/>
          <w:sz w:val="17"/>
          <w:szCs w:val="17"/>
          <w:color w:val="auto"/>
        </w:rPr>
      </w:pPr>
      <w:r>
        <w:rPr>
          <w:rFonts w:ascii="Arial" w:cs="Arial" w:eastAsia="Arial" w:hAnsi="Arial"/>
          <w:sz w:val="17"/>
          <w:szCs w:val="17"/>
          <w:i w:val="1"/>
          <w:iCs w:val="1"/>
          <w:color w:val="auto"/>
        </w:rPr>
        <w:t xml:space="preserve">Resignation from the Company with Good Reason. </w:t>
      </w:r>
      <w:r>
        <w:rPr>
          <w:rFonts w:ascii="Arial" w:cs="Arial" w:eastAsia="Arial" w:hAnsi="Arial"/>
          <w:sz w:val="17"/>
          <w:szCs w:val="17"/>
          <w:color w:val="auto"/>
        </w:rPr>
        <w:t>Executive may resign Executive’s employment with the Company with 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below.</w:t>
      </w:r>
    </w:p>
    <w:p>
      <w:pPr>
        <w:spacing w:after="0" w:line="65" w:lineRule="exact"/>
        <w:rPr>
          <w:rFonts w:ascii="Arial" w:cs="Arial" w:eastAsia="Arial" w:hAnsi="Arial"/>
          <w:sz w:val="17"/>
          <w:szCs w:val="17"/>
          <w:color w:val="auto"/>
        </w:rPr>
      </w:pPr>
    </w:p>
    <w:p>
      <w:pPr>
        <w:ind w:left="420" w:right="60" w:firstLine="385"/>
        <w:spacing w:after="0" w:line="268" w:lineRule="auto"/>
        <w:tabs>
          <w:tab w:leader="none" w:pos="1097" w:val="left"/>
        </w:tabs>
        <w:numPr>
          <w:ilvl w:val="1"/>
          <w:numId w:val="375"/>
        </w:numPr>
        <w:rPr>
          <w:rFonts w:ascii="Arial" w:cs="Arial" w:eastAsia="Arial" w:hAnsi="Arial"/>
          <w:sz w:val="17"/>
          <w:szCs w:val="17"/>
          <w:color w:val="auto"/>
        </w:rPr>
      </w:pPr>
      <w:r>
        <w:rPr>
          <w:rFonts w:ascii="Arial" w:cs="Arial" w:eastAsia="Arial" w:hAnsi="Arial"/>
          <w:sz w:val="17"/>
          <w:szCs w:val="17"/>
          <w:i w:val="1"/>
          <w:iCs w:val="1"/>
          <w:color w:val="auto"/>
        </w:rPr>
        <w:t>Resignation from the Company without Good Reason</w:t>
      </w:r>
      <w:r>
        <w:rPr>
          <w:rFonts w:ascii="Arial" w:cs="Arial" w:eastAsia="Arial" w:hAnsi="Arial"/>
          <w:sz w:val="17"/>
          <w:szCs w:val="17"/>
          <w:color w:val="auto"/>
        </w:rPr>
        <w:t>. Executive may resign Executive’s employment with the Company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Good Reason or for no reason.</w:t>
      </w:r>
    </w:p>
    <w:p>
      <w:pPr>
        <w:spacing w:after="0" w:line="65" w:lineRule="exact"/>
        <w:rPr>
          <w:rFonts w:ascii="Arial" w:cs="Arial" w:eastAsia="Arial" w:hAnsi="Arial"/>
          <w:sz w:val="17"/>
          <w:szCs w:val="17"/>
          <w:color w:val="auto"/>
        </w:rPr>
      </w:pPr>
    </w:p>
    <w:p>
      <w:pPr>
        <w:ind w:right="60" w:firstLine="412"/>
        <w:spacing w:after="0" w:line="285" w:lineRule="auto"/>
        <w:tabs>
          <w:tab w:leader="none" w:pos="646" w:val="left"/>
        </w:tabs>
        <w:numPr>
          <w:ilvl w:val="0"/>
          <w:numId w:val="375"/>
        </w:numPr>
        <w:rPr>
          <w:rFonts w:ascii="Arial" w:cs="Arial" w:eastAsia="Arial" w:hAnsi="Arial"/>
          <w:sz w:val="15"/>
          <w:szCs w:val="15"/>
          <w:color w:val="auto"/>
        </w:rPr>
      </w:pP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Any termination of Executive’s employment by the Company or by Executive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(other than termination pursuant to </w:t>
      </w:r>
      <w:r>
        <w:rPr>
          <w:rFonts w:ascii="Arial" w:cs="Arial" w:eastAsia="Arial" w:hAnsi="Arial"/>
          <w:sz w:val="15"/>
          <w:szCs w:val="15"/>
          <w:u w:val="single" w:color="auto"/>
          <w:color w:val="auto"/>
        </w:rPr>
        <w:t>Section 3(a)(i))</w:t>
      </w:r>
      <w:r>
        <w:rPr>
          <w:rFonts w:ascii="Arial" w:cs="Arial" w:eastAsia="Arial" w:hAnsi="Arial"/>
          <w:sz w:val="15"/>
          <w:szCs w:val="15"/>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(as defined below) which, if submitted by Executive, shall be at least thirty (30) days following the date of such notice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56" w:lineRule="exact"/>
        <w:rPr>
          <w:rFonts w:ascii="Arial" w:cs="Arial" w:eastAsia="Arial" w:hAnsi="Arial"/>
          <w:sz w:val="15"/>
          <w:szCs w:val="15"/>
          <w:color w:val="auto"/>
        </w:rPr>
      </w:pPr>
    </w:p>
    <w:p>
      <w:pPr>
        <w:ind w:right="20" w:firstLine="412"/>
        <w:spacing w:after="0" w:line="266" w:lineRule="auto"/>
        <w:tabs>
          <w:tab w:leader="none" w:pos="637"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Company Obligations upon Termination</w:t>
      </w:r>
      <w:r>
        <w:rPr>
          <w:rFonts w:ascii="Arial" w:cs="Arial" w:eastAsia="Arial" w:hAnsi="Arial"/>
          <w:sz w:val="16"/>
          <w:szCs w:val="16"/>
          <w:color w:val="auto"/>
        </w:rPr>
        <w:t xml:space="preserve">. Upon termination of Executive’s employment pursuant to any of the circumstances listed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Arrangements</w:t>
      </w:r>
      <w:r>
        <w:rPr>
          <w:rFonts w:ascii="Arial" w:cs="Arial" w:eastAsia="Arial" w:hAnsi="Arial"/>
          <w:sz w:val="16"/>
          <w:szCs w:val="16"/>
          <w:color w:val="auto"/>
        </w:rPr>
        <w:t>”). Except as otherwise expressly required by law (e.g.,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as applicable.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0"/>
          </w:cols>
          <w:pgMar w:left="820" w:top="261" w:right="839" w:bottom="1440" w:gutter="0" w:footer="0" w:header="0"/>
        </w:sectPr>
      </w:pPr>
    </w:p>
    <w:bookmarkStart w:id="445" w:name="page446"/>
    <w:bookmarkEnd w:id="445"/>
    <w:p>
      <w:pPr>
        <w:ind w:right="460" w:firstLine="412"/>
        <w:spacing w:after="0" w:line="268" w:lineRule="auto"/>
        <w:tabs>
          <w:tab w:leader="none" w:pos="646" w:val="left"/>
        </w:tabs>
        <w:numPr>
          <w:ilvl w:val="1"/>
          <w:numId w:val="3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Deemed Resignation</w:t>
      </w:r>
      <w:r>
        <w:rPr>
          <w:rFonts w:ascii="Arial" w:cs="Arial" w:eastAsia="Arial" w:hAnsi="Arial"/>
          <w:sz w:val="17"/>
          <w:szCs w:val="17"/>
          <w:color w:val="auto"/>
        </w:rPr>
        <w:t>. Upon termination of Executive’s employment for any reason, Executive shall be deemed to have resigned from all offices and directorships, if any, then held with the Company or any of its subsidiaries.</w:t>
      </w:r>
    </w:p>
    <w:p>
      <w:pPr>
        <w:spacing w:after="0" w:line="262" w:lineRule="exact"/>
        <w:rPr>
          <w:rFonts w:ascii="Arial" w:cs="Arial" w:eastAsia="Arial" w:hAnsi="Arial"/>
          <w:sz w:val="17"/>
          <w:szCs w:val="17"/>
          <w:color w:val="auto"/>
        </w:rPr>
      </w:pPr>
    </w:p>
    <w:p>
      <w:pPr>
        <w:ind w:left="160" w:hanging="157"/>
        <w:spacing w:after="0"/>
        <w:tabs>
          <w:tab w:leader="none" w:pos="160"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Severance Payments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right="220" w:firstLine="412"/>
        <w:spacing w:after="0" w:line="274" w:lineRule="auto"/>
        <w:tabs>
          <w:tab w:leader="none" w:pos="637" w:val="left"/>
        </w:tabs>
        <w:numPr>
          <w:ilvl w:val="1"/>
          <w:numId w:val="377"/>
        </w:numPr>
        <w:rPr>
          <w:rFonts w:ascii="Arial" w:cs="Arial" w:eastAsia="Arial" w:hAnsi="Arial"/>
          <w:sz w:val="16"/>
          <w:szCs w:val="16"/>
          <w:color w:val="auto"/>
        </w:rPr>
      </w:pPr>
      <w:r>
        <w:rPr>
          <w:rFonts w:ascii="Arial" w:cs="Arial" w:eastAsia="Arial" w:hAnsi="Arial"/>
          <w:sz w:val="16"/>
          <w:szCs w:val="16"/>
          <w:u w:val="single" w:color="auto"/>
          <w:color w:val="auto"/>
        </w:rPr>
        <w:t>Termination for Cause, or Termination Upon Death, Disability or Resignation from the Company Without Good Reason</w:t>
      </w:r>
      <w:r>
        <w:rPr>
          <w:rFonts w:ascii="Arial" w:cs="Arial" w:eastAsia="Arial" w:hAnsi="Arial"/>
          <w:sz w:val="16"/>
          <w:szCs w:val="16"/>
          <w:color w:val="auto"/>
        </w:rPr>
        <w:t xml:space="preserve">. If Executive’s employment shall terminate as a result of Executive’s death pursuant to </w:t>
      </w:r>
      <w:r>
        <w:rPr>
          <w:rFonts w:ascii="Arial" w:cs="Arial" w:eastAsia="Arial" w:hAnsi="Arial"/>
          <w:sz w:val="16"/>
          <w:szCs w:val="16"/>
          <w:u w:val="single" w:color="auto"/>
          <w:color w:val="auto"/>
        </w:rPr>
        <w:t>Section 3(a)(i), as a result of</w:t>
      </w:r>
      <w:r>
        <w:rPr>
          <w:rFonts w:ascii="Arial" w:cs="Arial" w:eastAsia="Arial" w:hAnsi="Arial"/>
          <w:sz w:val="16"/>
          <w:szCs w:val="16"/>
          <w:color w:val="auto"/>
        </w:rPr>
        <w:t xml:space="preserve"> Disability pursuant to </w:t>
      </w:r>
      <w:r>
        <w:rPr>
          <w:rFonts w:ascii="Arial" w:cs="Arial" w:eastAsia="Arial" w:hAnsi="Arial"/>
          <w:sz w:val="16"/>
          <w:szCs w:val="16"/>
          <w:u w:val="single" w:color="auto"/>
          <w:color w:val="auto"/>
        </w:rPr>
        <w:t>Section 3(a)(ii)</w:t>
      </w:r>
      <w:r>
        <w:rPr>
          <w:rFonts w:ascii="Arial" w:cs="Arial" w:eastAsia="Arial" w:hAnsi="Arial"/>
          <w:sz w:val="16"/>
          <w:szCs w:val="16"/>
          <w:color w:val="auto"/>
        </w:rPr>
        <w:t xml:space="preserve">, for Cause pursuant to </w:t>
      </w:r>
      <w:r>
        <w:rPr>
          <w:rFonts w:ascii="Arial" w:cs="Arial" w:eastAsia="Arial" w:hAnsi="Arial"/>
          <w:sz w:val="16"/>
          <w:szCs w:val="16"/>
          <w:u w:val="single" w:color="auto"/>
          <w:color w:val="auto"/>
        </w:rPr>
        <w:t>Section 3(a)(iii)</w:t>
      </w:r>
      <w:r>
        <w:rPr>
          <w:rFonts w:ascii="Arial" w:cs="Arial" w:eastAsia="Arial" w:hAnsi="Arial"/>
          <w:sz w:val="16"/>
          <w:szCs w:val="16"/>
          <w:color w:val="auto"/>
        </w:rPr>
        <w:t xml:space="preserve"> or for Executive’s resignation from the Company without Good Reason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xml:space="preserve">, then Executive shall not be entitled to any severance payments or benefits, except as provided in </w:t>
      </w:r>
      <w:r>
        <w:rPr>
          <w:rFonts w:ascii="Arial" w:cs="Arial" w:eastAsia="Arial" w:hAnsi="Arial"/>
          <w:sz w:val="16"/>
          <w:szCs w:val="16"/>
          <w:u w:val="single" w:color="auto"/>
          <w:color w:val="auto"/>
        </w:rPr>
        <w:t>Section 3(c)</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right="40" w:firstLine="412"/>
        <w:spacing w:after="0" w:line="268" w:lineRule="auto"/>
        <w:tabs>
          <w:tab w:leader="none" w:pos="646" w:val="left"/>
        </w:tabs>
        <w:numPr>
          <w:ilvl w:val="1"/>
          <w:numId w:val="377"/>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from the Company with Good Reason</w:t>
      </w:r>
      <w:r>
        <w:rPr>
          <w:rFonts w:ascii="Arial" w:cs="Arial" w:eastAsia="Arial" w:hAnsi="Arial"/>
          <w:sz w:val="16"/>
          <w:szCs w:val="16"/>
          <w:color w:val="auto"/>
        </w:rPr>
        <w:t xml:space="preserve">. If Executive’s employment terminates without Cause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3(a)(v)</w:t>
      </w:r>
      <w:r>
        <w:rPr>
          <w:rFonts w:ascii="Arial" w:cs="Arial" w:eastAsia="Arial" w:hAnsi="Arial"/>
          <w:sz w:val="16"/>
          <w:szCs w:val="16"/>
          <w:color w:val="auto"/>
        </w:rPr>
        <w:t xml:space="preserve"> due to Executive’s resignation with Good Reason, then, subject to Executive signing on or before the twenty-first (21st) day following Executive’s Separation from Service (as defined below) or in the event that such Separation from Service is “in connection with an exit incentive or other employment termination program” (as such phrase is defined in the Age Discrimination in Employment Act of 1967, as amended) on or before the forty-fifth (45th) day following Executive’s Separation from Service, and not revoking, a release of claims substantially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and Executive’s continued compliance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Executive shall receive, in addition to payments and benefits set forth in </w:t>
      </w:r>
      <w:r>
        <w:rPr>
          <w:rFonts w:ascii="Arial" w:cs="Arial" w:eastAsia="Arial" w:hAnsi="Arial"/>
          <w:sz w:val="16"/>
          <w:szCs w:val="16"/>
          <w:u w:val="single" w:color="auto"/>
          <w:color w:val="auto"/>
        </w:rPr>
        <w:t>Section 3(c)</w:t>
      </w:r>
      <w:r>
        <w:rPr>
          <w:rFonts w:ascii="Arial" w:cs="Arial" w:eastAsia="Arial" w:hAnsi="Arial"/>
          <w:sz w:val="16"/>
          <w:szCs w:val="16"/>
          <w:color w:val="auto"/>
        </w:rPr>
        <w:t>, the following:</w:t>
      </w:r>
    </w:p>
    <w:p>
      <w:pPr>
        <w:spacing w:after="0" w:line="68" w:lineRule="exact"/>
        <w:rPr>
          <w:rFonts w:ascii="Arial" w:cs="Arial" w:eastAsia="Arial" w:hAnsi="Arial"/>
          <w:sz w:val="16"/>
          <w:szCs w:val="16"/>
          <w:color w:val="auto"/>
        </w:rPr>
      </w:pPr>
    </w:p>
    <w:p>
      <w:pPr>
        <w:jc w:val="both"/>
        <w:ind w:left="420" w:right="140" w:firstLine="385"/>
        <w:spacing w:after="0" w:line="257" w:lineRule="auto"/>
        <w:tabs>
          <w:tab w:leader="none" w:pos="1013" w:val="left"/>
        </w:tabs>
        <w:numPr>
          <w:ilvl w:val="2"/>
          <w:numId w:val="377"/>
        </w:numPr>
        <w:rPr>
          <w:rFonts w:ascii="Arial" w:cs="Arial" w:eastAsia="Arial" w:hAnsi="Arial"/>
          <w:sz w:val="17"/>
          <w:szCs w:val="17"/>
          <w:color w:val="auto"/>
        </w:rPr>
      </w:pPr>
      <w:r>
        <w:rPr>
          <w:rFonts w:ascii="Arial" w:cs="Arial" w:eastAsia="Arial" w:hAnsi="Arial"/>
          <w:sz w:val="17"/>
          <w:szCs w:val="17"/>
          <w:color w:val="auto"/>
        </w:rPr>
        <w:t>an amount in cash equal to one times the Annual Base Salary, payable in the form of salary continuation in regular installments over the 12-month period following the date of Executive’s Separation from Service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in accordance with the Company’s normal payroll practices;</w:t>
      </w:r>
    </w:p>
    <w:p>
      <w:pPr>
        <w:spacing w:after="0" w:line="74" w:lineRule="exact"/>
        <w:rPr>
          <w:rFonts w:ascii="Arial" w:cs="Arial" w:eastAsia="Arial" w:hAnsi="Arial"/>
          <w:sz w:val="17"/>
          <w:szCs w:val="17"/>
          <w:color w:val="auto"/>
        </w:rPr>
      </w:pPr>
    </w:p>
    <w:p>
      <w:pPr>
        <w:ind w:left="420" w:firstLine="385"/>
        <w:spacing w:after="0" w:line="298" w:lineRule="auto"/>
        <w:tabs>
          <w:tab w:leader="none" w:pos="1060" w:val="left"/>
        </w:tabs>
        <w:numPr>
          <w:ilvl w:val="2"/>
          <w:numId w:val="377"/>
        </w:numPr>
        <w:rPr>
          <w:rFonts w:ascii="Arial" w:cs="Arial" w:eastAsia="Arial" w:hAnsi="Arial"/>
          <w:sz w:val="15"/>
          <w:szCs w:val="15"/>
          <w:color w:val="auto"/>
        </w:rPr>
      </w:pPr>
      <w:r>
        <w:rPr>
          <w:rFonts w:ascii="Arial" w:cs="Arial" w:eastAsia="Arial" w:hAnsi="Arial"/>
          <w:sz w:val="15"/>
          <w:szCs w:val="15"/>
          <w:color w:val="auto"/>
        </w:rPr>
        <w:t>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47" w:lineRule="exact"/>
        <w:rPr>
          <w:rFonts w:ascii="Arial" w:cs="Arial" w:eastAsia="Arial" w:hAnsi="Arial"/>
          <w:sz w:val="15"/>
          <w:szCs w:val="15"/>
          <w:color w:val="auto"/>
        </w:rPr>
      </w:pPr>
    </w:p>
    <w:p>
      <w:pPr>
        <w:ind w:left="420" w:right="60" w:firstLine="385"/>
        <w:spacing w:after="0" w:line="267" w:lineRule="auto"/>
        <w:tabs>
          <w:tab w:leader="none" w:pos="1106" w:val="left"/>
        </w:tabs>
        <w:numPr>
          <w:ilvl w:val="2"/>
          <w:numId w:val="377"/>
        </w:numPr>
        <w:rPr>
          <w:rFonts w:ascii="Arial" w:cs="Arial" w:eastAsia="Arial" w:hAnsi="Arial"/>
          <w:sz w:val="16"/>
          <w:szCs w:val="16"/>
          <w:color w:val="auto"/>
        </w:rPr>
      </w:pPr>
      <w:r>
        <w:rPr>
          <w:rFonts w:ascii="Arial" w:cs="Arial" w:eastAsia="Arial" w:hAnsi="Arial"/>
          <w:sz w:val="16"/>
          <w:szCs w:val="16"/>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40"/>
          </w:cols>
          <w:pgMar w:left="820" w:top="265" w:right="839" w:bottom="1440" w:gutter="0" w:footer="0" w:header="0"/>
        </w:sectPr>
      </w:pPr>
    </w:p>
    <w:bookmarkStart w:id="446" w:name="page447"/>
    <w:bookmarkEnd w:id="446"/>
    <w:p>
      <w:pPr>
        <w:ind w:left="417"/>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sole discretion that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regardless of whether Executive elects COBRA continuation coverage and shall commence in the month following the month in which the Date of Termination occurs and shall end on the earliest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w:t>
      </w:r>
    </w:p>
    <w:p>
      <w:pPr>
        <w:spacing w:after="0" w:line="61" w:lineRule="exact"/>
        <w:rPr>
          <w:sz w:val="20"/>
          <w:szCs w:val="20"/>
          <w:color w:val="auto"/>
        </w:rPr>
      </w:pPr>
    </w:p>
    <w:p>
      <w:pPr>
        <w:ind w:left="-3" w:right="400" w:firstLine="412"/>
        <w:spacing w:after="0" w:line="287" w:lineRule="auto"/>
        <w:tabs>
          <w:tab w:leader="none" w:pos="634" w:val="left"/>
        </w:tabs>
        <w:numPr>
          <w:ilvl w:val="1"/>
          <w:numId w:val="378"/>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xml:space="preserve">. In lieu of the payments and benefits set forth in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in the event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due to Executive’s resignation with Good Reason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in either case, within three</w:t>
      </w:r>
    </w:p>
    <w:p>
      <w:pPr>
        <w:spacing w:after="0" w:line="1" w:lineRule="exact"/>
        <w:rPr>
          <w:rFonts w:ascii="Arial" w:cs="Arial" w:eastAsia="Arial" w:hAnsi="Arial"/>
          <w:sz w:val="15"/>
          <w:szCs w:val="15"/>
          <w:color w:val="auto"/>
        </w:rPr>
      </w:pPr>
    </w:p>
    <w:p>
      <w:pPr>
        <w:ind w:left="-3" w:right="40" w:firstLine="3"/>
        <w:spacing w:after="0" w:line="248" w:lineRule="auto"/>
        <w:tabs>
          <w:tab w:leader="none" w:pos="23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months prior or twelve (12) months following the date of a Change in Control, subject to Executive signing on or before the twenty-first (21st) day following Executive’s Separation from Service or in the event that such Separation from Service is “in connection with an exit incentive or other employment termination program” (as such phrase is defined in the Age Discrimination in Employment Act of 1967, as amended) on or before the forty-fifth (45th) day following Executive’s Separation from Service, and not revoking, the Release, Executive shall receive, in addition to the payments and benefits set forth in </w:t>
      </w:r>
      <w:r>
        <w:rPr>
          <w:rFonts w:ascii="Arial" w:cs="Arial" w:eastAsia="Arial" w:hAnsi="Arial"/>
          <w:sz w:val="17"/>
          <w:szCs w:val="17"/>
          <w:u w:val="single" w:color="auto"/>
          <w:color w:val="auto"/>
        </w:rPr>
        <w:t>Section 3(c)</w:t>
      </w:r>
      <w:r>
        <w:rPr>
          <w:rFonts w:ascii="Arial" w:cs="Arial" w:eastAsia="Arial" w:hAnsi="Arial"/>
          <w:sz w:val="17"/>
          <w:szCs w:val="17"/>
          <w:color w:val="auto"/>
        </w:rPr>
        <w:t>, the following:</w:t>
      </w:r>
    </w:p>
    <w:p>
      <w:pPr>
        <w:spacing w:after="0" w:line="82" w:lineRule="exact"/>
        <w:rPr>
          <w:rFonts w:ascii="Arial" w:cs="Arial" w:eastAsia="Arial" w:hAnsi="Arial"/>
          <w:sz w:val="17"/>
          <w:szCs w:val="17"/>
          <w:color w:val="auto"/>
        </w:rPr>
      </w:pPr>
    </w:p>
    <w:p>
      <w:pPr>
        <w:ind w:left="417" w:firstLine="385"/>
        <w:spacing w:after="0" w:line="257" w:lineRule="auto"/>
        <w:tabs>
          <w:tab w:leader="none" w:pos="1010" w:val="left"/>
        </w:tabs>
        <w:numPr>
          <w:ilvl w:val="2"/>
          <w:numId w:val="379"/>
        </w:numPr>
        <w:rPr>
          <w:rFonts w:ascii="Arial" w:cs="Arial" w:eastAsia="Arial" w:hAnsi="Arial"/>
          <w:sz w:val="17"/>
          <w:szCs w:val="17"/>
          <w:color w:val="auto"/>
        </w:rPr>
      </w:pPr>
      <w:r>
        <w:rPr>
          <w:rFonts w:ascii="Arial" w:cs="Arial" w:eastAsia="Arial" w:hAnsi="Arial"/>
          <w:sz w:val="17"/>
          <w:szCs w:val="17"/>
          <w:color w:val="auto"/>
        </w:rPr>
        <w:t>an amount in cash equal to 1.5 times the sum of (A) the Annual Base Salary plus (B) the Target Annual Bonus, payable in equal installments over the 18-month period following the date of Executive’s Separation from Service (the “</w:t>
      </w:r>
      <w:r>
        <w:rPr>
          <w:rFonts w:ascii="Arial" w:cs="Arial" w:eastAsia="Arial" w:hAnsi="Arial"/>
          <w:sz w:val="17"/>
          <w:szCs w:val="17"/>
          <w:u w:val="single" w:color="auto"/>
          <w:color w:val="auto"/>
        </w:rPr>
        <w:t>CIC Severance Period</w:t>
      </w:r>
      <w:r>
        <w:rPr>
          <w:rFonts w:ascii="Arial" w:cs="Arial" w:eastAsia="Arial" w:hAnsi="Arial"/>
          <w:sz w:val="17"/>
          <w:szCs w:val="17"/>
          <w:color w:val="auto"/>
        </w:rPr>
        <w:t>”) in accordance with the Company’s normal payroll practices;</w:t>
      </w:r>
    </w:p>
    <w:p>
      <w:pPr>
        <w:spacing w:after="0" w:line="74" w:lineRule="exact"/>
        <w:rPr>
          <w:rFonts w:ascii="Arial" w:cs="Arial" w:eastAsia="Arial" w:hAnsi="Arial"/>
          <w:sz w:val="17"/>
          <w:szCs w:val="17"/>
          <w:color w:val="auto"/>
        </w:rPr>
      </w:pPr>
    </w:p>
    <w:p>
      <w:pPr>
        <w:ind w:left="1057" w:hanging="255"/>
        <w:spacing w:after="0"/>
        <w:tabs>
          <w:tab w:leader="none" w:pos="1057" w:val="left"/>
        </w:tabs>
        <w:numPr>
          <w:ilvl w:val="2"/>
          <w:numId w:val="379"/>
        </w:numPr>
        <w:rPr>
          <w:rFonts w:ascii="Arial" w:cs="Arial" w:eastAsia="Arial" w:hAnsi="Arial"/>
          <w:sz w:val="17"/>
          <w:szCs w:val="17"/>
          <w:color w:val="auto"/>
        </w:rPr>
      </w:pPr>
      <w:r>
        <w:rPr>
          <w:rFonts w:ascii="Arial" w:cs="Arial" w:eastAsia="Arial" w:hAnsi="Arial"/>
          <w:sz w:val="17"/>
          <w:szCs w:val="17"/>
          <w:color w:val="auto"/>
        </w:rPr>
        <w:t>the payment set forth in Section 4(b)(ii);</w:t>
      </w:r>
    </w:p>
    <w:p>
      <w:pPr>
        <w:spacing w:after="0" w:line="105" w:lineRule="exact"/>
        <w:rPr>
          <w:rFonts w:ascii="Arial" w:cs="Arial" w:eastAsia="Arial" w:hAnsi="Arial"/>
          <w:sz w:val="17"/>
          <w:szCs w:val="17"/>
          <w:color w:val="auto"/>
        </w:rPr>
      </w:pPr>
    </w:p>
    <w:p>
      <w:pPr>
        <w:ind w:left="1097" w:hanging="295"/>
        <w:spacing w:after="0"/>
        <w:tabs>
          <w:tab w:leader="none" w:pos="1097" w:val="left"/>
        </w:tabs>
        <w:numPr>
          <w:ilvl w:val="2"/>
          <w:numId w:val="379"/>
        </w:numPr>
        <w:rPr>
          <w:rFonts w:ascii="Arial" w:cs="Arial" w:eastAsia="Arial" w:hAnsi="Arial"/>
          <w:sz w:val="17"/>
          <w:szCs w:val="17"/>
          <w:color w:val="auto"/>
        </w:rPr>
      </w:pPr>
      <w:r>
        <w:rPr>
          <w:rFonts w:ascii="Arial" w:cs="Arial" w:eastAsia="Arial" w:hAnsi="Arial"/>
          <w:sz w:val="17"/>
          <w:szCs w:val="17"/>
          <w:color w:val="auto"/>
        </w:rPr>
        <w:t>the benefits set forth in Section 4(b)(iii), provided that the “Severance Period” will mean the CIC Severance Period; and</w:t>
      </w:r>
    </w:p>
    <w:p>
      <w:pPr>
        <w:spacing w:after="0" w:line="105" w:lineRule="exact"/>
        <w:rPr>
          <w:rFonts w:ascii="Arial" w:cs="Arial" w:eastAsia="Arial" w:hAnsi="Arial"/>
          <w:sz w:val="17"/>
          <w:szCs w:val="17"/>
          <w:color w:val="auto"/>
        </w:rPr>
      </w:pPr>
    </w:p>
    <w:p>
      <w:pPr>
        <w:jc w:val="both"/>
        <w:ind w:left="417" w:right="140" w:firstLine="385"/>
        <w:spacing w:after="0" w:line="307" w:lineRule="auto"/>
        <w:tabs>
          <w:tab w:leader="none" w:pos="1094" w:val="left"/>
        </w:tabs>
        <w:numPr>
          <w:ilvl w:val="2"/>
          <w:numId w:val="379"/>
        </w:numPr>
        <w:rPr>
          <w:rFonts w:ascii="Arial" w:cs="Arial" w:eastAsia="Arial" w:hAnsi="Arial"/>
          <w:sz w:val="15"/>
          <w:szCs w:val="15"/>
          <w:color w:val="auto"/>
        </w:rPr>
      </w:pPr>
      <w:r>
        <w:rPr>
          <w:rFonts w:ascii="Arial" w:cs="Arial" w:eastAsia="Arial" w:hAnsi="Arial"/>
          <w:sz w:val="15"/>
          <w:szCs w:val="15"/>
          <w:color w:val="auto"/>
        </w:rPr>
        <w:t>all unvested equity or equity-based awards held by Executive under any Company equity compensation plans that vest solely based on the passage of time shall immediately become 100% vested (for the avoidance of doubt, with any such awards that vest in whole or in part based on the attainment of performance-vesting conditions being governed by the terms of the applicable award agreement).</w:t>
      </w:r>
    </w:p>
    <w:p>
      <w:pPr>
        <w:spacing w:after="0" w:line="41" w:lineRule="exact"/>
        <w:rPr>
          <w:rFonts w:ascii="Arial" w:cs="Arial" w:eastAsia="Arial" w:hAnsi="Arial"/>
          <w:sz w:val="15"/>
          <w:szCs w:val="15"/>
          <w:color w:val="auto"/>
        </w:rPr>
      </w:pPr>
    </w:p>
    <w:p>
      <w:pPr>
        <w:ind w:left="-3" w:right="240" w:firstLine="412"/>
        <w:spacing w:after="0" w:line="268" w:lineRule="auto"/>
        <w:tabs>
          <w:tab w:leader="none" w:pos="644" w:val="left"/>
        </w:tabs>
        <w:numPr>
          <w:ilvl w:val="1"/>
          <w:numId w:val="379"/>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Notwithstanding anything to the contrary in this Agreement, the provisions of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5 through 9 will survive the termination of Executive’s employment and the termination of the Term.</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37"/>
          </w:cols>
          <w:pgMar w:left="823" w:top="264" w:right="839" w:bottom="1440" w:gutter="0" w:footer="0" w:header="0"/>
        </w:sectPr>
      </w:pPr>
    </w:p>
    <w:bookmarkStart w:id="447" w:name="page448"/>
    <w:bookmarkEnd w:id="447"/>
    <w:p>
      <w:pPr>
        <w:ind w:left="160" w:hanging="157"/>
        <w:spacing w:after="0"/>
        <w:tabs>
          <w:tab w:leader="none" w:pos="160"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Restrictive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acknowledges that Executive remains bound by the Employee Non-Disclosure, Non-Competition,</w:t>
      </w:r>
    </w:p>
    <w:p>
      <w:pPr>
        <w:spacing w:after="0" w:line="2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Non-Solicitation and Inventions Agreement between you and the Company (the “</w:t>
      </w:r>
      <w:r>
        <w:rPr>
          <w:rFonts w:ascii="Arial" w:cs="Arial" w:eastAsia="Arial" w:hAnsi="Arial"/>
          <w:sz w:val="17"/>
          <w:szCs w:val="17"/>
          <w:u w:val="single" w:color="auto"/>
          <w:color w:val="auto"/>
        </w:rPr>
        <w:t>Restrictive Covenant Agreement</w:t>
      </w:r>
      <w:r>
        <w:rPr>
          <w:rFonts w:ascii="Arial" w:cs="Arial" w:eastAsia="Arial" w:hAnsi="Arial"/>
          <w:sz w:val="17"/>
          <w:szCs w:val="17"/>
          <w:color w:val="auto"/>
        </w:rPr>
        <w:t>”). Executive acknowledges and agrees that the terms of the Restrictive Covenant Agreement are incorporated by reference herein as if re-executed along with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280" w:lineRule="exact"/>
        <w:rPr>
          <w:sz w:val="20"/>
          <w:szCs w:val="20"/>
          <w:color w:val="auto"/>
        </w:rPr>
      </w:pPr>
    </w:p>
    <w:p>
      <w:pPr>
        <w:ind w:left="160" w:hanging="157"/>
        <w:spacing w:after="0"/>
        <w:tabs>
          <w:tab w:leader="none" w:pos="160"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 and Successors</w:t>
      </w:r>
      <w:r>
        <w:rPr>
          <w:rFonts w:ascii="Arial" w:cs="Arial" w:eastAsia="Arial" w:hAnsi="Arial"/>
          <w:sz w:val="17"/>
          <w:szCs w:val="17"/>
          <w:b w:val="1"/>
          <w:bCs w:val="1"/>
          <w:color w:val="auto"/>
        </w:rPr>
        <w:t>.</w:t>
      </w:r>
    </w:p>
    <w:p>
      <w:pPr>
        <w:spacing w:after="0" w:line="110" w:lineRule="exact"/>
        <w:rPr>
          <w:sz w:val="20"/>
          <w:szCs w:val="20"/>
          <w:color w:val="auto"/>
        </w:rPr>
      </w:pPr>
    </w:p>
    <w:p>
      <w:pPr>
        <w:ind w:right="20" w:firstLine="409"/>
        <w:spacing w:after="0" w:line="267" w:lineRule="auto"/>
        <w:rPr>
          <w:sz w:val="20"/>
          <w:szCs w:val="20"/>
          <w:color w:val="auto"/>
        </w:rPr>
      </w:pPr>
      <w:r>
        <w:rPr>
          <w:rFonts w:ascii="Arial" w:cs="Arial" w:eastAsia="Arial" w:hAnsi="Arial"/>
          <w:sz w:val="16"/>
          <w:szCs w:val="16"/>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267" w:lineRule="exact"/>
        <w:rPr>
          <w:sz w:val="20"/>
          <w:szCs w:val="20"/>
          <w:color w:val="auto"/>
        </w:rPr>
      </w:pPr>
    </w:p>
    <w:p>
      <w:pPr>
        <w:ind w:left="160" w:hanging="157"/>
        <w:spacing w:after="0"/>
        <w:tabs>
          <w:tab w:leader="none" w:pos="160"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Definitions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left="640" w:hanging="228"/>
        <w:spacing w:after="0"/>
        <w:tabs>
          <w:tab w:leader="none" w:pos="640" w:val="left"/>
        </w:tabs>
        <w:numPr>
          <w:ilvl w:val="1"/>
          <w:numId w:val="382"/>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The Company shall have “Cause” to terminate Executive’s employment hereunder upon:</w:t>
      </w:r>
    </w:p>
    <w:p>
      <w:pPr>
        <w:spacing w:after="0" w:line="105" w:lineRule="exact"/>
        <w:rPr>
          <w:rFonts w:ascii="Arial" w:cs="Arial" w:eastAsia="Arial" w:hAnsi="Arial"/>
          <w:sz w:val="17"/>
          <w:szCs w:val="17"/>
          <w:color w:val="auto"/>
        </w:rPr>
      </w:pPr>
    </w:p>
    <w:p>
      <w:pPr>
        <w:ind w:left="420" w:firstLine="385"/>
        <w:spacing w:after="0" w:line="257" w:lineRule="auto"/>
        <w:tabs>
          <w:tab w:leader="none" w:pos="1013" w:val="left"/>
        </w:tabs>
        <w:numPr>
          <w:ilvl w:val="2"/>
          <w:numId w:val="382"/>
        </w:numPr>
        <w:rPr>
          <w:rFonts w:ascii="Arial" w:cs="Arial" w:eastAsia="Arial" w:hAnsi="Arial"/>
          <w:sz w:val="17"/>
          <w:szCs w:val="17"/>
          <w:color w:val="auto"/>
        </w:rPr>
      </w:pPr>
      <w:r>
        <w:rPr>
          <w:rFonts w:ascii="Arial" w:cs="Arial" w:eastAsia="Arial" w:hAnsi="Arial"/>
          <w:sz w:val="17"/>
          <w:szCs w:val="17"/>
          <w:color w:val="auto"/>
        </w:rPr>
        <w:t>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w:t>
      </w:r>
    </w:p>
    <w:p>
      <w:pPr>
        <w:spacing w:after="0" w:line="74" w:lineRule="exact"/>
        <w:rPr>
          <w:rFonts w:ascii="Arial" w:cs="Arial" w:eastAsia="Arial" w:hAnsi="Arial"/>
          <w:sz w:val="17"/>
          <w:szCs w:val="17"/>
          <w:color w:val="auto"/>
        </w:rPr>
      </w:pPr>
    </w:p>
    <w:p>
      <w:pPr>
        <w:ind w:left="420" w:right="260" w:firstLine="385"/>
        <w:spacing w:after="0" w:line="268" w:lineRule="auto"/>
        <w:tabs>
          <w:tab w:leader="none" w:pos="1060" w:val="left"/>
        </w:tabs>
        <w:numPr>
          <w:ilvl w:val="2"/>
          <w:numId w:val="382"/>
        </w:numPr>
        <w:rPr>
          <w:rFonts w:ascii="Arial" w:cs="Arial" w:eastAsia="Arial" w:hAnsi="Arial"/>
          <w:sz w:val="17"/>
          <w:szCs w:val="17"/>
          <w:color w:val="auto"/>
        </w:rPr>
      </w:pPr>
      <w:r>
        <w:rPr>
          <w:rFonts w:ascii="Arial" w:cs="Arial" w:eastAsia="Arial" w:hAnsi="Arial"/>
          <w:sz w:val="17"/>
          <w:szCs w:val="17"/>
          <w:color w:val="auto"/>
        </w:rPr>
        <w:t>Executive’s breach of a material provision of this Agreement that, to the extent capable of cure, has remained uncured for a period of thirty (30) days following written notice from the Company;</w:t>
      </w:r>
    </w:p>
    <w:p>
      <w:pPr>
        <w:spacing w:after="0" w:line="65" w:lineRule="exact"/>
        <w:rPr>
          <w:rFonts w:ascii="Arial" w:cs="Arial" w:eastAsia="Arial" w:hAnsi="Arial"/>
          <w:sz w:val="17"/>
          <w:szCs w:val="17"/>
          <w:color w:val="auto"/>
        </w:rPr>
      </w:pPr>
    </w:p>
    <w:p>
      <w:pPr>
        <w:ind w:left="420" w:right="240" w:firstLine="385"/>
        <w:spacing w:after="0" w:line="268" w:lineRule="auto"/>
        <w:tabs>
          <w:tab w:leader="none" w:pos="1106" w:val="left"/>
        </w:tabs>
        <w:numPr>
          <w:ilvl w:val="2"/>
          <w:numId w:val="382"/>
        </w:numPr>
        <w:rPr>
          <w:rFonts w:ascii="Arial" w:cs="Arial" w:eastAsia="Arial" w:hAnsi="Arial"/>
          <w:sz w:val="17"/>
          <w:szCs w:val="17"/>
          <w:color w:val="auto"/>
        </w:rPr>
      </w:pPr>
      <w:r>
        <w:rPr>
          <w:rFonts w:ascii="Arial" w:cs="Arial" w:eastAsia="Arial" w:hAnsi="Arial"/>
          <w:sz w:val="17"/>
          <w:szCs w:val="17"/>
          <w:color w:val="auto"/>
        </w:rPr>
        <w:t xml:space="preserve">Executive’s conviction, plea of no contest, plea of </w:t>
      </w:r>
      <w:r>
        <w:rPr>
          <w:rFonts w:ascii="Arial" w:cs="Arial" w:eastAsia="Arial" w:hAnsi="Arial"/>
          <w:sz w:val="17"/>
          <w:szCs w:val="17"/>
          <w:i w:val="1"/>
          <w:iCs w:val="1"/>
          <w:color w:val="auto"/>
        </w:rPr>
        <w:t>nolo contendere</w:t>
      </w:r>
      <w:r>
        <w:rPr>
          <w:rFonts w:ascii="Arial" w:cs="Arial" w:eastAsia="Arial" w:hAnsi="Arial"/>
          <w:sz w:val="17"/>
          <w:szCs w:val="17"/>
          <w:color w:val="auto"/>
        </w:rPr>
        <w:t>, or imposition of unadjudicated probation for any felony or crime involving moral turpitude;</w:t>
      </w:r>
    </w:p>
    <w:p>
      <w:pPr>
        <w:spacing w:after="0" w:line="65" w:lineRule="exact"/>
        <w:rPr>
          <w:rFonts w:ascii="Arial" w:cs="Arial" w:eastAsia="Arial" w:hAnsi="Arial"/>
          <w:sz w:val="17"/>
          <w:szCs w:val="17"/>
          <w:color w:val="auto"/>
        </w:rPr>
      </w:pPr>
    </w:p>
    <w:p>
      <w:pPr>
        <w:ind w:left="420" w:right="40" w:firstLine="385"/>
        <w:spacing w:after="0" w:line="268" w:lineRule="auto"/>
        <w:tabs>
          <w:tab w:leader="none" w:pos="1097" w:val="left"/>
        </w:tabs>
        <w:numPr>
          <w:ilvl w:val="2"/>
          <w:numId w:val="382"/>
        </w:numPr>
        <w:rPr>
          <w:rFonts w:ascii="Arial" w:cs="Arial" w:eastAsia="Arial" w:hAnsi="Arial"/>
          <w:sz w:val="17"/>
          <w:szCs w:val="17"/>
          <w:color w:val="auto"/>
        </w:rPr>
      </w:pPr>
      <w:r>
        <w:rPr>
          <w:rFonts w:ascii="Arial" w:cs="Arial" w:eastAsia="Arial" w:hAnsi="Arial"/>
          <w:sz w:val="17"/>
          <w:szCs w:val="17"/>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65" w:lineRule="exact"/>
        <w:rPr>
          <w:rFonts w:ascii="Arial" w:cs="Arial" w:eastAsia="Arial" w:hAnsi="Arial"/>
          <w:sz w:val="17"/>
          <w:szCs w:val="17"/>
          <w:color w:val="auto"/>
        </w:rPr>
      </w:pPr>
    </w:p>
    <w:p>
      <w:pPr>
        <w:ind w:left="420" w:right="20" w:firstLine="385"/>
        <w:spacing w:after="0" w:line="268" w:lineRule="auto"/>
        <w:tabs>
          <w:tab w:leader="none" w:pos="1050" w:val="left"/>
        </w:tabs>
        <w:numPr>
          <w:ilvl w:val="2"/>
          <w:numId w:val="382"/>
        </w:numPr>
        <w:rPr>
          <w:rFonts w:ascii="Arial" w:cs="Arial" w:eastAsia="Arial" w:hAnsi="Arial"/>
          <w:sz w:val="17"/>
          <w:szCs w:val="17"/>
          <w:color w:val="auto"/>
        </w:rPr>
      </w:pPr>
      <w:r>
        <w:rPr>
          <w:rFonts w:ascii="Arial" w:cs="Arial" w:eastAsia="Arial" w:hAnsi="Arial"/>
          <w:sz w:val="17"/>
          <w:szCs w:val="17"/>
          <w:color w:val="auto"/>
        </w:rPr>
        <w:t>Executive’s commission of any act of fraud, embezzlement, misappropriation, willful misconduct, or breach of fiduciary duty against the Company or any of its affiliates.</w:t>
      </w:r>
    </w:p>
    <w:p>
      <w:pPr>
        <w:spacing w:after="0" w:line="65" w:lineRule="exact"/>
        <w:rPr>
          <w:rFonts w:ascii="Arial" w:cs="Arial" w:eastAsia="Arial" w:hAnsi="Arial"/>
          <w:sz w:val="17"/>
          <w:szCs w:val="17"/>
          <w:color w:val="auto"/>
        </w:rPr>
      </w:pPr>
    </w:p>
    <w:p>
      <w:pPr>
        <w:ind w:left="640" w:hanging="228"/>
        <w:spacing w:after="0"/>
        <w:tabs>
          <w:tab w:leader="none" w:pos="640" w:val="left"/>
        </w:tabs>
        <w:numPr>
          <w:ilvl w:val="1"/>
          <w:numId w:val="38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“Change in Control” shall have the meaning set forth in the Lyra Therapeutics, Inc. 2020 Incentive Award Plan.</w:t>
      </w:r>
    </w:p>
    <w:p>
      <w:pPr>
        <w:spacing w:after="0" w:line="117" w:lineRule="exact"/>
        <w:rPr>
          <w:rFonts w:ascii="Arial" w:cs="Arial" w:eastAsia="Arial" w:hAnsi="Arial"/>
          <w:sz w:val="16"/>
          <w:szCs w:val="16"/>
          <w:color w:val="auto"/>
        </w:rPr>
      </w:pPr>
    </w:p>
    <w:p>
      <w:pPr>
        <w:ind w:left="640" w:hanging="228"/>
        <w:spacing w:after="0"/>
        <w:tabs>
          <w:tab w:leader="none" w:pos="640" w:val="left"/>
        </w:tabs>
        <w:numPr>
          <w:ilvl w:val="1"/>
          <w:numId w:val="382"/>
        </w:numPr>
        <w:rPr>
          <w:rFonts w:ascii="Arial" w:cs="Arial" w:eastAsia="Arial" w:hAnsi="Arial"/>
          <w:sz w:val="16"/>
          <w:szCs w:val="16"/>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“Code” shall mean the Internal Revenue Code of 1986, as amended, and the regulations and guidance promulgated thereunder.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20"/>
          </w:cols>
          <w:pgMar w:left="820" w:top="260" w:right="859" w:bottom="1440" w:gutter="0" w:footer="0" w:header="0"/>
        </w:sectPr>
      </w:pPr>
    </w:p>
    <w:bookmarkStart w:id="448" w:name="page449"/>
    <w:bookmarkEnd w:id="448"/>
    <w:p>
      <w:pPr>
        <w:ind w:left="-3" w:right="700" w:firstLine="412"/>
        <w:spacing w:after="0" w:line="257" w:lineRule="auto"/>
        <w:tabs>
          <w:tab w:leader="none" w:pos="644" w:val="left"/>
        </w:tabs>
        <w:numPr>
          <w:ilvl w:val="1"/>
          <w:numId w:val="38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Date of Termination</w:t>
      </w:r>
      <w:r>
        <w:rPr>
          <w:rFonts w:ascii="Arial" w:cs="Arial" w:eastAsia="Arial" w:hAnsi="Arial"/>
          <w:sz w:val="17"/>
          <w:szCs w:val="17"/>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7"/>
          <w:szCs w:val="17"/>
          <w:u w:val="single" w:color="auto"/>
          <w:color w:val="auto"/>
        </w:rPr>
        <w:t>Section 3(a)(ii) – (vi)</w:t>
      </w:r>
      <w:r>
        <w:rPr>
          <w:rFonts w:ascii="Arial" w:cs="Arial" w:eastAsia="Arial" w:hAnsi="Arial"/>
          <w:sz w:val="17"/>
          <w:szCs w:val="17"/>
          <w:color w:val="auto"/>
        </w:rPr>
        <w:t xml:space="preserve"> either the date indicated in the Notice of Termination or the date specified by the Company pursuant to </w:t>
      </w:r>
      <w:r>
        <w:rPr>
          <w:rFonts w:ascii="Arial" w:cs="Arial" w:eastAsia="Arial" w:hAnsi="Arial"/>
          <w:sz w:val="17"/>
          <w:szCs w:val="17"/>
          <w:u w:val="single" w:color="auto"/>
          <w:color w:val="auto"/>
        </w:rPr>
        <w:t>Section 3(b)</w:t>
      </w:r>
      <w:r>
        <w:rPr>
          <w:rFonts w:ascii="Arial" w:cs="Arial" w:eastAsia="Arial" w:hAnsi="Arial"/>
          <w:sz w:val="17"/>
          <w:szCs w:val="17"/>
          <w:color w:val="auto"/>
        </w:rPr>
        <w:t>, whichever is earlier.</w:t>
      </w:r>
    </w:p>
    <w:p>
      <w:pPr>
        <w:spacing w:after="0" w:line="74" w:lineRule="exact"/>
        <w:rPr>
          <w:rFonts w:ascii="Arial" w:cs="Arial" w:eastAsia="Arial" w:hAnsi="Arial"/>
          <w:sz w:val="17"/>
          <w:szCs w:val="17"/>
          <w:color w:val="auto"/>
        </w:rPr>
      </w:pPr>
    </w:p>
    <w:p>
      <w:pPr>
        <w:ind w:left="-3" w:firstLine="412"/>
        <w:spacing w:after="0" w:line="285" w:lineRule="auto"/>
        <w:tabs>
          <w:tab w:leader="none" w:pos="634" w:val="left"/>
        </w:tabs>
        <w:numPr>
          <w:ilvl w:val="1"/>
          <w:numId w:val="383"/>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if the long-term disability plan contains multiple definitions of disability, “Disability” shall refer to that definition of disability which, if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60" w:lineRule="exact"/>
        <w:rPr>
          <w:rFonts w:ascii="Arial" w:cs="Arial" w:eastAsia="Arial" w:hAnsi="Arial"/>
          <w:sz w:val="15"/>
          <w:szCs w:val="15"/>
          <w:color w:val="auto"/>
        </w:rPr>
      </w:pPr>
    </w:p>
    <w:p>
      <w:pPr>
        <w:ind w:left="-3" w:firstLine="412"/>
        <w:spacing w:after="0" w:line="285" w:lineRule="auto"/>
        <w:tabs>
          <w:tab w:leader="none" w:pos="616" w:val="left"/>
        </w:tabs>
        <w:numPr>
          <w:ilvl w:val="1"/>
          <w:numId w:val="383"/>
        </w:numPr>
        <w:rPr>
          <w:rFonts w:ascii="Arial" w:cs="Arial" w:eastAsia="Arial" w:hAnsi="Arial"/>
          <w:sz w:val="15"/>
          <w:szCs w:val="15"/>
          <w:color w:val="auto"/>
        </w:rPr>
      </w:pPr>
      <w:r>
        <w:rPr>
          <w:rFonts w:ascii="Arial" w:cs="Arial" w:eastAsia="Arial" w:hAnsi="Arial"/>
          <w:sz w:val="15"/>
          <w:szCs w:val="15"/>
          <w:u w:val="single" w:color="auto"/>
          <w:color w:val="auto"/>
        </w:rPr>
        <w:t>Good Reason</w:t>
      </w:r>
      <w:r>
        <w:rPr>
          <w:rFonts w:ascii="Arial" w:cs="Arial" w:eastAsia="Arial" w:hAnsi="Arial"/>
          <w:sz w:val="15"/>
          <w:szCs w:val="15"/>
          <w:color w:val="auto"/>
        </w:rPr>
        <w:t>. For the sole purpose of determining Executive’s right to severance payments and benefits as described above, Executive’s resignation will be with “Good Reason” if Executive resigns within ninety (90) days after any of the following events, unless Executive consents in writing to the applicable event: (i) a reduction in Executive’s Annual Base Salary or Target Annual Bonus, other than a reduction of twenty percent (20%) or less of Executive’s Annual Base Salary implemented as part of an across the board, proportionate reduction of base salaries for other members of the Company’s management team, (ii) a material decrease in Executive’s authority or areas of responsibility as are commensurate with Executive’s title or position with the Company, (iii) the relocation of Executive’s primary office to a location more than fifty (50) miles from the Executive’s primary office as of the date of this Agreement or (iv) the Company’s breach of a material provision of this Agreement. Notwithstanding the foregoing, no Good Reason will have occurred unless and until Executive has: (a) provided the Company, within sixty (60) days of Executive’s knowledge of the occurrence of the facts and circumstances underlying the Good Reason event, written notice stating with specificity the applicable facts and circumstances underlying such finding of Good Reason; (b) provided the Company with an opportunity to cure the same within thirty (30) days after the receipt of such notice; and (c) the Company shall have failed to so cure within such period.</w:t>
      </w:r>
    </w:p>
    <w:p>
      <w:pPr>
        <w:spacing w:after="0" w:line="253" w:lineRule="exact"/>
        <w:rPr>
          <w:rFonts w:ascii="Arial" w:cs="Arial" w:eastAsia="Arial" w:hAnsi="Arial"/>
          <w:sz w:val="15"/>
          <w:szCs w:val="15"/>
          <w:color w:val="auto"/>
        </w:rPr>
      </w:pPr>
    </w:p>
    <w:p>
      <w:pPr>
        <w:ind w:left="157" w:hanging="157"/>
        <w:spacing w:after="0"/>
        <w:tabs>
          <w:tab w:leader="none" w:pos="157" w:val="left"/>
        </w:tabs>
        <w:numPr>
          <w:ilvl w:val="0"/>
          <w:numId w:val="3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Parachute Payments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left="-3" w:firstLine="412"/>
        <w:spacing w:after="0" w:line="269" w:lineRule="auto"/>
        <w:tabs>
          <w:tab w:leader="none" w:pos="634" w:val="left"/>
        </w:tabs>
        <w:numPr>
          <w:ilvl w:val="1"/>
          <w:numId w:val="384"/>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being hereinafter referred to as the “</w:t>
      </w:r>
      <w:r>
        <w:rPr>
          <w:rFonts w:ascii="Arial" w:cs="Arial" w:eastAsia="Arial" w:hAnsi="Arial"/>
          <w:sz w:val="16"/>
          <w:szCs w:val="16"/>
          <w:u w:val="single" w:color="auto"/>
          <w:color w:val="auto"/>
        </w:rPr>
        <w:t>Total Payments</w:t>
      </w:r>
      <w:r>
        <w:rPr>
          <w:rFonts w:ascii="Arial" w:cs="Arial" w:eastAsia="Arial" w:hAnsi="Arial"/>
          <w:sz w:val="16"/>
          <w:szCs w:val="16"/>
          <w:color w:val="auto"/>
        </w:rPr>
        <w:t>”), would be subject (in whole or in part)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then the Total Payments shall be reduced (in the order provided in </w:t>
      </w:r>
      <w:r>
        <w:rPr>
          <w:rFonts w:ascii="Arial" w:cs="Arial" w:eastAsia="Arial" w:hAnsi="Arial"/>
          <w:sz w:val="16"/>
          <w:szCs w:val="16"/>
          <w:u w:val="single" w:color="auto"/>
          <w:color w:val="auto"/>
        </w:rPr>
        <w:t>Section 8(b)</w:t>
      </w:r>
      <w:r>
        <w:rPr>
          <w:rFonts w:ascii="Arial" w:cs="Arial" w:eastAsia="Arial" w:hAnsi="Arial"/>
          <w:sz w:val="16"/>
          <w:szCs w:val="16"/>
          <w:color w:val="auto"/>
        </w:rPr>
        <w:t>) to the minimum extent necessary to avoid the imposition of the Excise Tax on the Total Payments, but only if (i) the net amount of such Total Payments, as so reduced</w:t>
      </w:r>
    </w:p>
    <w:p>
      <w:pPr>
        <w:spacing w:after="0" w:line="106"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37"/>
          </w:cols>
          <w:pgMar w:left="823" w:top="264" w:right="839" w:bottom="1440" w:gutter="0" w:footer="0" w:header="0"/>
        </w:sectPr>
      </w:pPr>
    </w:p>
    <w:bookmarkStart w:id="449" w:name="page450"/>
    <w:bookmarkEnd w:id="449"/>
    <w:p>
      <w:pPr>
        <w:ind w:right="2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52" w:lineRule="exact"/>
        <w:rPr>
          <w:sz w:val="20"/>
          <w:szCs w:val="20"/>
          <w:color w:val="auto"/>
        </w:rPr>
      </w:pPr>
    </w:p>
    <w:p>
      <w:pPr>
        <w:ind w:right="160" w:firstLine="412"/>
        <w:spacing w:after="0" w:line="269" w:lineRule="auto"/>
        <w:tabs>
          <w:tab w:leader="none" w:pos="646" w:val="left"/>
        </w:tabs>
        <w:numPr>
          <w:ilvl w:val="1"/>
          <w:numId w:val="385"/>
        </w:numPr>
        <w:rPr>
          <w:rFonts w:ascii="Arial" w:cs="Arial" w:eastAsia="Arial" w:hAnsi="Arial"/>
          <w:sz w:val="16"/>
          <w:szCs w:val="16"/>
          <w:color w:val="auto"/>
        </w:rPr>
      </w:pPr>
      <w:r>
        <w:rPr>
          <w:rFonts w:ascii="Arial" w:cs="Arial" w:eastAsia="Arial" w:hAnsi="Arial"/>
          <w:sz w:val="16"/>
          <w:szCs w:val="16"/>
          <w:color w:val="auto"/>
        </w:rPr>
        <w:t>The Total Payments shall be reduced in the following order: (i) reduction on a pro-rata basis of any cash severance payments that are exempt from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68" w:lineRule="exact"/>
        <w:rPr>
          <w:rFonts w:ascii="Arial" w:cs="Arial" w:eastAsia="Arial" w:hAnsi="Arial"/>
          <w:sz w:val="16"/>
          <w:szCs w:val="16"/>
          <w:color w:val="auto"/>
        </w:rPr>
      </w:pPr>
    </w:p>
    <w:p>
      <w:pPr>
        <w:ind w:right="80" w:firstLine="412"/>
        <w:spacing w:after="0" w:line="283" w:lineRule="auto"/>
        <w:tabs>
          <w:tab w:leader="none" w:pos="637" w:val="left"/>
        </w:tabs>
        <w:numPr>
          <w:ilvl w:val="1"/>
          <w:numId w:val="385"/>
        </w:numPr>
        <w:rPr>
          <w:rFonts w:ascii="Arial" w:cs="Arial" w:eastAsia="Arial" w:hAnsi="Arial"/>
          <w:sz w:val="15"/>
          <w:szCs w:val="15"/>
          <w:color w:val="auto"/>
        </w:rPr>
      </w:pPr>
      <w:r>
        <w:rPr>
          <w:rFonts w:ascii="Arial" w:cs="Arial" w:eastAsia="Arial" w:hAnsi="Arial"/>
          <w:sz w:val="15"/>
          <w:szCs w:val="15"/>
          <w:color w:val="auto"/>
        </w:rPr>
        <w:t xml:space="preserve">All determinations regarding the application of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15"/>
          <w:szCs w:val="15"/>
          <w:u w:val="single" w:color="auto"/>
          <w:color w:val="auto"/>
        </w:rPr>
        <w:t>Independent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Advisors</w:t>
      </w:r>
      <w:r>
        <w:rPr>
          <w:rFonts w:ascii="Arial" w:cs="Arial" w:eastAsia="Arial" w:hAnsi="Arial"/>
          <w:sz w:val="15"/>
          <w:szCs w:val="15"/>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w:t>
      </w:r>
    </w:p>
    <w:p>
      <w:pPr>
        <w:spacing w:after="0" w:line="2" w:lineRule="exact"/>
        <w:rPr>
          <w:rFonts w:ascii="Arial" w:cs="Arial" w:eastAsia="Arial" w:hAnsi="Arial"/>
          <w:sz w:val="15"/>
          <w:szCs w:val="15"/>
          <w:color w:val="auto"/>
        </w:rPr>
      </w:pPr>
    </w:p>
    <w:p>
      <w:pPr>
        <w:ind w:right="20"/>
        <w:spacing w:after="0" w:line="299" w:lineRule="auto"/>
        <w:rPr>
          <w:rFonts w:ascii="Arial" w:cs="Arial" w:eastAsia="Arial" w:hAnsi="Arial"/>
          <w:sz w:val="15"/>
          <w:szCs w:val="15"/>
          <w:color w:val="auto"/>
        </w:rPr>
      </w:pPr>
      <w:r>
        <w:rPr>
          <w:rFonts w:ascii="Arial" w:cs="Arial" w:eastAsia="Arial" w:hAnsi="Arial"/>
          <w:sz w:val="15"/>
          <w:szCs w:val="15"/>
          <w:color w:val="auto"/>
        </w:rPr>
        <w:t>(4)(A)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46" w:lineRule="exact"/>
        <w:rPr>
          <w:rFonts w:ascii="Arial" w:cs="Arial" w:eastAsia="Arial" w:hAnsi="Arial"/>
          <w:sz w:val="15"/>
          <w:szCs w:val="15"/>
          <w:color w:val="auto"/>
        </w:rPr>
      </w:pPr>
    </w:p>
    <w:p>
      <w:pPr>
        <w:ind w:right="160" w:firstLine="412"/>
        <w:spacing w:after="0" w:line="268" w:lineRule="auto"/>
        <w:tabs>
          <w:tab w:leader="none" w:pos="646" w:val="left"/>
        </w:tabs>
        <w:numPr>
          <w:ilvl w:val="1"/>
          <w:numId w:val="385"/>
        </w:numPr>
        <w:rPr>
          <w:rFonts w:ascii="Arial" w:cs="Arial" w:eastAsia="Arial" w:hAnsi="Arial"/>
          <w:sz w:val="17"/>
          <w:szCs w:val="17"/>
          <w:color w:val="auto"/>
        </w:rPr>
      </w:pPr>
      <w:r>
        <w:rPr>
          <w:rFonts w:ascii="Arial" w:cs="Arial" w:eastAsia="Arial" w:hAnsi="Arial"/>
          <w:sz w:val="17"/>
          <w:szCs w:val="17"/>
          <w:color w:val="auto"/>
        </w:rPr>
        <w:t xml:space="preserve">In the event it is later determined that a greater reduction in the Total Payments should have been made to implement the objective and intent of this </w:t>
      </w:r>
      <w:r>
        <w:rPr>
          <w:rFonts w:ascii="Arial" w:cs="Arial" w:eastAsia="Arial" w:hAnsi="Arial"/>
          <w:sz w:val="17"/>
          <w:szCs w:val="17"/>
          <w:u w:val="single" w:color="auto"/>
          <w:color w:val="auto"/>
        </w:rPr>
        <w:t>Section 8</w:t>
      </w:r>
      <w:r>
        <w:rPr>
          <w:rFonts w:ascii="Arial" w:cs="Arial" w:eastAsia="Arial" w:hAnsi="Arial"/>
          <w:sz w:val="17"/>
          <w:szCs w:val="17"/>
          <w:color w:val="auto"/>
        </w:rPr>
        <w:t>, the excess amount shall be returned promptly by Executive to the Company.</w:t>
      </w:r>
    </w:p>
    <w:p>
      <w:pPr>
        <w:spacing w:after="0" w:line="262" w:lineRule="exact"/>
        <w:rPr>
          <w:rFonts w:ascii="Arial" w:cs="Arial" w:eastAsia="Arial" w:hAnsi="Arial"/>
          <w:sz w:val="17"/>
          <w:szCs w:val="17"/>
          <w:color w:val="auto"/>
        </w:rPr>
      </w:pPr>
    </w:p>
    <w:p>
      <w:pPr>
        <w:ind w:left="160" w:hanging="157"/>
        <w:spacing w:after="0"/>
        <w:tabs>
          <w:tab w:leader="none" w:pos="160" w:val="left"/>
        </w:tabs>
        <w:numPr>
          <w:ilvl w:val="0"/>
          <w:numId w:val="3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 Provisions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firstLine="412"/>
        <w:spacing w:after="0" w:line="253" w:lineRule="auto"/>
        <w:tabs>
          <w:tab w:leader="none" w:pos="637" w:val="left"/>
        </w:tabs>
        <w:numPr>
          <w:ilvl w:val="1"/>
          <w:numId w:val="38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spacing w:after="0" w:line="79" w:lineRule="exact"/>
        <w:rPr>
          <w:rFonts w:ascii="Arial" w:cs="Arial" w:eastAsia="Arial" w:hAnsi="Arial"/>
          <w:sz w:val="17"/>
          <w:szCs w:val="17"/>
          <w:color w:val="auto"/>
        </w:rPr>
      </w:pPr>
    </w:p>
    <w:p>
      <w:pPr>
        <w:ind w:right="240" w:firstLine="412"/>
        <w:spacing w:after="0" w:line="268" w:lineRule="auto"/>
        <w:tabs>
          <w:tab w:leader="none" w:pos="646" w:val="left"/>
        </w:tabs>
        <w:numPr>
          <w:ilvl w:val="1"/>
          <w:numId w:val="386"/>
        </w:numPr>
        <w:rPr>
          <w:rFonts w:ascii="Arial" w:cs="Arial" w:eastAsia="Arial" w:hAnsi="Arial"/>
          <w:sz w:val="17"/>
          <w:szCs w:val="17"/>
          <w:color w:val="auto"/>
        </w:rPr>
      </w:pPr>
      <w:r>
        <w:rPr>
          <w:rFonts w:ascii="Arial" w:cs="Arial" w:eastAsia="Arial" w:hAnsi="Arial"/>
          <w:sz w:val="17"/>
          <w:szCs w:val="17"/>
          <w:u w:val="single" w:color="auto"/>
          <w:color w:val="auto"/>
        </w:rPr>
        <w:t>Validity</w:t>
      </w:r>
      <w:r>
        <w:rPr>
          <w:rFonts w:ascii="Arial" w:cs="Arial" w:eastAsia="Arial" w:hAnsi="Arial"/>
          <w:sz w:val="17"/>
          <w:szCs w:val="17"/>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5" w:lineRule="exact"/>
        <w:rPr>
          <w:rFonts w:ascii="Arial" w:cs="Arial" w:eastAsia="Arial" w:hAnsi="Arial"/>
          <w:sz w:val="17"/>
          <w:szCs w:val="17"/>
          <w:color w:val="auto"/>
        </w:rPr>
      </w:pPr>
    </w:p>
    <w:p>
      <w:pPr>
        <w:ind w:right="300" w:firstLine="412"/>
        <w:spacing w:after="0" w:line="335" w:lineRule="auto"/>
        <w:tabs>
          <w:tab w:leader="none" w:pos="637" w:val="left"/>
        </w:tabs>
        <w:numPr>
          <w:ilvl w:val="1"/>
          <w:numId w:val="38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4" w:right="839" w:bottom="1440" w:gutter="0" w:footer="0" w:header="0"/>
        </w:sectPr>
      </w:pPr>
    </w:p>
    <w:bookmarkStart w:id="450" w:name="page451"/>
    <w:bookmarkEnd w:id="450"/>
    <w:p>
      <w:pPr>
        <w:ind w:left="980" w:hanging="195"/>
        <w:spacing w:after="0"/>
        <w:tabs>
          <w:tab w:leader="none" w:pos="980" w:val="left"/>
        </w:tabs>
        <w:numPr>
          <w:ilvl w:val="1"/>
          <w:numId w:val="3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If to the Company, to the Chief Financial Officer of the Company at the Company’s headquarters,</w:t>
      </w:r>
    </w:p>
    <w:p>
      <w:pPr>
        <w:spacing w:after="0" w:line="105" w:lineRule="exact"/>
        <w:rPr>
          <w:rFonts w:ascii="Arial" w:cs="Arial" w:eastAsia="Arial" w:hAnsi="Arial"/>
          <w:sz w:val="17"/>
          <w:szCs w:val="17"/>
          <w:color w:val="auto"/>
        </w:rPr>
      </w:pPr>
    </w:p>
    <w:p>
      <w:pPr>
        <w:ind w:left="1040" w:hanging="255"/>
        <w:spacing w:after="0"/>
        <w:tabs>
          <w:tab w:leader="none" w:pos="104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If to Executive, to the last address that the Company has in its personnel records for Executive, or</w:t>
      </w:r>
    </w:p>
    <w:p>
      <w:pPr>
        <w:spacing w:after="0" w:line="105" w:lineRule="exact"/>
        <w:rPr>
          <w:rFonts w:ascii="Arial" w:cs="Arial" w:eastAsia="Arial" w:hAnsi="Arial"/>
          <w:sz w:val="17"/>
          <w:szCs w:val="17"/>
          <w:color w:val="auto"/>
        </w:rPr>
      </w:pPr>
    </w:p>
    <w:p>
      <w:pPr>
        <w:ind w:left="1080" w:hanging="295"/>
        <w:spacing w:after="0"/>
        <w:tabs>
          <w:tab w:leader="none" w:pos="108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At any other address as any Party shall have specified by notice in writing to the other Party.</w:t>
      </w:r>
    </w:p>
    <w:p>
      <w:pPr>
        <w:spacing w:after="0" w:line="105" w:lineRule="exact"/>
        <w:rPr>
          <w:rFonts w:ascii="Arial" w:cs="Arial" w:eastAsia="Arial" w:hAnsi="Arial"/>
          <w:sz w:val="17"/>
          <w:szCs w:val="17"/>
          <w:color w:val="auto"/>
        </w:rPr>
      </w:pPr>
    </w:p>
    <w:p>
      <w:pPr>
        <w:ind w:left="-20" w:right="420" w:firstLine="412"/>
        <w:spacing w:after="0" w:line="335" w:lineRule="auto"/>
        <w:tabs>
          <w:tab w:leader="none" w:pos="626" w:val="left"/>
        </w:tabs>
        <w:numPr>
          <w:ilvl w:val="0"/>
          <w:numId w:val="388"/>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20" w:lineRule="exact"/>
        <w:rPr>
          <w:rFonts w:ascii="Arial" w:cs="Arial" w:eastAsia="Arial" w:hAnsi="Arial"/>
          <w:sz w:val="15"/>
          <w:szCs w:val="15"/>
          <w:color w:val="auto"/>
        </w:rPr>
      </w:pPr>
    </w:p>
    <w:p>
      <w:pPr>
        <w:ind w:left="-20" w:right="140" w:firstLine="412"/>
        <w:spacing w:after="0" w:line="293" w:lineRule="auto"/>
        <w:tabs>
          <w:tab w:leader="none" w:pos="617" w:val="left"/>
        </w:tabs>
        <w:numPr>
          <w:ilvl w:val="0"/>
          <w:numId w:val="388"/>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The terms of this Agreement, and the Restrictive Covenant Agreement incorporated herein by reference as set forth in </w:t>
      </w:r>
      <w:r>
        <w:rPr>
          <w:rFonts w:ascii="Arial" w:cs="Arial" w:eastAsia="Arial" w:hAnsi="Arial"/>
          <w:sz w:val="15"/>
          <w:szCs w:val="15"/>
          <w:u w:val="single" w:color="auto"/>
          <w:color w:val="auto"/>
        </w:rPr>
        <w:t>Section 5</w:t>
      </w:r>
      <w:r>
        <w:rPr>
          <w:rFonts w:ascii="Arial" w:cs="Arial" w:eastAsia="Arial" w:hAnsi="Arial"/>
          <w:sz w:val="15"/>
          <w:szCs w:val="15"/>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51" w:lineRule="exact"/>
        <w:rPr>
          <w:rFonts w:ascii="Arial" w:cs="Arial" w:eastAsia="Arial" w:hAnsi="Arial"/>
          <w:sz w:val="15"/>
          <w:szCs w:val="15"/>
          <w:color w:val="auto"/>
        </w:rPr>
      </w:pPr>
    </w:p>
    <w:p>
      <w:pPr>
        <w:ind w:left="-20" w:right="20" w:firstLine="412"/>
        <w:spacing w:after="0" w:line="250" w:lineRule="auto"/>
        <w:tabs>
          <w:tab w:leader="none" w:pos="598"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83" w:lineRule="exact"/>
        <w:rPr>
          <w:rFonts w:ascii="Arial" w:cs="Arial" w:eastAsia="Arial" w:hAnsi="Arial"/>
          <w:sz w:val="17"/>
          <w:szCs w:val="17"/>
          <w:color w:val="auto"/>
        </w:rPr>
      </w:pPr>
    </w:p>
    <w:p>
      <w:pPr>
        <w:ind w:left="-20" w:right="40" w:firstLine="412"/>
        <w:spacing w:after="0" w:line="266" w:lineRule="auto"/>
        <w:tabs>
          <w:tab w:leader="none" w:pos="626"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72" w:lineRule="exact"/>
        <w:rPr>
          <w:rFonts w:ascii="Arial" w:cs="Arial" w:eastAsia="Arial" w:hAnsi="Arial"/>
          <w:sz w:val="16"/>
          <w:szCs w:val="16"/>
          <w:color w:val="auto"/>
        </w:rPr>
      </w:pPr>
    </w:p>
    <w:p>
      <w:pPr>
        <w:jc w:val="both"/>
        <w:ind w:left="-20" w:firstLine="412"/>
        <w:spacing w:after="0" w:line="253" w:lineRule="auto"/>
        <w:tabs>
          <w:tab w:leader="none" w:pos="626"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20"/>
          </w:cols>
          <w:pgMar w:left="840" w:top="265" w:right="839" w:bottom="1440" w:gutter="0" w:footer="0" w:header="0"/>
        </w:sectPr>
      </w:pPr>
    </w:p>
    <w:bookmarkStart w:id="451" w:name="page452"/>
    <w:bookmarkEnd w:id="451"/>
    <w:p>
      <w:pPr>
        <w:ind w:right="20"/>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Arial" w:cs="Arial" w:eastAsia="Arial" w:hAnsi="Arial"/>
          <w:sz w:val="15"/>
          <w:szCs w:val="15"/>
          <w:u w:val="single" w:color="auto"/>
          <w:color w:val="auto"/>
        </w:rPr>
        <w:t>AAA</w:t>
      </w:r>
      <w:r>
        <w:rPr>
          <w:rFonts w:ascii="Arial" w:cs="Arial" w:eastAsia="Arial" w:hAnsi="Arial"/>
          <w:sz w:val="15"/>
          <w:szCs w:val="15"/>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58" w:lineRule="exact"/>
        <w:rPr>
          <w:sz w:val="20"/>
          <w:szCs w:val="20"/>
          <w:color w:val="auto"/>
        </w:rPr>
      </w:pPr>
    </w:p>
    <w:p>
      <w:pPr>
        <w:ind w:right="60" w:firstLine="412"/>
        <w:spacing w:after="0" w:line="269" w:lineRule="auto"/>
        <w:tabs>
          <w:tab w:leader="none" w:pos="609"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68" w:lineRule="exact"/>
        <w:rPr>
          <w:rFonts w:ascii="Arial" w:cs="Arial" w:eastAsia="Arial" w:hAnsi="Arial"/>
          <w:sz w:val="16"/>
          <w:szCs w:val="16"/>
          <w:color w:val="auto"/>
        </w:rPr>
      </w:pPr>
    </w:p>
    <w:p>
      <w:pPr>
        <w:ind w:right="80" w:firstLine="412"/>
        <w:spacing w:after="0" w:line="257" w:lineRule="auto"/>
        <w:tabs>
          <w:tab w:leader="none" w:pos="609"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74" w:lineRule="exact"/>
        <w:rPr>
          <w:rFonts w:ascii="Arial" w:cs="Arial" w:eastAsia="Arial" w:hAnsi="Arial"/>
          <w:sz w:val="17"/>
          <w:szCs w:val="17"/>
          <w:color w:val="auto"/>
        </w:rPr>
      </w:pPr>
    </w:p>
    <w:p>
      <w:pPr>
        <w:ind w:left="640" w:hanging="228"/>
        <w:spacing w:after="0"/>
        <w:tabs>
          <w:tab w:leader="none" w:pos="640"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420" w:right="160" w:firstLine="385"/>
        <w:spacing w:after="0" w:line="299" w:lineRule="auto"/>
        <w:tabs>
          <w:tab w:leader="none" w:pos="1013" w:val="left"/>
        </w:tabs>
        <w:numPr>
          <w:ilvl w:val="1"/>
          <w:numId w:val="389"/>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intent of the Parties is that the payments and benefits under this Agreement comply with or be exempt from Section 409A</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accordingly, to the maximum extent permitted, this Agreement shall be interpreted to be in compliance therewith.</w:t>
      </w:r>
    </w:p>
    <w:p>
      <w:pPr>
        <w:spacing w:after="0" w:line="43" w:lineRule="exact"/>
        <w:rPr>
          <w:rFonts w:ascii="Arial" w:cs="Arial" w:eastAsia="Arial" w:hAnsi="Arial"/>
          <w:sz w:val="16"/>
          <w:szCs w:val="16"/>
          <w:color w:val="auto"/>
        </w:rPr>
      </w:pPr>
    </w:p>
    <w:p>
      <w:pPr>
        <w:ind w:left="420" w:firstLine="385"/>
        <w:spacing w:after="0" w:line="288" w:lineRule="auto"/>
        <w:tabs>
          <w:tab w:leader="none" w:pos="1059" w:val="left"/>
        </w:tabs>
        <w:numPr>
          <w:ilvl w:val="1"/>
          <w:numId w:val="389"/>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that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40"/>
          </w:cols>
          <w:pgMar w:left="820" w:top="265" w:right="839" w:bottom="1440" w:gutter="0" w:footer="0" w:header="0"/>
        </w:sectPr>
      </w:pPr>
    </w:p>
    <w:bookmarkStart w:id="452" w:name="page453"/>
    <w:bookmarkEnd w:id="452"/>
    <w:p>
      <w:pPr>
        <w:ind w:left="420" w:right="40" w:firstLine="385"/>
        <w:spacing w:after="0" w:line="285" w:lineRule="auto"/>
        <w:tabs>
          <w:tab w:leader="none" w:pos="1106" w:val="left"/>
        </w:tabs>
        <w:numPr>
          <w:ilvl w:val="0"/>
          <w:numId w:val="390"/>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Specified Employee. </w:t>
      </w:r>
      <w:r>
        <w:rPr>
          <w:rFonts w:ascii="Arial" w:cs="Arial" w:eastAsia="Arial" w:hAnsi="Arial"/>
          <w:sz w:val="15"/>
          <w:szCs w:val="15"/>
          <w:color w:val="auto"/>
        </w:rPr>
        <w:t>Notwithstanding anything in this Agreement to the contrary, if Executive is deemed by the Company at the time of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Executive’s Separation from Service to be a “specified employee” for purposes of Section 409A, to the extent delayed commencement of any portion of the benefits to which Executive is entitled under this Agreement is required in order to avoid a prohibited distribution under</w:t>
      </w:r>
    </w:p>
    <w:p>
      <w:pPr>
        <w:ind w:left="420"/>
        <w:spacing w:after="0" w:line="248" w:lineRule="auto"/>
        <w:rPr>
          <w:rFonts w:ascii="Arial" w:cs="Arial" w:eastAsia="Arial" w:hAnsi="Arial"/>
          <w:sz w:val="15"/>
          <w:szCs w:val="15"/>
          <w:color w:val="auto"/>
        </w:rPr>
      </w:pPr>
      <w:r>
        <w:rPr>
          <w:rFonts w:ascii="Arial" w:cs="Arial" w:eastAsia="Arial" w:hAnsi="Arial"/>
          <w:sz w:val="17"/>
          <w:szCs w:val="17"/>
          <w:color w:val="auto"/>
        </w:rPr>
        <w:t>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82" w:lineRule="exact"/>
        <w:rPr>
          <w:rFonts w:ascii="Arial" w:cs="Arial" w:eastAsia="Arial" w:hAnsi="Arial"/>
          <w:sz w:val="15"/>
          <w:szCs w:val="15"/>
          <w:color w:val="auto"/>
        </w:rPr>
      </w:pPr>
    </w:p>
    <w:p>
      <w:pPr>
        <w:ind w:left="420" w:right="80" w:firstLine="385"/>
        <w:spacing w:after="0" w:line="250" w:lineRule="auto"/>
        <w:tabs>
          <w:tab w:leader="none" w:pos="1097" w:val="left"/>
        </w:tabs>
        <w:numPr>
          <w:ilvl w:val="0"/>
          <w:numId w:val="390"/>
        </w:numPr>
        <w:rPr>
          <w:rFonts w:ascii="Arial" w:cs="Arial" w:eastAsia="Arial" w:hAnsi="Arial"/>
          <w:sz w:val="17"/>
          <w:szCs w:val="17"/>
          <w:color w:val="auto"/>
        </w:rPr>
      </w:pPr>
      <w:r>
        <w:rPr>
          <w:rFonts w:ascii="Arial" w:cs="Arial" w:eastAsia="Arial" w:hAnsi="Arial"/>
          <w:sz w:val="17"/>
          <w:szCs w:val="17"/>
          <w:i w:val="1"/>
          <w:iCs w:val="1"/>
          <w:color w:val="auto"/>
        </w:rPr>
        <w:t xml:space="preserve">Expense Reimbursements. </w:t>
      </w:r>
      <w:r>
        <w:rPr>
          <w:rFonts w:ascii="Arial" w:cs="Arial" w:eastAsia="Arial" w:hAnsi="Arial"/>
          <w:sz w:val="17"/>
          <w:szCs w:val="17"/>
          <w:color w:val="auto"/>
        </w:rPr>
        <w:t>To the extent that any reimbursements under this Agreement are subject to Section 409A, any such</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reimbursements payable to Executive shall be paid to Executive no later than December 31 of the year following the year in which the expense was incurred. The Executive will submit Executive’s reimbursement request promptly following the date the expense is incurred, and the amount of expenses reimbursed in one year shall not affect the amount eligible for reimbursement in any subsequent year, other than medical expenses referred to in Section 105(b) of the Code. Executive’s right to reimbursement under this Agreement will not be subject to liquidation or exchange for another benefit.</w:t>
      </w:r>
    </w:p>
    <w:p>
      <w:pPr>
        <w:spacing w:after="0" w:line="83" w:lineRule="exact"/>
        <w:rPr>
          <w:rFonts w:ascii="Arial" w:cs="Arial" w:eastAsia="Arial" w:hAnsi="Arial"/>
          <w:sz w:val="17"/>
          <w:szCs w:val="17"/>
          <w:color w:val="auto"/>
        </w:rPr>
      </w:pPr>
    </w:p>
    <w:p>
      <w:pPr>
        <w:ind w:left="420" w:right="80" w:firstLine="385"/>
        <w:spacing w:after="0" w:line="271" w:lineRule="auto"/>
        <w:tabs>
          <w:tab w:leader="none" w:pos="1050" w:val="left"/>
        </w:tabs>
        <w:numPr>
          <w:ilvl w:val="0"/>
          <w:numId w:val="390"/>
        </w:numPr>
        <w:rPr>
          <w:rFonts w:ascii="Arial" w:cs="Arial" w:eastAsia="Arial" w:hAnsi="Arial"/>
          <w:sz w:val="16"/>
          <w:szCs w:val="16"/>
          <w:color w:val="auto"/>
        </w:rPr>
      </w:pPr>
      <w:r>
        <w:rPr>
          <w:rFonts w:ascii="Arial" w:cs="Arial" w:eastAsia="Arial" w:hAnsi="Arial"/>
          <w:sz w:val="16"/>
          <w:szCs w:val="16"/>
          <w:i w:val="1"/>
          <w:iCs w:val="1"/>
          <w:color w:val="auto"/>
        </w:rPr>
        <w:t xml:space="preserve">Installments. </w:t>
      </w:r>
      <w:r>
        <w:rPr>
          <w:rFonts w:ascii="Arial" w:cs="Arial" w:eastAsia="Arial" w:hAnsi="Arial"/>
          <w:sz w:val="16"/>
          <w:szCs w:val="16"/>
          <w:color w:val="auto"/>
        </w:rPr>
        <w:t>Executive’s right to receive any installment payments under this Agreement, including without limitation any continuation</w:t>
      </w:r>
      <w:r>
        <w:rPr>
          <w:rFonts w:ascii="Arial" w:cs="Arial" w:eastAsia="Arial" w:hAnsi="Arial"/>
          <w:sz w:val="16"/>
          <w:szCs w:val="16"/>
          <w:i w:val="1"/>
          <w:iCs w:val="1"/>
          <w:color w:val="auto"/>
        </w:rPr>
        <w:t xml:space="preserve"> </w:t>
      </w:r>
      <w:r>
        <w:rPr>
          <w:rFonts w:ascii="Arial" w:cs="Arial" w:eastAsia="Arial" w:hAnsi="Arial"/>
          <w:sz w:val="16"/>
          <w:szCs w:val="16"/>
          <w:color w:val="auto"/>
        </w:rPr>
        <w:t>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263" w:lineRule="exact"/>
        <w:rPr>
          <w:sz w:val="20"/>
          <w:szCs w:val="20"/>
          <w:color w:val="auto"/>
        </w:rPr>
      </w:pPr>
    </w:p>
    <w:p>
      <w:pPr>
        <w:ind w:left="260" w:hanging="257"/>
        <w:spacing w:after="0"/>
        <w:tabs>
          <w:tab w:leader="none" w:pos="260"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Executive Acknowledgement</w:t>
      </w:r>
      <w:r>
        <w:rPr>
          <w:rFonts w:ascii="Arial" w:cs="Arial" w:eastAsia="Arial" w:hAnsi="Arial"/>
          <w:sz w:val="17"/>
          <w:szCs w:val="17"/>
          <w:b w:val="1"/>
          <w:bCs w:val="1"/>
          <w:color w:val="auto"/>
        </w:rPr>
        <w:t>.</w:t>
      </w:r>
    </w:p>
    <w:p>
      <w:pPr>
        <w:spacing w:after="0" w:line="110" w:lineRule="exact"/>
        <w:rPr>
          <w:sz w:val="20"/>
          <w:szCs w:val="20"/>
          <w:color w:val="auto"/>
        </w:rPr>
      </w:pPr>
    </w:p>
    <w:p>
      <w:pPr>
        <w:ind w:right="20" w:firstLine="409"/>
        <w:spacing w:after="0" w:line="257" w:lineRule="auto"/>
        <w:rPr>
          <w:sz w:val="20"/>
          <w:szCs w:val="20"/>
          <w:color w:val="auto"/>
        </w:rPr>
      </w:pPr>
      <w:r>
        <w:rPr>
          <w:rFonts w:ascii="Arial" w:cs="Arial" w:eastAsia="Arial" w:hAnsi="Arial"/>
          <w:sz w:val="17"/>
          <w:szCs w:val="17"/>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20"/>
          </w:cols>
          <w:pgMar w:left="820" w:top="265" w:right="859" w:bottom="1440" w:gutter="0" w:footer="0" w:header="0"/>
        </w:sectPr>
      </w:pPr>
    </w:p>
    <w:bookmarkStart w:id="453" w:name="page454"/>
    <w:bookmarkEnd w:id="45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the Parties have executed this Agreement on the date first written above.</w:t>
      </w: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 /s/ R. Don 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wp:posOffset>
            </wp:positionV>
            <wp:extent cx="23831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Name: R. Don Elsey</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Title: Chief Financial Officer</w:t>
      </w:r>
    </w:p>
    <w:p>
      <w:pPr>
        <w:spacing w:after="0" w:line="213"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EXECUTIVE</w:t>
      </w: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Maria Palasis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11430</wp:posOffset>
            </wp:positionV>
            <wp:extent cx="259842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8">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Maria Palasis</w:t>
      </w: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7"/>
          <w:szCs w:val="17"/>
          <w:i w:val="1"/>
          <w:iCs w:val="1"/>
          <w:color w:val="auto"/>
        </w:rPr>
        <w:t>[Signature Page to Employment Agreement]</w:t>
      </w:r>
    </w:p>
    <w:p>
      <w:pPr>
        <w:sectPr>
          <w:pgSz w:w="11900" w:h="16838" w:orient="portrait"/>
          <w:cols w:equalWidth="0" w:num="1">
            <w:col w:w="9219"/>
          </w:cols>
          <w:pgMar w:left="1240" w:top="265" w:right="1440" w:bottom="1440" w:gutter="0" w:footer="0" w:header="0"/>
        </w:sectPr>
      </w:pPr>
    </w:p>
    <w:bookmarkStart w:id="454" w:name="page455"/>
    <w:bookmarkEnd w:id="454"/>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Separation Agreement and Release</w:t>
      </w:r>
    </w:p>
    <w:p>
      <w:pPr>
        <w:spacing w:after="0" w:line="210" w:lineRule="exact"/>
        <w:rPr>
          <w:sz w:val="20"/>
          <w:szCs w:val="20"/>
          <w:color w:val="auto"/>
        </w:rPr>
      </w:pPr>
    </w:p>
    <w:p>
      <w:pPr>
        <w:ind w:right="240" w:firstLine="409"/>
        <w:spacing w:after="0" w:line="257" w:lineRule="auto"/>
        <w:rPr>
          <w:sz w:val="20"/>
          <w:szCs w:val="20"/>
          <w:color w:val="auto"/>
        </w:rPr>
      </w:pPr>
      <w:r>
        <w:rPr>
          <w:rFonts w:ascii="Arial" w:cs="Arial" w:eastAsia="Arial" w:hAnsi="Arial"/>
          <w:sz w:val="17"/>
          <w:szCs w:val="17"/>
          <w:color w:val="auto"/>
        </w:rPr>
        <w:t>This Separation Agreement and Release ( this “</w:t>
      </w:r>
      <w:r>
        <w:rPr>
          <w:rFonts w:ascii="Arial" w:cs="Arial" w:eastAsia="Arial" w:hAnsi="Arial"/>
          <w:sz w:val="17"/>
          <w:szCs w:val="17"/>
          <w:u w:val="single" w:color="auto"/>
          <w:color w:val="auto"/>
        </w:rPr>
        <w:t>Release</w:t>
      </w:r>
      <w:r>
        <w:rPr>
          <w:rFonts w:ascii="Arial" w:cs="Arial" w:eastAsia="Arial" w:hAnsi="Arial"/>
          <w:sz w:val="17"/>
          <w:szCs w:val="17"/>
          <w:color w:val="auto"/>
        </w:rPr>
        <w:t>”) is made by and between Maria Palasis (“</w:t>
      </w:r>
      <w:r>
        <w:rPr>
          <w:rFonts w:ascii="Arial" w:cs="Arial" w:eastAsia="Arial" w:hAnsi="Arial"/>
          <w:sz w:val="17"/>
          <w:szCs w:val="17"/>
          <w:u w:val="single" w:color="auto"/>
          <w:color w:val="auto"/>
        </w:rPr>
        <w:t>Executive</w:t>
      </w:r>
      <w:r>
        <w:rPr>
          <w:rFonts w:ascii="Arial" w:cs="Arial" w:eastAsia="Arial" w:hAnsi="Arial"/>
          <w:sz w:val="17"/>
          <w:szCs w:val="17"/>
          <w:color w:val="auto"/>
        </w:rPr>
        <w:t>”) and Lyra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(collectively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or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 Capitalized terms used but not defined in this Release shall have the meanings set forth in the Employment Agreement (as defined below).</w:t>
      </w:r>
    </w:p>
    <w:p>
      <w:pPr>
        <w:spacing w:after="0" w:line="175" w:lineRule="exact"/>
        <w:rPr>
          <w:sz w:val="20"/>
          <w:szCs w:val="20"/>
          <w:color w:val="auto"/>
        </w:rPr>
      </w:pPr>
    </w:p>
    <w:p>
      <w:pPr>
        <w:ind w:right="700" w:firstLine="409"/>
        <w:spacing w:after="0" w:line="268" w:lineRule="auto"/>
        <w:rPr>
          <w:sz w:val="20"/>
          <w:szCs w:val="20"/>
          <w:color w:val="auto"/>
        </w:rPr>
      </w:pPr>
      <w:r>
        <w:rPr>
          <w:rFonts w:ascii="Arial" w:cs="Arial" w:eastAsia="Arial" w:hAnsi="Arial"/>
          <w:sz w:val="17"/>
          <w:szCs w:val="17"/>
          <w:color w:val="auto"/>
        </w:rPr>
        <w:t>WHEREAS, the Parties have previously entered into that certain Employment Agreement, dated as of April 27, 2020 (the “</w:t>
      </w:r>
      <w:r>
        <w:rPr>
          <w:rFonts w:ascii="Arial" w:cs="Arial" w:eastAsia="Arial" w:hAnsi="Arial"/>
          <w:sz w:val="17"/>
          <w:szCs w:val="17"/>
          <w:u w:val="single" w:color="auto"/>
          <w:color w:val="auto"/>
        </w:rPr>
        <w:t>Employment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the Restrictive Covenant Agreement (as defined in the Employment Agreement); and</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WHEREAS, in connection with Executive’s termination of employment with the Company or a subsidiary or affiliate of the Company effective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________, 20__, the Parties wish to resolve any and all disputes, claims, complaints, grievances, charges, actions, petitions and demands that Executive</w:t>
      </w:r>
    </w:p>
    <w:p>
      <w:pPr>
        <w:spacing w:after="0" w:line="28"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Arial" w:cs="Arial" w:eastAsia="Arial" w:hAnsi="Arial"/>
          <w:sz w:val="15"/>
          <w:szCs w:val="15"/>
          <w:u w:val="single" w:color="auto"/>
          <w:color w:val="auto"/>
        </w:rPr>
        <w:t>Retained Claims</w:t>
      </w:r>
      <w:r>
        <w:rPr>
          <w:rFonts w:ascii="Arial" w:cs="Arial" w:eastAsia="Arial" w:hAnsi="Arial"/>
          <w:sz w:val="15"/>
          <w:szCs w:val="15"/>
          <w:color w:val="auto"/>
        </w:rPr>
        <w:t>”).</w:t>
      </w:r>
    </w:p>
    <w:p>
      <w:pPr>
        <w:spacing w:after="0" w:line="153" w:lineRule="exact"/>
        <w:rPr>
          <w:sz w:val="20"/>
          <w:szCs w:val="20"/>
          <w:color w:val="auto"/>
        </w:rPr>
      </w:pPr>
    </w:p>
    <w:p>
      <w:pPr>
        <w:jc w:val="both"/>
        <w:ind w:right="400" w:firstLine="409"/>
        <w:spacing w:after="0" w:line="257" w:lineRule="auto"/>
        <w:rPr>
          <w:sz w:val="20"/>
          <w:szCs w:val="20"/>
          <w:color w:val="auto"/>
        </w:rPr>
      </w:pPr>
      <w:r>
        <w:rPr>
          <w:rFonts w:ascii="Arial" w:cs="Arial" w:eastAsia="Arial" w:hAnsi="Arial"/>
          <w:sz w:val="17"/>
          <w:szCs w:val="17"/>
          <w:color w:val="auto"/>
        </w:rPr>
        <w:t>NOW, THEREFORE, in consideration of the severance payments and benefits described in Section 4 of the Employment Agreement, which, pursuant to the Employment Agreement, are conditioned on Executive’s execution and non-revocation of this Release, and in consideration of the mutual promises made herein, the Company and Executive hereby agree as follows:</w:t>
      </w:r>
    </w:p>
    <w:p>
      <w:pPr>
        <w:spacing w:after="0" w:line="75" w:lineRule="exact"/>
        <w:rPr>
          <w:sz w:val="20"/>
          <w:szCs w:val="20"/>
          <w:color w:val="auto"/>
        </w:rPr>
      </w:pPr>
    </w:p>
    <w:p>
      <w:pPr>
        <w:ind w:right="240" w:firstLine="412"/>
        <w:spacing w:after="0" w:line="250" w:lineRule="auto"/>
        <w:tabs>
          <w:tab w:leader="none" w:pos="577"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Severance Payments and Benefits; Salary and Benefits</w:t>
      </w:r>
      <w:r>
        <w:rPr>
          <w:rFonts w:ascii="Arial" w:cs="Arial" w:eastAsia="Arial" w:hAnsi="Arial"/>
          <w:sz w:val="17"/>
          <w:szCs w:val="17"/>
          <w:color w:val="auto"/>
        </w:rPr>
        <w:t>.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 The severance payments and benefits described in Section [4(b)][4(c)] of the Employment Agreement shall be provided in lieu of any Garden Leave payment (as such term is used in the Restrictive Covenants Agreement) and Executive will not be eligible to receive any Garden Leave payment.</w:t>
      </w:r>
    </w:p>
    <w:p>
      <w:pPr>
        <w:spacing w:after="0" w:line="80" w:lineRule="exact"/>
        <w:rPr>
          <w:rFonts w:ascii="Arial" w:cs="Arial" w:eastAsia="Arial" w:hAnsi="Arial"/>
          <w:sz w:val="17"/>
          <w:szCs w:val="17"/>
          <w:color w:val="auto"/>
        </w:rPr>
      </w:pPr>
    </w:p>
    <w:p>
      <w:pPr>
        <w:ind w:right="120" w:firstLine="412"/>
        <w:spacing w:after="0" w:line="269" w:lineRule="auto"/>
        <w:tabs>
          <w:tab w:leader="none" w:pos="577"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subsidiaries, predecessor and successor corporations and assigns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Executive, on Executive’s own behalf and on behalf of any of Executive’s affiliated companies or entities and any of their respective heirs, family members, executors, agents and assigns, other than with respect to the</w:t>
      </w:r>
    </w:p>
    <w:p>
      <w:pPr>
        <w:sectPr>
          <w:pgSz w:w="11900" w:h="16838" w:orient="portrait"/>
          <w:cols w:equalWidth="0" w:num="1">
            <w:col w:w="10240"/>
          </w:cols>
          <w:pgMar w:left="820" w:top="261" w:right="839" w:bottom="1440" w:gutter="0" w:footer="0" w:header="0"/>
        </w:sectPr>
      </w:pPr>
    </w:p>
    <w:bookmarkStart w:id="455" w:name="page456"/>
    <w:bookmarkEnd w:id="455"/>
    <w:p>
      <w:pPr>
        <w:ind w:right="4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Release, including, without limitation:</w:t>
      </w:r>
    </w:p>
    <w:p>
      <w:pPr>
        <w:spacing w:after="0" w:line="64" w:lineRule="exact"/>
        <w:rPr>
          <w:sz w:val="20"/>
          <w:szCs w:val="20"/>
          <w:color w:val="auto"/>
        </w:rPr>
      </w:pPr>
    </w:p>
    <w:p>
      <w:pPr>
        <w:ind w:right="140" w:firstLine="924"/>
        <w:spacing w:after="0" w:line="268" w:lineRule="auto"/>
        <w:tabs>
          <w:tab w:leader="none" w:pos="114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or service relationship with the Company or any of its direct or indirect subsidiaries or affiliates and the termination of that relationship;</w:t>
      </w:r>
    </w:p>
    <w:p>
      <w:pPr>
        <w:spacing w:after="0" w:line="65" w:lineRule="exact"/>
        <w:rPr>
          <w:rFonts w:ascii="Arial" w:cs="Arial" w:eastAsia="Arial" w:hAnsi="Arial"/>
          <w:sz w:val="17"/>
          <w:szCs w:val="17"/>
          <w:color w:val="auto"/>
        </w:rPr>
      </w:pPr>
    </w:p>
    <w:p>
      <w:pPr>
        <w:jc w:val="both"/>
        <w:ind w:right="160" w:firstLine="924"/>
        <w:spacing w:after="0" w:line="257" w:lineRule="auto"/>
        <w:tabs>
          <w:tab w:leader="none" w:pos="115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74" w:lineRule="exact"/>
        <w:rPr>
          <w:rFonts w:ascii="Arial" w:cs="Arial" w:eastAsia="Arial" w:hAnsi="Arial"/>
          <w:sz w:val="17"/>
          <w:szCs w:val="17"/>
          <w:color w:val="auto"/>
        </w:rPr>
      </w:pPr>
    </w:p>
    <w:p>
      <w:pPr>
        <w:ind w:right="120" w:firstLine="924"/>
        <w:spacing w:after="0" w:line="271" w:lineRule="auto"/>
        <w:tabs>
          <w:tab w:leader="none" w:pos="1149"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65" w:lineRule="exact"/>
        <w:rPr>
          <w:rFonts w:ascii="Arial" w:cs="Arial" w:eastAsia="Arial" w:hAnsi="Arial"/>
          <w:sz w:val="16"/>
          <w:szCs w:val="16"/>
          <w:color w:val="auto"/>
        </w:rPr>
      </w:pPr>
    </w:p>
    <w:p>
      <w:pPr>
        <w:ind w:firstLine="924"/>
        <w:spacing w:after="0" w:line="288" w:lineRule="auto"/>
        <w:tabs>
          <w:tab w:leader="none" w:pos="1159" w:val="left"/>
        </w:tabs>
        <w:numPr>
          <w:ilvl w:val="0"/>
          <w:numId w:val="393"/>
        </w:numPr>
        <w:rPr>
          <w:rFonts w:ascii="Arial" w:cs="Arial" w:eastAsia="Arial" w:hAnsi="Arial"/>
          <w:sz w:val="15"/>
          <w:szCs w:val="15"/>
          <w:color w:val="auto"/>
        </w:rPr>
      </w:pPr>
      <w:r>
        <w:rPr>
          <w:rFonts w:ascii="Arial" w:cs="Arial" w:eastAsia="Arial" w:hAnsi="Arial"/>
          <w:sz w:val="15"/>
          <w:szCs w:val="15"/>
          <w:color w:val="auto"/>
        </w:rPr>
        <w:t xml:space="preserv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Massachusetts Fair Employment Practices Act, M.G.L. c. 151B, § 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Massachusetts Civil Rights Act, M.G.L. c. 12, §§ IIH and 111; the Massachusetts Equal Rights Act, M.G.L. c. 93, § 102 and M.G.L. c. 214, § IC; the Massachusetts Labor and Industries Act, M.G.L. c. 149, § 1 </w:t>
      </w:r>
      <w:r>
        <w:rPr>
          <w:rFonts w:ascii="Arial" w:cs="Arial" w:eastAsia="Arial" w:hAnsi="Arial"/>
          <w:sz w:val="15"/>
          <w:szCs w:val="15"/>
          <w:u w:val="single" w:color="auto"/>
          <w:color w:val="auto"/>
        </w:rPr>
        <w:t>et seq</w:t>
      </w:r>
      <w:r>
        <w:rPr>
          <w:rFonts w:ascii="Arial" w:cs="Arial" w:eastAsia="Arial" w:hAnsi="Arial"/>
          <w:sz w:val="15"/>
          <w:szCs w:val="15"/>
          <w:color w:val="auto"/>
        </w:rPr>
        <w:t>.; the Massachusetts Privacy Act, M.G.L. c. 214, § 1B; and the Massachusetts Maternity Leave Act, M.G.L. c. 49, § 105D;</w:t>
      </w:r>
    </w:p>
    <w:p>
      <w:pPr>
        <w:spacing w:after="0" w:line="57" w:lineRule="exact"/>
        <w:rPr>
          <w:rFonts w:ascii="Arial" w:cs="Arial" w:eastAsia="Arial" w:hAnsi="Arial"/>
          <w:sz w:val="15"/>
          <w:szCs w:val="15"/>
          <w:color w:val="auto"/>
        </w:rPr>
      </w:pPr>
    </w:p>
    <w:p>
      <w:pPr>
        <w:ind w:left="1160" w:hanging="236"/>
        <w:spacing w:after="0"/>
        <w:tabs>
          <w:tab w:leader="none" w:pos="116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105" w:lineRule="exact"/>
        <w:rPr>
          <w:rFonts w:ascii="Arial" w:cs="Arial" w:eastAsia="Arial" w:hAnsi="Arial"/>
          <w:sz w:val="17"/>
          <w:szCs w:val="17"/>
          <w:color w:val="auto"/>
        </w:rPr>
      </w:pPr>
    </w:p>
    <w:p>
      <w:pPr>
        <w:ind w:left="1140" w:hanging="216"/>
        <w:spacing w:after="0"/>
        <w:tabs>
          <w:tab w:leader="none" w:pos="114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105" w:lineRule="exact"/>
        <w:rPr>
          <w:rFonts w:ascii="Arial" w:cs="Arial" w:eastAsia="Arial" w:hAnsi="Arial"/>
          <w:sz w:val="17"/>
          <w:szCs w:val="17"/>
          <w:color w:val="auto"/>
        </w:rPr>
      </w:pPr>
    </w:p>
    <w:p>
      <w:pPr>
        <w:ind w:right="20" w:firstLine="924"/>
        <w:spacing w:after="0" w:line="268" w:lineRule="auto"/>
        <w:tabs>
          <w:tab w:leader="none" w:pos="115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Release;</w:t>
      </w:r>
    </w:p>
    <w:p>
      <w:pPr>
        <w:spacing w:after="0" w:line="65" w:lineRule="exact"/>
        <w:rPr>
          <w:rFonts w:ascii="Arial" w:cs="Arial" w:eastAsia="Arial" w:hAnsi="Arial"/>
          <w:sz w:val="17"/>
          <w:szCs w:val="17"/>
          <w:color w:val="auto"/>
        </w:rPr>
      </w:pPr>
    </w:p>
    <w:p>
      <w:pPr>
        <w:ind w:right="180" w:firstLine="924"/>
        <w:spacing w:after="0" w:line="335" w:lineRule="auto"/>
        <w:tabs>
          <w:tab w:leader="none" w:pos="1159" w:val="left"/>
        </w:tabs>
        <w:numPr>
          <w:ilvl w:val="0"/>
          <w:numId w:val="393"/>
        </w:numPr>
        <w:rPr>
          <w:rFonts w:ascii="Arial" w:cs="Arial" w:eastAsia="Arial" w:hAnsi="Arial"/>
          <w:sz w:val="15"/>
          <w:szCs w:val="15"/>
          <w:color w:val="auto"/>
        </w:rPr>
      </w:pPr>
      <w:r>
        <w:rPr>
          <w:rFonts w:ascii="Arial" w:cs="Arial" w:eastAsia="Arial" w:hAnsi="Arial"/>
          <w:sz w:val="15"/>
          <w:szCs w:val="15"/>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20" w:lineRule="exact"/>
        <w:rPr>
          <w:rFonts w:ascii="Arial" w:cs="Arial" w:eastAsia="Arial" w:hAnsi="Arial"/>
          <w:sz w:val="15"/>
          <w:szCs w:val="15"/>
          <w:color w:val="auto"/>
        </w:rPr>
      </w:pPr>
    </w:p>
    <w:p>
      <w:pPr>
        <w:ind w:left="1120" w:hanging="196"/>
        <w:spacing w:after="0"/>
        <w:tabs>
          <w:tab w:leader="none" w:pos="11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240"/>
          </w:cols>
          <w:pgMar w:left="820" w:top="265" w:right="839" w:bottom="1440" w:gutter="0" w:footer="0" w:header="0"/>
        </w:sectPr>
      </w:pPr>
    </w:p>
    <w:bookmarkStart w:id="456" w:name="page457"/>
    <w:bookmarkEnd w:id="456"/>
    <w:p>
      <w:pPr>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the Consolidated Omnibus Budget Reconciliation Act of 1985, as amended,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spacing w:after="0" w:line="58" w:lineRule="exact"/>
        <w:rPr>
          <w:sz w:val="20"/>
          <w:szCs w:val="20"/>
          <w:color w:val="auto"/>
        </w:rPr>
      </w:pPr>
    </w:p>
    <w:p>
      <w:pPr>
        <w:ind w:right="100" w:firstLine="412"/>
        <w:spacing w:after="0" w:line="284" w:lineRule="auto"/>
        <w:tabs>
          <w:tab w:leader="none" w:pos="577"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Executive understands and acknowledges that Executive is waiving and releasing any rights Executive may have under the Age Discrimination in Employment Act of 1967 (“</w:t>
      </w:r>
      <w:r>
        <w:rPr>
          <w:rFonts w:ascii="Arial" w:cs="Arial" w:eastAsia="Arial" w:hAnsi="Arial"/>
          <w:sz w:val="15"/>
          <w:szCs w:val="15"/>
          <w:u w:val="single" w:color="auto"/>
          <w:color w:val="auto"/>
        </w:rPr>
        <w:t>ADEA</w:t>
      </w:r>
      <w:r>
        <w:rPr>
          <w:rFonts w:ascii="Arial" w:cs="Arial" w:eastAsia="Arial" w:hAnsi="Arial"/>
          <w:sz w:val="15"/>
          <w:szCs w:val="15"/>
          <w:color w:val="auto"/>
        </w:rPr>
        <w:t>”), and that this waiver and release is knowing and voluntary. Executive understands and agrees that this waiver and release does not apply to any rights or claims that may arise under the ADEA after the date Executive signs this Release.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Release; (b) Executive has [twenty-one (21)][forty-five (45)] days within which to consider this Release, and the Parties agree that such time period to review this Release shall not be extended upon any material or immaterial changes to this Release; (c) Executive has seven (7) business days following Executive’s execution of this Release to revoke this Release pursuant to written notice to the General Counsel of the Company; (d) this Release shall not be effective until after the revocation period has expired;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[twenty-one (21)][forty-five (45)] day period identified above, Executive hereby acknowledges that Executive has freely and voluntarily chosen to waive the time period allotted for considering this Release.</w:t>
      </w:r>
    </w:p>
    <w:p>
      <w:pPr>
        <w:spacing w:after="0" w:line="57" w:lineRule="exact"/>
        <w:rPr>
          <w:rFonts w:ascii="Arial" w:cs="Arial" w:eastAsia="Arial" w:hAnsi="Arial"/>
          <w:sz w:val="15"/>
          <w:szCs w:val="15"/>
          <w:color w:val="auto"/>
        </w:rPr>
      </w:pPr>
    </w:p>
    <w:p>
      <w:pPr>
        <w:ind w:right="120" w:firstLine="412"/>
        <w:spacing w:after="0" w:line="268" w:lineRule="auto"/>
        <w:tabs>
          <w:tab w:leader="none" w:pos="577"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Executive acknowledges that Executive remains bound by the Restrictive Covenants Agreement, which is incorporated by reference herein as if re-executed along with this Release.</w:t>
      </w:r>
    </w:p>
    <w:p>
      <w:pPr>
        <w:spacing w:after="0" w:line="65" w:lineRule="exact"/>
        <w:rPr>
          <w:rFonts w:ascii="Arial" w:cs="Arial" w:eastAsia="Arial" w:hAnsi="Arial"/>
          <w:sz w:val="17"/>
          <w:szCs w:val="17"/>
          <w:color w:val="auto"/>
        </w:rPr>
      </w:pPr>
    </w:p>
    <w:p>
      <w:pPr>
        <w:jc w:val="both"/>
        <w:ind w:firstLine="412"/>
        <w:spacing w:after="0" w:line="257" w:lineRule="auto"/>
        <w:tabs>
          <w:tab w:leader="none" w:pos="577"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Release shall continue in full force and effect without said provision or portion of provision.</w:t>
      </w:r>
    </w:p>
    <w:p>
      <w:pPr>
        <w:spacing w:after="0" w:line="74" w:lineRule="exact"/>
        <w:rPr>
          <w:rFonts w:ascii="Arial" w:cs="Arial" w:eastAsia="Arial" w:hAnsi="Arial"/>
          <w:sz w:val="17"/>
          <w:szCs w:val="17"/>
          <w:color w:val="auto"/>
        </w:rPr>
      </w:pPr>
    </w:p>
    <w:p>
      <w:pPr>
        <w:ind w:left="580" w:hanging="168"/>
        <w:spacing w:after="0"/>
        <w:tabs>
          <w:tab w:leader="none" w:pos="580"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Release may only be amended in a writing signed by Executive and a duly authorized officer of the Company.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240"/>
          </w:cols>
          <w:pgMar w:left="820" w:top="265" w:right="839" w:bottom="1440" w:gutter="0" w:footer="0" w:header="0"/>
        </w:sectPr>
      </w:pPr>
    </w:p>
    <w:bookmarkStart w:id="457" w:name="page458"/>
    <w:bookmarkEnd w:id="457"/>
    <w:p>
      <w:pPr>
        <w:ind w:right="640" w:firstLine="412"/>
        <w:spacing w:after="0" w:line="268" w:lineRule="auto"/>
        <w:tabs>
          <w:tab w:leader="none" w:pos="577"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Governing Law; Dispute Resolution</w:t>
      </w:r>
      <w:r>
        <w:rPr>
          <w:rFonts w:ascii="Arial" w:cs="Arial" w:eastAsia="Arial" w:hAnsi="Arial"/>
          <w:sz w:val="17"/>
          <w:szCs w:val="17"/>
          <w:color w:val="auto"/>
        </w:rPr>
        <w:t>. This Release shall be subject to the provisions of Sections 9(a), 9(c) and 9(h) of the Employment Agreement.</w:t>
      </w:r>
    </w:p>
    <w:p>
      <w:pPr>
        <w:spacing w:after="0" w:line="65" w:lineRule="exact"/>
        <w:rPr>
          <w:rFonts w:ascii="Arial" w:cs="Arial" w:eastAsia="Arial" w:hAnsi="Arial"/>
          <w:sz w:val="17"/>
          <w:szCs w:val="17"/>
          <w:color w:val="auto"/>
        </w:rPr>
      </w:pPr>
    </w:p>
    <w:p>
      <w:pPr>
        <w:ind w:firstLine="412"/>
        <w:spacing w:after="0" w:line="253" w:lineRule="auto"/>
        <w:tabs>
          <w:tab w:leader="none" w:pos="577"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Release shall become effective, irrevocable, and binding upon Executive on the day following the seventh (7th) business day from the date upon which Executive signs this Release, so long as Executive has not revoked it within the time period and in the manner specified in Section 3 above. Executive further understands that Executive will not be given any severance benefits under the Agreement unless this Release becomes effective pursuant to its terms.</w:t>
      </w:r>
    </w:p>
    <w:p>
      <w:pPr>
        <w:spacing w:after="0" w:line="79" w:lineRule="exact"/>
        <w:rPr>
          <w:rFonts w:ascii="Arial" w:cs="Arial" w:eastAsia="Arial" w:hAnsi="Arial"/>
          <w:sz w:val="17"/>
          <w:szCs w:val="17"/>
          <w:color w:val="auto"/>
        </w:rPr>
      </w:pPr>
    </w:p>
    <w:p>
      <w:pPr>
        <w:jc w:val="both"/>
        <w:ind w:right="60" w:firstLine="412"/>
        <w:spacing w:after="0" w:line="290" w:lineRule="auto"/>
        <w:tabs>
          <w:tab w:leader="none" w:pos="577" w:val="left"/>
        </w:tabs>
        <w:numPr>
          <w:ilvl w:val="0"/>
          <w:numId w:val="395"/>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Release voluntarily, without any duress or undue influence on the part or behalf of the Company or any third party, with the full intent of releasing all of Executive’s claims against the Company and any of the other Releasees. Executive acknowledges that: (a) Executive has read this Release; (b) Executive has not relied upon any representations or statements made by the Company that are not specifically set forth in this Release; (c) Executive has been represented in the preparation, negotiation and execution of this Release by legal counsel of Executive’s own choice or has elected not to retain legal counsel; (d) Executive understands the terms and consequences of this Release and of the releases it contains; and (e) Executive is fully aware of the legal and binding effect of this Release.</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WITNESS WHEREOF, the Parties have executed this Release on the respective dates set forth below.</w:t>
      </w:r>
    </w:p>
    <w:p>
      <w:pPr>
        <w:spacing w:after="0" w:line="23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EXECUTIVE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11430</wp:posOffset>
            </wp:positionV>
            <wp:extent cx="60420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3">
                      <a:extLst>
                        <a:ext uri="{28A0092B-C50C-407E-A947-70E740481C1C}"/>
                      </a:extLst>
                    </a:blip>
                    <a:srcRect/>
                    <a:stretch>
                      <a:fillRect/>
                    </a:stretch>
                  </pic:blipFill>
                  <pic:spPr bwMode="auto">
                    <a:xfrm>
                      <a:off x="0" y="0"/>
                      <a:ext cx="6042025" cy="8255"/>
                    </a:xfrm>
                    <a:prstGeom prst="rect">
                      <a:avLst/>
                    </a:prstGeom>
                    <a:noFill/>
                  </pic:spPr>
                </pic:pic>
              </a:graphicData>
            </a:graphic>
          </wp:anchor>
        </w:drawing>
      </w:r>
    </w:p>
    <w:p>
      <w:pPr>
        <w:spacing w:after="0" w:line="10"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Maria Palasis</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LYRA THERAPEUTICS, INC.</w:t>
      </w:r>
    </w:p>
    <w:p>
      <w:pPr>
        <w:spacing w:after="0" w:line="206" w:lineRule="exact"/>
        <w:rPr>
          <w:sz w:val="20"/>
          <w:szCs w:val="20"/>
          <w:color w:val="auto"/>
        </w:rPr>
      </w:pPr>
    </w:p>
    <w:p>
      <w:pPr>
        <w:spacing w:after="0"/>
        <w:tabs>
          <w:tab w:leader="none" w:pos="54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11430</wp:posOffset>
            </wp:positionV>
            <wp:extent cx="604202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4">
                      <a:extLst>
                        <a:ext uri="{28A0092B-C50C-407E-A947-70E740481C1C}"/>
                      </a:extLst>
                    </a:blip>
                    <a:srcRect/>
                    <a:stretch>
                      <a:fillRect/>
                    </a:stretch>
                  </pic:blipFill>
                  <pic:spPr bwMode="auto">
                    <a:xfrm>
                      <a:off x="0" y="0"/>
                      <a:ext cx="6042025" cy="8255"/>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0220"/>
          </w:cols>
          <w:pgMar w:left="820" w:top="265" w:right="859" w:bottom="1440" w:gutter="0" w:footer="0" w:header="0"/>
        </w:sectPr>
      </w:pPr>
    </w:p>
    <w:bookmarkStart w:id="458" w:name="page459"/>
    <w:bookmarkEnd w:id="458"/>
    <w:p>
      <w:pPr>
        <w:jc w:val="right"/>
        <w:spacing w:after="0"/>
        <w:rPr>
          <w:sz w:val="20"/>
          <w:szCs w:val="20"/>
          <w:color w:val="auto"/>
        </w:rPr>
      </w:pPr>
      <w:r>
        <w:rPr>
          <w:rFonts w:ascii="Arial" w:cs="Arial" w:eastAsia="Arial" w:hAnsi="Arial"/>
          <w:sz w:val="17"/>
          <w:szCs w:val="17"/>
          <w:b w:val="1"/>
          <w:bCs w:val="1"/>
          <w:color w:val="auto"/>
        </w:rPr>
        <w:t>Exhibit 10.9</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210" w:lineRule="exact"/>
        <w:rPr>
          <w:sz w:val="20"/>
          <w:szCs w:val="20"/>
          <w:color w:val="auto"/>
        </w:rPr>
      </w:pPr>
    </w:p>
    <w:p>
      <w:pPr>
        <w:ind w:right="440" w:firstLine="409"/>
        <w:spacing w:after="0" w:line="257"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April 27, 2020, is made by and between Lyra Therapeutics, Inc., a Delaware corporation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and Don Elsey (“</w:t>
      </w:r>
      <w:r>
        <w:rPr>
          <w:rFonts w:ascii="Arial" w:cs="Arial" w:eastAsia="Arial" w:hAnsi="Arial"/>
          <w:sz w:val="17"/>
          <w:szCs w:val="17"/>
          <w:u w:val="single" w:color="auto"/>
          <w:color w:val="auto"/>
        </w:rPr>
        <w:t>Executive</w:t>
      </w:r>
      <w:r>
        <w:rPr>
          <w:rFonts w:ascii="Arial" w:cs="Arial" w:eastAsia="Arial" w:hAnsi="Arial"/>
          <w:sz w:val="17"/>
          <w:szCs w:val="17"/>
          <w:color w:val="auto"/>
        </w:rPr>
        <w:t>”) (collectively referred to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 or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5" w:lineRule="exact"/>
        <w:rPr>
          <w:sz w:val="20"/>
          <w:szCs w:val="20"/>
          <w:color w:val="auto"/>
        </w:rPr>
      </w:pPr>
    </w:p>
    <w:p>
      <w:pPr>
        <w:ind w:left="400" w:hanging="397"/>
        <w:spacing w:after="0"/>
        <w:tabs>
          <w:tab w:leader="none" w:pos="40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It is the desire of the Company to assure itself of the services of Executive as of the Effective Date and thereafter by entering into this Agreement.</w:t>
      </w:r>
    </w:p>
    <w:p>
      <w:pPr>
        <w:spacing w:after="0" w:line="141" w:lineRule="exact"/>
        <w:rPr>
          <w:rFonts w:ascii="Arial" w:cs="Arial" w:eastAsia="Arial" w:hAnsi="Arial"/>
          <w:sz w:val="15"/>
          <w:szCs w:val="15"/>
          <w:color w:val="auto"/>
        </w:rPr>
      </w:pPr>
    </w:p>
    <w:p>
      <w:pPr>
        <w:ind w:left="400" w:hanging="397"/>
        <w:spacing w:after="0"/>
        <w:tabs>
          <w:tab w:leader="none" w:pos="40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Executive and the Company mutually desire that Executive provide services to the Company on the terms herein provided.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10" w:lineRule="exact"/>
        <w:rPr>
          <w:sz w:val="20"/>
          <w:szCs w:val="20"/>
          <w:color w:val="auto"/>
        </w:rPr>
      </w:pPr>
    </w:p>
    <w:p>
      <w:pPr>
        <w:ind w:right="20" w:firstLine="409"/>
        <w:spacing w:after="0" w:line="268" w:lineRule="auto"/>
        <w:rPr>
          <w:sz w:val="20"/>
          <w:szCs w:val="20"/>
          <w:color w:val="auto"/>
        </w:rPr>
      </w:pPr>
      <w:r>
        <w:rPr>
          <w:rFonts w:ascii="Arial" w:cs="Arial" w:eastAsia="Arial" w:hAnsi="Arial"/>
          <w:sz w:val="17"/>
          <w:szCs w:val="17"/>
          <w:color w:val="auto"/>
        </w:rPr>
        <w:t>NOW, THEREFORE, in consideration of the foregoing and of the respective covenants and agreements set forth below, the Parties hereto agree as follows:</w:t>
      </w:r>
    </w:p>
    <w:p>
      <w:pPr>
        <w:spacing w:after="0" w:line="262" w:lineRule="exact"/>
        <w:rPr>
          <w:sz w:val="20"/>
          <w:szCs w:val="20"/>
          <w:color w:val="auto"/>
        </w:rPr>
      </w:pPr>
    </w:p>
    <w:p>
      <w:pPr>
        <w:ind w:left="160" w:hanging="157"/>
        <w:spacing w:after="0"/>
        <w:tabs>
          <w:tab w:leader="none" w:pos="160"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Employment</w:t>
      </w:r>
      <w:r>
        <w:rPr>
          <w:rFonts w:ascii="Arial" w:cs="Arial" w:eastAsia="Arial" w:hAnsi="Arial"/>
          <w:sz w:val="17"/>
          <w:szCs w:val="17"/>
          <w:b w:val="1"/>
          <w:bCs w:val="1"/>
          <w:color w:val="auto"/>
        </w:rPr>
        <w:t>.</w:t>
      </w:r>
    </w:p>
    <w:p>
      <w:pPr>
        <w:spacing w:after="0" w:line="210" w:lineRule="exact"/>
        <w:rPr>
          <w:rFonts w:ascii="Arial" w:cs="Arial" w:eastAsia="Arial" w:hAnsi="Arial"/>
          <w:sz w:val="17"/>
          <w:szCs w:val="17"/>
          <w:b w:val="1"/>
          <w:bCs w:val="1"/>
          <w:color w:val="auto"/>
        </w:rPr>
      </w:pPr>
    </w:p>
    <w:p>
      <w:pPr>
        <w:ind w:right="160" w:firstLine="412"/>
        <w:spacing w:after="0" w:line="307" w:lineRule="auto"/>
        <w:tabs>
          <w:tab w:leader="none" w:pos="637" w:val="left"/>
        </w:tabs>
        <w:numPr>
          <w:ilvl w:val="1"/>
          <w:numId w:val="397"/>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consummation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be employed by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41" w:lineRule="exact"/>
        <w:rPr>
          <w:rFonts w:ascii="Arial" w:cs="Arial" w:eastAsia="Arial" w:hAnsi="Arial"/>
          <w:sz w:val="15"/>
          <w:szCs w:val="15"/>
          <w:color w:val="auto"/>
        </w:rPr>
      </w:pPr>
    </w:p>
    <w:p>
      <w:pPr>
        <w:ind w:right="20" w:firstLine="412"/>
        <w:spacing w:after="0" w:line="288" w:lineRule="auto"/>
        <w:tabs>
          <w:tab w:leader="none" w:pos="646" w:val="left"/>
        </w:tabs>
        <w:numPr>
          <w:ilvl w:val="1"/>
          <w:numId w:val="397"/>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57" w:lineRule="exact"/>
        <w:rPr>
          <w:rFonts w:ascii="Arial" w:cs="Arial" w:eastAsia="Arial" w:hAnsi="Arial"/>
          <w:sz w:val="15"/>
          <w:szCs w:val="15"/>
          <w:color w:val="auto"/>
        </w:rPr>
      </w:pPr>
    </w:p>
    <w:p>
      <w:pPr>
        <w:ind w:right="20" w:firstLine="412"/>
        <w:spacing w:after="0" w:line="250" w:lineRule="auto"/>
        <w:tabs>
          <w:tab w:leader="none" w:pos="637" w:val="left"/>
        </w:tabs>
        <w:numPr>
          <w:ilvl w:val="1"/>
          <w:numId w:val="397"/>
        </w:numPr>
        <w:rPr>
          <w:rFonts w:ascii="Arial" w:cs="Arial" w:eastAsia="Arial" w:hAnsi="Arial"/>
          <w:sz w:val="17"/>
          <w:szCs w:val="17"/>
          <w:color w:val="auto"/>
        </w:rPr>
      </w:pPr>
      <w:r>
        <w:rPr>
          <w:rFonts w:ascii="Arial" w:cs="Arial" w:eastAsia="Arial" w:hAnsi="Arial"/>
          <w:sz w:val="17"/>
          <w:szCs w:val="17"/>
          <w:u w:val="single" w:color="auto"/>
          <w:color w:val="auto"/>
        </w:rPr>
        <w:t>Positions and Duties</w:t>
      </w:r>
      <w:r>
        <w:rPr>
          <w:rFonts w:ascii="Arial" w:cs="Arial" w:eastAsia="Arial" w:hAnsi="Arial"/>
          <w:sz w:val="17"/>
          <w:szCs w:val="17"/>
          <w:color w:val="auto"/>
        </w:rPr>
        <w:t>. During the Term, Executive shall serve as Chief Financial Officer of the Company, with such responsibilities, duties and authority normally associated with such position and as may from time to time be assigned to Executive by the Chief Executive Officer of the Company.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of Directors of the Company or an authorized committee of the thereof (in either case, the “</w:t>
      </w:r>
      <w:r>
        <w:rPr>
          <w:rFonts w:ascii="Arial" w:cs="Arial" w:eastAsia="Arial" w:hAnsi="Arial"/>
          <w:sz w:val="17"/>
          <w:szCs w:val="17"/>
          <w:u w:val="single" w:color="auto"/>
          <w:color w:val="auto"/>
        </w:rPr>
        <w:t>Board</w:t>
      </w:r>
      <w:r>
        <w:rPr>
          <w:rFonts w:ascii="Arial" w:cs="Arial" w:eastAsia="Arial" w:hAnsi="Arial"/>
          <w:sz w:val="17"/>
          <w:szCs w:val="17"/>
          <w:color w:val="auto"/>
        </w:rPr>
        <w:t>”), provided that Executive shall be permitted to (i) manage Executive’s personal, financial and legal affairs, (ii) participate in trade associations, and (iii) serve on the board of directors of not-for-profit or tax-</w:t>
      </w:r>
    </w:p>
    <w:p>
      <w:pPr>
        <w:sectPr>
          <w:pgSz w:w="11900" w:h="16838" w:orient="portrait"/>
          <w:cols w:equalWidth="0" w:num="1">
            <w:col w:w="10240"/>
          </w:cols>
          <w:pgMar w:left="820" w:top="123" w:right="839" w:bottom="1440" w:gutter="0" w:footer="0" w:header="0"/>
        </w:sectPr>
      </w:pPr>
    </w:p>
    <w:bookmarkStart w:id="459" w:name="page460"/>
    <w:bookmarkEnd w:id="459"/>
    <w:p>
      <w:pPr>
        <w:ind w:right="16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(collectively, the “</w:t>
      </w:r>
      <w:r>
        <w:rPr>
          <w:rFonts w:ascii="Arial" w:cs="Arial" w:eastAsia="Arial" w:hAnsi="Arial"/>
          <w:sz w:val="17"/>
          <w:szCs w:val="17"/>
          <w:u w:val="single" w:color="auto"/>
          <w:color w:val="auto"/>
        </w:rPr>
        <w:t>Policies</w:t>
      </w:r>
      <w:r>
        <w:rPr>
          <w:rFonts w:ascii="Arial" w:cs="Arial" w:eastAsia="Arial" w:hAnsi="Arial"/>
          <w:sz w:val="17"/>
          <w:szCs w:val="17"/>
          <w:color w:val="auto"/>
        </w:rPr>
        <w:t>” and, each, a “</w:t>
      </w:r>
      <w:r>
        <w:rPr>
          <w:rFonts w:ascii="Arial" w:cs="Arial" w:eastAsia="Arial" w:hAnsi="Arial"/>
          <w:sz w:val="17"/>
          <w:szCs w:val="17"/>
          <w:u w:val="single" w:color="auto"/>
          <w:color w:val="auto"/>
        </w:rPr>
        <w:t>Policy</w:t>
      </w:r>
      <w:r>
        <w:rPr>
          <w:rFonts w:ascii="Arial" w:cs="Arial" w:eastAsia="Arial" w:hAnsi="Arial"/>
          <w:sz w:val="17"/>
          <w:szCs w:val="17"/>
          <w:color w:val="auto"/>
        </w:rPr>
        <w:t>”).</w:t>
      </w:r>
    </w:p>
    <w:p>
      <w:pPr>
        <w:spacing w:after="0" w:line="276" w:lineRule="exact"/>
        <w:rPr>
          <w:sz w:val="20"/>
          <w:szCs w:val="20"/>
          <w:color w:val="auto"/>
        </w:rPr>
      </w:pPr>
    </w:p>
    <w:p>
      <w:pPr>
        <w:ind w:left="160" w:hanging="157"/>
        <w:spacing w:after="0"/>
        <w:tabs>
          <w:tab w:leader="none" w:pos="160" w:val="left"/>
        </w:tabs>
        <w:numPr>
          <w:ilvl w:val="0"/>
          <w:numId w:val="3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and Related Matters</w:t>
      </w:r>
      <w:r>
        <w:rPr>
          <w:rFonts w:ascii="Arial" w:cs="Arial" w:eastAsia="Arial" w:hAnsi="Arial"/>
          <w:sz w:val="17"/>
          <w:szCs w:val="17"/>
          <w:b w:val="1"/>
          <w:bCs w:val="1"/>
          <w:color w:val="auto"/>
        </w:rPr>
        <w:t>.</w:t>
      </w:r>
    </w:p>
    <w:p>
      <w:pPr>
        <w:spacing w:after="0" w:line="210" w:lineRule="exact"/>
        <w:rPr>
          <w:rFonts w:ascii="Arial" w:cs="Arial" w:eastAsia="Arial" w:hAnsi="Arial"/>
          <w:sz w:val="17"/>
          <w:szCs w:val="17"/>
          <w:b w:val="1"/>
          <w:bCs w:val="1"/>
          <w:color w:val="auto"/>
        </w:rPr>
      </w:pPr>
    </w:p>
    <w:p>
      <w:pPr>
        <w:ind w:right="20" w:firstLine="412"/>
        <w:spacing w:after="0" w:line="307" w:lineRule="auto"/>
        <w:tabs>
          <w:tab w:leader="none" w:pos="637" w:val="left"/>
        </w:tabs>
        <w:numPr>
          <w:ilvl w:val="1"/>
          <w:numId w:val="398"/>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$375,000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Arial" w:cs="Arial" w:eastAsia="Arial" w:hAnsi="Arial"/>
          <w:sz w:val="15"/>
          <w:szCs w:val="15"/>
          <w:u w:val="single" w:color="auto"/>
          <w:color w:val="auto"/>
        </w:rPr>
        <w:t>Annual Base Salary</w:t>
      </w:r>
      <w:r>
        <w:rPr>
          <w:rFonts w:ascii="Arial" w:cs="Arial" w:eastAsia="Arial" w:hAnsi="Arial"/>
          <w:sz w:val="15"/>
          <w:szCs w:val="15"/>
          <w:color w:val="auto"/>
        </w:rPr>
        <w:t>”).</w:t>
      </w:r>
    </w:p>
    <w:p>
      <w:pPr>
        <w:spacing w:after="0" w:line="41" w:lineRule="exact"/>
        <w:rPr>
          <w:rFonts w:ascii="Arial" w:cs="Arial" w:eastAsia="Arial" w:hAnsi="Arial"/>
          <w:sz w:val="15"/>
          <w:szCs w:val="15"/>
          <w:color w:val="auto"/>
        </w:rPr>
      </w:pPr>
    </w:p>
    <w:p>
      <w:pPr>
        <w:ind w:right="100" w:firstLine="412"/>
        <w:spacing w:after="0" w:line="250" w:lineRule="auto"/>
        <w:tabs>
          <w:tab w:leader="none" w:pos="646"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Annual Cash Bonus Opportunity</w:t>
      </w:r>
      <w:r>
        <w:rPr>
          <w:rFonts w:ascii="Arial" w:cs="Arial" w:eastAsia="Arial" w:hAnsi="Arial"/>
          <w:sz w:val="17"/>
          <w:szCs w:val="17"/>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7"/>
          <w:szCs w:val="17"/>
          <w:u w:val="single" w:color="auto"/>
          <w:color w:val="auto"/>
        </w:rPr>
        <w:t>Annual Bonus</w:t>
      </w:r>
      <w:r>
        <w:rPr>
          <w:rFonts w:ascii="Arial" w:cs="Arial" w:eastAsia="Arial" w:hAnsi="Arial"/>
          <w:sz w:val="17"/>
          <w:szCs w:val="17"/>
          <w:color w:val="auto"/>
        </w:rPr>
        <w:t>”) shall be targeted at 40% of Executive’s Annual Base Salary (such target, as may be increased by the Board from time to time, the “</w:t>
      </w:r>
      <w:r>
        <w:rPr>
          <w:rFonts w:ascii="Arial" w:cs="Arial" w:eastAsia="Arial" w:hAnsi="Arial"/>
          <w:sz w:val="17"/>
          <w:szCs w:val="17"/>
          <w:u w:val="single" w:color="auto"/>
          <w:color w:val="auto"/>
        </w:rPr>
        <w:t>Target Annual Bonus</w:t>
      </w:r>
      <w:r>
        <w:rPr>
          <w:rFonts w:ascii="Arial" w:cs="Arial" w:eastAsia="Arial" w:hAnsi="Arial"/>
          <w:sz w:val="17"/>
          <w:szCs w:val="17"/>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Arial" w:cs="Arial" w:eastAsia="Arial" w:hAnsi="Arial"/>
          <w:sz w:val="17"/>
          <w:szCs w:val="17"/>
          <w:u w:val="single" w:color="auto"/>
          <w:color w:val="auto"/>
        </w:rPr>
        <w:t>Section 4(b)</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firstLine="412"/>
        <w:spacing w:after="0" w:line="253" w:lineRule="auto"/>
        <w:tabs>
          <w:tab w:leader="none" w:pos="637"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xml:space="preserve">. During the Term, Executive shall be eligible to participate in employee benefit plans, programs and arrangements of the Company (including medical, dental and 401(k) plans), subject to the terms and eligibility requirements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w:t>
      </w:r>
    </w:p>
    <w:p>
      <w:pPr>
        <w:spacing w:after="0" w:line="79" w:lineRule="exact"/>
        <w:rPr>
          <w:rFonts w:ascii="Arial" w:cs="Arial" w:eastAsia="Arial" w:hAnsi="Arial"/>
          <w:sz w:val="17"/>
          <w:szCs w:val="17"/>
          <w:color w:val="auto"/>
        </w:rPr>
      </w:pPr>
    </w:p>
    <w:p>
      <w:pPr>
        <w:ind w:right="180" w:firstLine="412"/>
        <w:spacing w:after="0" w:line="268" w:lineRule="auto"/>
        <w:tabs>
          <w:tab w:leader="none" w:pos="646"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Term, Executive shall be entitled to paid personal leave in accordance with the Company’s Policies. Any vacation shall be taken at the reasonable and mutual convenience of the Company and Executive.</w:t>
      </w:r>
    </w:p>
    <w:p>
      <w:pPr>
        <w:spacing w:after="0" w:line="65" w:lineRule="exact"/>
        <w:rPr>
          <w:rFonts w:ascii="Arial" w:cs="Arial" w:eastAsia="Arial" w:hAnsi="Arial"/>
          <w:sz w:val="17"/>
          <w:szCs w:val="17"/>
          <w:color w:val="auto"/>
        </w:rPr>
      </w:pPr>
    </w:p>
    <w:p>
      <w:pPr>
        <w:ind w:firstLine="412"/>
        <w:spacing w:after="0" w:line="284" w:lineRule="auto"/>
        <w:tabs>
          <w:tab w:leader="none" w:pos="637" w:val="left"/>
        </w:tabs>
        <w:numPr>
          <w:ilvl w:val="1"/>
          <w:numId w:val="398"/>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 Notwithstanding the foregoing, during the period beginning on the Effective Date and ending on December 31, 2020, and thereafter subject to renewal at the Board’s sole discretion, the Company shall (i) reimburse Executive for Executive’s reasonable travel expenses from Executive’s home in Maryland to the Company’s offices in Massachusetts, (ii) provide Executive with the use of a corporate apartment while working in Massachusetts that is reasonably close in proximity to the Company’s Massachusetts offices and (iii) reimburse Executive for all income and employment taxes incurred by Executive as a result of payments and benefits provided to Executive under this sentence, including under this clause (iii); provided that the sum of the amount of any such reimbursements and the cost to the Company of providing such corporate apartment shall not exceed $75,000. Executive will submit requests for reimbursement and reasonably requested supporting documentation to the Company promptly following the date Executive incurs the related expense. All reimbursements payable to Executive under this Section shall be paid promptly following receipt of such requests and supporting documentation and no later than December 31 of the year following the year in which the expense was incurred. For the avoidance of doubt, travel expenses shall not include meals, ground transportation between the corporate apartment and the Company’s office or other incidental expenses.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5" w:right="839" w:bottom="1440" w:gutter="0" w:footer="0" w:header="0"/>
        </w:sectPr>
      </w:pPr>
    </w:p>
    <w:bookmarkStart w:id="460" w:name="page461"/>
    <w:bookmarkEnd w:id="460"/>
    <w:p>
      <w:pPr>
        <w:ind w:firstLine="412"/>
        <w:spacing w:after="0" w:line="290" w:lineRule="auto"/>
        <w:tabs>
          <w:tab w:leader="none" w:pos="618" w:val="left"/>
        </w:tabs>
        <w:numPr>
          <w:ilvl w:val="1"/>
          <w:numId w:val="39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Key Person Insurance</w:t>
      </w:r>
      <w:r>
        <w:rPr>
          <w:rFonts w:ascii="Arial" w:cs="Arial" w:eastAsia="Arial" w:hAnsi="Arial"/>
          <w:sz w:val="15"/>
          <w:szCs w:val="15"/>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251" w:lineRule="exact"/>
        <w:rPr>
          <w:rFonts w:ascii="Arial" w:cs="Arial" w:eastAsia="Arial" w:hAnsi="Arial"/>
          <w:sz w:val="15"/>
          <w:szCs w:val="15"/>
          <w:color w:val="auto"/>
        </w:rPr>
      </w:pPr>
    </w:p>
    <w:p>
      <w:pPr>
        <w:ind w:left="160" w:hanging="157"/>
        <w:spacing w:after="0"/>
        <w:tabs>
          <w:tab w:leader="none" w:pos="160" w:val="left"/>
        </w:tabs>
        <w:numPr>
          <w:ilvl w:val="0"/>
          <w:numId w:val="4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Both Executive’s employment hereunder and the Term may be terminated by the Company or Executive, as applicable, without any breach of this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Agreement under the following circumstances:</w:t>
      </w:r>
    </w:p>
    <w:p>
      <w:pPr>
        <w:spacing w:after="0" w:line="94" w:lineRule="exact"/>
        <w:rPr>
          <w:sz w:val="20"/>
          <w:szCs w:val="20"/>
          <w:color w:val="auto"/>
        </w:rPr>
      </w:pPr>
    </w:p>
    <w:p>
      <w:pPr>
        <w:ind w:left="640" w:hanging="228"/>
        <w:spacing w:after="0"/>
        <w:tabs>
          <w:tab w:leader="none" w:pos="640"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Circumstances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1000" w:hanging="195"/>
        <w:spacing w:after="0"/>
        <w:tabs>
          <w:tab w:leader="none" w:pos="1000" w:val="left"/>
        </w:tabs>
        <w:numPr>
          <w:ilvl w:val="1"/>
          <w:numId w:val="401"/>
        </w:numPr>
        <w:rPr>
          <w:rFonts w:ascii="Arial" w:cs="Arial" w:eastAsia="Arial" w:hAnsi="Arial"/>
          <w:sz w:val="17"/>
          <w:szCs w:val="17"/>
          <w:color w:val="auto"/>
        </w:rPr>
      </w:pPr>
      <w:r>
        <w:rPr>
          <w:rFonts w:ascii="Arial" w:cs="Arial" w:eastAsia="Arial" w:hAnsi="Arial"/>
          <w:sz w:val="17"/>
          <w:szCs w:val="17"/>
          <w:i w:val="1"/>
          <w:iCs w:val="1"/>
          <w:color w:val="auto"/>
        </w:rPr>
        <w:t>Death</w:t>
      </w:r>
      <w:r>
        <w:rPr>
          <w:rFonts w:ascii="Arial" w:cs="Arial" w:eastAsia="Arial" w:hAnsi="Arial"/>
          <w:sz w:val="17"/>
          <w:szCs w:val="17"/>
          <w:color w:val="auto"/>
        </w:rPr>
        <w:t>. Executive’s employment hereunder shall terminate upon Executive’s death.</w:t>
      </w:r>
    </w:p>
    <w:p>
      <w:pPr>
        <w:spacing w:after="0" w:line="105" w:lineRule="exact"/>
        <w:rPr>
          <w:rFonts w:ascii="Arial" w:cs="Arial" w:eastAsia="Arial" w:hAnsi="Arial"/>
          <w:sz w:val="17"/>
          <w:szCs w:val="17"/>
          <w:color w:val="auto"/>
        </w:rPr>
      </w:pPr>
    </w:p>
    <w:p>
      <w:pPr>
        <w:ind w:left="1060" w:hanging="255"/>
        <w:spacing w:after="0"/>
        <w:tabs>
          <w:tab w:leader="none" w:pos="1060" w:val="left"/>
        </w:tabs>
        <w:numPr>
          <w:ilvl w:val="1"/>
          <w:numId w:val="401"/>
        </w:numPr>
        <w:rPr>
          <w:rFonts w:ascii="Arial" w:cs="Arial" w:eastAsia="Arial" w:hAnsi="Arial"/>
          <w:sz w:val="17"/>
          <w:szCs w:val="17"/>
          <w:color w:val="auto"/>
        </w:rPr>
      </w:pPr>
      <w:r>
        <w:rPr>
          <w:rFonts w:ascii="Arial" w:cs="Arial" w:eastAsia="Arial" w:hAnsi="Arial"/>
          <w:sz w:val="17"/>
          <w:szCs w:val="17"/>
          <w:i w:val="1"/>
          <w:iCs w:val="1"/>
          <w:color w:val="auto"/>
        </w:rPr>
        <w:t>Disability</w:t>
      </w:r>
      <w:r>
        <w:rPr>
          <w:rFonts w:ascii="Arial" w:cs="Arial" w:eastAsia="Arial" w:hAnsi="Arial"/>
          <w:sz w:val="17"/>
          <w:szCs w:val="17"/>
          <w:color w:val="auto"/>
        </w:rPr>
        <w:t>. If Executive has incurred a Disability, as defined below, the Company may terminate Executive’s employment.</w:t>
      </w:r>
    </w:p>
    <w:p>
      <w:pPr>
        <w:spacing w:after="0" w:line="105" w:lineRule="exact"/>
        <w:rPr>
          <w:rFonts w:ascii="Arial" w:cs="Arial" w:eastAsia="Arial" w:hAnsi="Arial"/>
          <w:sz w:val="17"/>
          <w:szCs w:val="17"/>
          <w:color w:val="auto"/>
        </w:rPr>
      </w:pPr>
    </w:p>
    <w:p>
      <w:pPr>
        <w:ind w:left="1100" w:hanging="295"/>
        <w:spacing w:after="0"/>
        <w:tabs>
          <w:tab w:leader="none" w:pos="1100" w:val="left"/>
        </w:tabs>
        <w:numPr>
          <w:ilvl w:val="1"/>
          <w:numId w:val="401"/>
        </w:numPr>
        <w:rPr>
          <w:rFonts w:ascii="Arial" w:cs="Arial" w:eastAsia="Arial" w:hAnsi="Arial"/>
          <w:sz w:val="17"/>
          <w:szCs w:val="17"/>
          <w:color w:val="auto"/>
        </w:rPr>
      </w:pPr>
      <w:r>
        <w:rPr>
          <w:rFonts w:ascii="Arial" w:cs="Arial" w:eastAsia="Arial" w:hAnsi="Arial"/>
          <w:sz w:val="17"/>
          <w:szCs w:val="17"/>
          <w:i w:val="1"/>
          <w:iCs w:val="1"/>
          <w:color w:val="auto"/>
        </w:rPr>
        <w:t>Termination for Cause</w:t>
      </w:r>
      <w:r>
        <w:rPr>
          <w:rFonts w:ascii="Arial" w:cs="Arial" w:eastAsia="Arial" w:hAnsi="Arial"/>
          <w:sz w:val="17"/>
          <w:szCs w:val="17"/>
          <w:color w:val="auto"/>
        </w:rPr>
        <w:t>. The Company may terminate Executive’s employment for Cause, as defined below.</w:t>
      </w:r>
    </w:p>
    <w:p>
      <w:pPr>
        <w:spacing w:after="0" w:line="105" w:lineRule="exact"/>
        <w:rPr>
          <w:rFonts w:ascii="Arial" w:cs="Arial" w:eastAsia="Arial" w:hAnsi="Arial"/>
          <w:sz w:val="17"/>
          <w:szCs w:val="17"/>
          <w:color w:val="auto"/>
        </w:rPr>
      </w:pPr>
    </w:p>
    <w:p>
      <w:pPr>
        <w:ind w:left="1080" w:hanging="275"/>
        <w:spacing w:after="0"/>
        <w:tabs>
          <w:tab w:leader="none" w:pos="1080" w:val="left"/>
        </w:tabs>
        <w:numPr>
          <w:ilvl w:val="1"/>
          <w:numId w:val="401"/>
        </w:numPr>
        <w:rPr>
          <w:rFonts w:ascii="Arial" w:cs="Arial" w:eastAsia="Arial" w:hAnsi="Arial"/>
          <w:sz w:val="17"/>
          <w:szCs w:val="17"/>
          <w:color w:val="auto"/>
        </w:rPr>
      </w:pPr>
      <w:r>
        <w:rPr>
          <w:rFonts w:ascii="Arial" w:cs="Arial" w:eastAsia="Arial" w:hAnsi="Arial"/>
          <w:sz w:val="17"/>
          <w:szCs w:val="17"/>
          <w:i w:val="1"/>
          <w:iCs w:val="1"/>
          <w:color w:val="auto"/>
        </w:rPr>
        <w:t>Termination without Cause</w:t>
      </w:r>
      <w:r>
        <w:rPr>
          <w:rFonts w:ascii="Arial" w:cs="Arial" w:eastAsia="Arial" w:hAnsi="Arial"/>
          <w:sz w:val="17"/>
          <w:szCs w:val="17"/>
          <w:color w:val="auto"/>
        </w:rPr>
        <w:t>. The Company may terminate Executive’s employment without Cause.</w:t>
      </w:r>
    </w:p>
    <w:p>
      <w:pPr>
        <w:spacing w:after="0" w:line="105" w:lineRule="exact"/>
        <w:rPr>
          <w:rFonts w:ascii="Arial" w:cs="Arial" w:eastAsia="Arial" w:hAnsi="Arial"/>
          <w:sz w:val="17"/>
          <w:szCs w:val="17"/>
          <w:color w:val="auto"/>
        </w:rPr>
      </w:pPr>
    </w:p>
    <w:p>
      <w:pPr>
        <w:ind w:left="420" w:firstLine="385"/>
        <w:spacing w:after="0" w:line="268" w:lineRule="auto"/>
        <w:tabs>
          <w:tab w:leader="none" w:pos="1050" w:val="left"/>
        </w:tabs>
        <w:numPr>
          <w:ilvl w:val="1"/>
          <w:numId w:val="401"/>
        </w:numPr>
        <w:rPr>
          <w:rFonts w:ascii="Arial" w:cs="Arial" w:eastAsia="Arial" w:hAnsi="Arial"/>
          <w:sz w:val="17"/>
          <w:szCs w:val="17"/>
          <w:color w:val="auto"/>
        </w:rPr>
      </w:pPr>
      <w:r>
        <w:rPr>
          <w:rFonts w:ascii="Arial" w:cs="Arial" w:eastAsia="Arial" w:hAnsi="Arial"/>
          <w:sz w:val="17"/>
          <w:szCs w:val="17"/>
          <w:i w:val="1"/>
          <w:iCs w:val="1"/>
          <w:color w:val="auto"/>
        </w:rPr>
        <w:t xml:space="preserve">Resignation from the Company with Good Reason. </w:t>
      </w:r>
      <w:r>
        <w:rPr>
          <w:rFonts w:ascii="Arial" w:cs="Arial" w:eastAsia="Arial" w:hAnsi="Arial"/>
          <w:sz w:val="17"/>
          <w:szCs w:val="17"/>
          <w:color w:val="auto"/>
        </w:rPr>
        <w:t>Executive may resign Executive’s employment with the Company with 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below.</w:t>
      </w:r>
    </w:p>
    <w:p>
      <w:pPr>
        <w:spacing w:after="0" w:line="65" w:lineRule="exact"/>
        <w:rPr>
          <w:rFonts w:ascii="Arial" w:cs="Arial" w:eastAsia="Arial" w:hAnsi="Arial"/>
          <w:sz w:val="17"/>
          <w:szCs w:val="17"/>
          <w:color w:val="auto"/>
        </w:rPr>
      </w:pPr>
    </w:p>
    <w:p>
      <w:pPr>
        <w:ind w:left="420" w:right="60" w:firstLine="385"/>
        <w:spacing w:after="0" w:line="268" w:lineRule="auto"/>
        <w:tabs>
          <w:tab w:leader="none" w:pos="1097" w:val="left"/>
        </w:tabs>
        <w:numPr>
          <w:ilvl w:val="1"/>
          <w:numId w:val="401"/>
        </w:numPr>
        <w:rPr>
          <w:rFonts w:ascii="Arial" w:cs="Arial" w:eastAsia="Arial" w:hAnsi="Arial"/>
          <w:sz w:val="17"/>
          <w:szCs w:val="17"/>
          <w:color w:val="auto"/>
        </w:rPr>
      </w:pPr>
      <w:r>
        <w:rPr>
          <w:rFonts w:ascii="Arial" w:cs="Arial" w:eastAsia="Arial" w:hAnsi="Arial"/>
          <w:sz w:val="17"/>
          <w:szCs w:val="17"/>
          <w:i w:val="1"/>
          <w:iCs w:val="1"/>
          <w:color w:val="auto"/>
        </w:rPr>
        <w:t>Resignation from the Company without Good Reason</w:t>
      </w:r>
      <w:r>
        <w:rPr>
          <w:rFonts w:ascii="Arial" w:cs="Arial" w:eastAsia="Arial" w:hAnsi="Arial"/>
          <w:sz w:val="17"/>
          <w:szCs w:val="17"/>
          <w:color w:val="auto"/>
        </w:rPr>
        <w:t>. Executive may resign Executive’s employment with the Company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Good Reason or for no reason.</w:t>
      </w:r>
    </w:p>
    <w:p>
      <w:pPr>
        <w:spacing w:after="0" w:line="65" w:lineRule="exact"/>
        <w:rPr>
          <w:rFonts w:ascii="Arial" w:cs="Arial" w:eastAsia="Arial" w:hAnsi="Arial"/>
          <w:sz w:val="17"/>
          <w:szCs w:val="17"/>
          <w:color w:val="auto"/>
        </w:rPr>
      </w:pPr>
    </w:p>
    <w:p>
      <w:pPr>
        <w:ind w:right="60" w:firstLine="412"/>
        <w:spacing w:after="0" w:line="285" w:lineRule="auto"/>
        <w:tabs>
          <w:tab w:leader="none" w:pos="646" w:val="left"/>
        </w:tabs>
        <w:numPr>
          <w:ilvl w:val="0"/>
          <w:numId w:val="401"/>
        </w:numPr>
        <w:rPr>
          <w:rFonts w:ascii="Arial" w:cs="Arial" w:eastAsia="Arial" w:hAnsi="Arial"/>
          <w:sz w:val="15"/>
          <w:szCs w:val="15"/>
          <w:color w:val="auto"/>
        </w:rPr>
      </w:pP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Any termination of Executive’s employment by the Company or by Executive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(other than termination pursuant to </w:t>
      </w:r>
      <w:r>
        <w:rPr>
          <w:rFonts w:ascii="Arial" w:cs="Arial" w:eastAsia="Arial" w:hAnsi="Arial"/>
          <w:sz w:val="15"/>
          <w:szCs w:val="15"/>
          <w:u w:val="single" w:color="auto"/>
          <w:color w:val="auto"/>
        </w:rPr>
        <w:t>Section 3(a)(i))</w:t>
      </w:r>
      <w:r>
        <w:rPr>
          <w:rFonts w:ascii="Arial" w:cs="Arial" w:eastAsia="Arial" w:hAnsi="Arial"/>
          <w:sz w:val="15"/>
          <w:szCs w:val="15"/>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(as defined below) which, if submitted by Executive, shall be at least thirty (30) days following the date of such notice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0"/>
          </w:cols>
          <w:pgMar w:left="820" w:top="264" w:right="839" w:bottom="1440" w:gutter="0" w:footer="0" w:header="0"/>
        </w:sectPr>
      </w:pPr>
    </w:p>
    <w:bookmarkStart w:id="461" w:name="page462"/>
    <w:bookmarkEnd w:id="461"/>
    <w:p>
      <w:pPr>
        <w:ind w:right="20" w:firstLine="412"/>
        <w:spacing w:after="0" w:line="266" w:lineRule="auto"/>
        <w:tabs>
          <w:tab w:leader="none" w:pos="637" w:val="left"/>
        </w:tabs>
        <w:numPr>
          <w:ilvl w:val="1"/>
          <w:numId w:val="40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Company Obligations upon Termination</w:t>
      </w:r>
      <w:r>
        <w:rPr>
          <w:rFonts w:ascii="Arial" w:cs="Arial" w:eastAsia="Arial" w:hAnsi="Arial"/>
          <w:sz w:val="16"/>
          <w:szCs w:val="16"/>
          <w:color w:val="auto"/>
        </w:rPr>
        <w:t xml:space="preserve">. Upon termination of Executive’s employment pursuant to any of the circumstances listed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Arrangements</w:t>
      </w:r>
      <w:r>
        <w:rPr>
          <w:rFonts w:ascii="Arial" w:cs="Arial" w:eastAsia="Arial" w:hAnsi="Arial"/>
          <w:sz w:val="16"/>
          <w:szCs w:val="16"/>
          <w:color w:val="auto"/>
        </w:rPr>
        <w:t>”). Except as otherwise expressly required by law (e.g.,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as applicable.</w:t>
      </w:r>
    </w:p>
    <w:p>
      <w:pPr>
        <w:spacing w:after="0" w:line="69" w:lineRule="exact"/>
        <w:rPr>
          <w:rFonts w:ascii="Arial" w:cs="Arial" w:eastAsia="Arial" w:hAnsi="Arial"/>
          <w:sz w:val="16"/>
          <w:szCs w:val="16"/>
          <w:color w:val="auto"/>
        </w:rPr>
      </w:pPr>
    </w:p>
    <w:p>
      <w:pPr>
        <w:ind w:right="460" w:firstLine="412"/>
        <w:spacing w:after="0" w:line="268" w:lineRule="auto"/>
        <w:tabs>
          <w:tab w:leader="none" w:pos="646"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Deemed Resignation</w:t>
      </w:r>
      <w:r>
        <w:rPr>
          <w:rFonts w:ascii="Arial" w:cs="Arial" w:eastAsia="Arial" w:hAnsi="Arial"/>
          <w:sz w:val="17"/>
          <w:szCs w:val="17"/>
          <w:color w:val="auto"/>
        </w:rPr>
        <w:t>. Upon termination of Executive’s employment for any reason, Executive shall be deemed to have resigned from all offices and directorships, if any, then held with the Company or any of its subsidiaries.</w:t>
      </w:r>
    </w:p>
    <w:p>
      <w:pPr>
        <w:spacing w:after="0" w:line="262" w:lineRule="exact"/>
        <w:rPr>
          <w:rFonts w:ascii="Arial" w:cs="Arial" w:eastAsia="Arial" w:hAnsi="Arial"/>
          <w:sz w:val="17"/>
          <w:szCs w:val="17"/>
          <w:color w:val="auto"/>
        </w:rPr>
      </w:pPr>
    </w:p>
    <w:p>
      <w:pPr>
        <w:ind w:left="160" w:hanging="157"/>
        <w:spacing w:after="0"/>
        <w:tabs>
          <w:tab w:leader="none" w:pos="160" w:val="left"/>
        </w:tabs>
        <w:numPr>
          <w:ilvl w:val="0"/>
          <w:numId w:val="4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Severance Payments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right="220" w:firstLine="412"/>
        <w:spacing w:after="0" w:line="274" w:lineRule="auto"/>
        <w:tabs>
          <w:tab w:leader="none" w:pos="637" w:val="left"/>
        </w:tabs>
        <w:numPr>
          <w:ilvl w:val="1"/>
          <w:numId w:val="403"/>
        </w:numPr>
        <w:rPr>
          <w:rFonts w:ascii="Arial" w:cs="Arial" w:eastAsia="Arial" w:hAnsi="Arial"/>
          <w:sz w:val="16"/>
          <w:szCs w:val="16"/>
          <w:color w:val="auto"/>
        </w:rPr>
      </w:pPr>
      <w:r>
        <w:rPr>
          <w:rFonts w:ascii="Arial" w:cs="Arial" w:eastAsia="Arial" w:hAnsi="Arial"/>
          <w:sz w:val="16"/>
          <w:szCs w:val="16"/>
          <w:u w:val="single" w:color="auto"/>
          <w:color w:val="auto"/>
        </w:rPr>
        <w:t>Termination for Cause, or Termination Upon Death, Disability or Resignation from the Company Without Good Reason</w:t>
      </w:r>
      <w:r>
        <w:rPr>
          <w:rFonts w:ascii="Arial" w:cs="Arial" w:eastAsia="Arial" w:hAnsi="Arial"/>
          <w:sz w:val="16"/>
          <w:szCs w:val="16"/>
          <w:color w:val="auto"/>
        </w:rPr>
        <w:t xml:space="preserve">. If Executive’s employment shall terminate as a result of Executive’s death pursuant to </w:t>
      </w:r>
      <w:r>
        <w:rPr>
          <w:rFonts w:ascii="Arial" w:cs="Arial" w:eastAsia="Arial" w:hAnsi="Arial"/>
          <w:sz w:val="16"/>
          <w:szCs w:val="16"/>
          <w:u w:val="single" w:color="auto"/>
          <w:color w:val="auto"/>
        </w:rPr>
        <w:t>Section 3(a)(i), as a result of</w:t>
      </w:r>
      <w:r>
        <w:rPr>
          <w:rFonts w:ascii="Arial" w:cs="Arial" w:eastAsia="Arial" w:hAnsi="Arial"/>
          <w:sz w:val="16"/>
          <w:szCs w:val="16"/>
          <w:color w:val="auto"/>
        </w:rPr>
        <w:t xml:space="preserve"> Disability pursuant to </w:t>
      </w:r>
      <w:r>
        <w:rPr>
          <w:rFonts w:ascii="Arial" w:cs="Arial" w:eastAsia="Arial" w:hAnsi="Arial"/>
          <w:sz w:val="16"/>
          <w:szCs w:val="16"/>
          <w:u w:val="single" w:color="auto"/>
          <w:color w:val="auto"/>
        </w:rPr>
        <w:t>Section 3(a)(ii)</w:t>
      </w:r>
      <w:r>
        <w:rPr>
          <w:rFonts w:ascii="Arial" w:cs="Arial" w:eastAsia="Arial" w:hAnsi="Arial"/>
          <w:sz w:val="16"/>
          <w:szCs w:val="16"/>
          <w:color w:val="auto"/>
        </w:rPr>
        <w:t xml:space="preserve">, for Cause pursuant to </w:t>
      </w:r>
      <w:r>
        <w:rPr>
          <w:rFonts w:ascii="Arial" w:cs="Arial" w:eastAsia="Arial" w:hAnsi="Arial"/>
          <w:sz w:val="16"/>
          <w:szCs w:val="16"/>
          <w:u w:val="single" w:color="auto"/>
          <w:color w:val="auto"/>
        </w:rPr>
        <w:t>Section 3(a)(iii)</w:t>
      </w:r>
      <w:r>
        <w:rPr>
          <w:rFonts w:ascii="Arial" w:cs="Arial" w:eastAsia="Arial" w:hAnsi="Arial"/>
          <w:sz w:val="16"/>
          <w:szCs w:val="16"/>
          <w:color w:val="auto"/>
        </w:rPr>
        <w:t xml:space="preserve"> or for Executive’s resignation from the Company without Good Reason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xml:space="preserve">, then Executive shall not be entitled to any severance payments or benefits, except as provided in </w:t>
      </w:r>
      <w:r>
        <w:rPr>
          <w:rFonts w:ascii="Arial" w:cs="Arial" w:eastAsia="Arial" w:hAnsi="Arial"/>
          <w:sz w:val="16"/>
          <w:szCs w:val="16"/>
          <w:u w:val="single" w:color="auto"/>
          <w:color w:val="auto"/>
        </w:rPr>
        <w:t>Section 3(c)</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right="40" w:firstLine="412"/>
        <w:spacing w:after="0" w:line="268" w:lineRule="auto"/>
        <w:tabs>
          <w:tab w:leader="none" w:pos="646" w:val="left"/>
        </w:tabs>
        <w:numPr>
          <w:ilvl w:val="1"/>
          <w:numId w:val="403"/>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from the Company with Good Reason</w:t>
      </w:r>
      <w:r>
        <w:rPr>
          <w:rFonts w:ascii="Arial" w:cs="Arial" w:eastAsia="Arial" w:hAnsi="Arial"/>
          <w:sz w:val="16"/>
          <w:szCs w:val="16"/>
          <w:color w:val="auto"/>
        </w:rPr>
        <w:t xml:space="preserve">. If Executive’s employment terminates without Cause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3(a)(v)</w:t>
      </w:r>
      <w:r>
        <w:rPr>
          <w:rFonts w:ascii="Arial" w:cs="Arial" w:eastAsia="Arial" w:hAnsi="Arial"/>
          <w:sz w:val="16"/>
          <w:szCs w:val="16"/>
          <w:color w:val="auto"/>
        </w:rPr>
        <w:t xml:space="preserve"> due to Executive’s resignation with Good Reason, then, subject to Executive signing on or before the twenty-first (21st) day following Executive’s Separation from Service (as defined below) or in the event that such Separation from Service is “in connection with an exit incentive or other employment termination program” (as such phrase is defined in the Age Discrimination in Employment Act of 1967, as amended) on or before the forty-fifth (45th) day following Executive’s Separation from Service, and not revoking, a release of claims substantially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and Executive’s continued compliance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Executive shall receive, in addition to payments and benefits set forth in </w:t>
      </w:r>
      <w:r>
        <w:rPr>
          <w:rFonts w:ascii="Arial" w:cs="Arial" w:eastAsia="Arial" w:hAnsi="Arial"/>
          <w:sz w:val="16"/>
          <w:szCs w:val="16"/>
          <w:u w:val="single" w:color="auto"/>
          <w:color w:val="auto"/>
        </w:rPr>
        <w:t>Section 3(c)</w:t>
      </w:r>
      <w:r>
        <w:rPr>
          <w:rFonts w:ascii="Arial" w:cs="Arial" w:eastAsia="Arial" w:hAnsi="Arial"/>
          <w:sz w:val="16"/>
          <w:szCs w:val="16"/>
          <w:color w:val="auto"/>
        </w:rPr>
        <w:t>, the following:</w:t>
      </w:r>
    </w:p>
    <w:p>
      <w:pPr>
        <w:spacing w:after="0" w:line="68" w:lineRule="exact"/>
        <w:rPr>
          <w:rFonts w:ascii="Arial" w:cs="Arial" w:eastAsia="Arial" w:hAnsi="Arial"/>
          <w:sz w:val="16"/>
          <w:szCs w:val="16"/>
          <w:color w:val="auto"/>
        </w:rPr>
      </w:pPr>
    </w:p>
    <w:p>
      <w:pPr>
        <w:jc w:val="both"/>
        <w:ind w:left="420" w:right="80" w:firstLine="385"/>
        <w:spacing w:after="0" w:line="257" w:lineRule="auto"/>
        <w:tabs>
          <w:tab w:leader="none" w:pos="1013" w:val="left"/>
        </w:tabs>
        <w:numPr>
          <w:ilvl w:val="2"/>
          <w:numId w:val="403"/>
        </w:numPr>
        <w:rPr>
          <w:rFonts w:ascii="Arial" w:cs="Arial" w:eastAsia="Arial" w:hAnsi="Arial"/>
          <w:sz w:val="17"/>
          <w:szCs w:val="17"/>
          <w:color w:val="auto"/>
        </w:rPr>
      </w:pPr>
      <w:r>
        <w:rPr>
          <w:rFonts w:ascii="Arial" w:cs="Arial" w:eastAsia="Arial" w:hAnsi="Arial"/>
          <w:sz w:val="17"/>
          <w:szCs w:val="17"/>
          <w:color w:val="auto"/>
        </w:rPr>
        <w:t>an amount in cash equal to 0.75 times the Annual Base Salary, payable in the form of salary continuation in regular installments over the nine-month period following the date of Executive’s Separation from Service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in accordance with the Company’s normal payroll practices;</w:t>
      </w:r>
    </w:p>
    <w:p>
      <w:pPr>
        <w:spacing w:after="0" w:line="74" w:lineRule="exact"/>
        <w:rPr>
          <w:rFonts w:ascii="Arial" w:cs="Arial" w:eastAsia="Arial" w:hAnsi="Arial"/>
          <w:sz w:val="17"/>
          <w:szCs w:val="17"/>
          <w:color w:val="auto"/>
        </w:rPr>
      </w:pPr>
    </w:p>
    <w:p>
      <w:pPr>
        <w:ind w:left="420" w:firstLine="385"/>
        <w:spacing w:after="0" w:line="298" w:lineRule="auto"/>
        <w:tabs>
          <w:tab w:leader="none" w:pos="1060" w:val="left"/>
        </w:tabs>
        <w:numPr>
          <w:ilvl w:val="2"/>
          <w:numId w:val="403"/>
        </w:numPr>
        <w:rPr>
          <w:rFonts w:ascii="Arial" w:cs="Arial" w:eastAsia="Arial" w:hAnsi="Arial"/>
          <w:sz w:val="15"/>
          <w:szCs w:val="15"/>
          <w:color w:val="auto"/>
        </w:rPr>
      </w:pPr>
      <w:r>
        <w:rPr>
          <w:rFonts w:ascii="Arial" w:cs="Arial" w:eastAsia="Arial" w:hAnsi="Arial"/>
          <w:sz w:val="15"/>
          <w:szCs w:val="15"/>
          <w:color w:val="auto"/>
        </w:rPr>
        <w:t>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40"/>
          </w:cols>
          <w:pgMar w:left="820" w:top="264" w:right="839" w:bottom="1440" w:gutter="0" w:footer="0" w:header="0"/>
        </w:sectPr>
      </w:pPr>
    </w:p>
    <w:bookmarkStart w:id="462" w:name="page463"/>
    <w:bookmarkEnd w:id="462"/>
    <w:p>
      <w:pPr>
        <w:ind w:left="417" w:right="20" w:firstLine="385"/>
        <w:spacing w:after="0" w:line="282" w:lineRule="auto"/>
        <w:tabs>
          <w:tab w:leader="none" w:pos="1103" w:val="left"/>
        </w:tabs>
        <w:numPr>
          <w:ilvl w:val="2"/>
          <w:numId w:val="40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regardless of whether Executive elects COBRA continuation coverage and shall commence in the month following the month in which the Date of Termination occurs and shall end on the earliest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w:t>
      </w:r>
    </w:p>
    <w:p>
      <w:pPr>
        <w:spacing w:after="0" w:line="69" w:lineRule="exact"/>
        <w:rPr>
          <w:rFonts w:ascii="Arial" w:cs="Arial" w:eastAsia="Arial" w:hAnsi="Arial"/>
          <w:sz w:val="15"/>
          <w:szCs w:val="15"/>
          <w:color w:val="auto"/>
        </w:rPr>
      </w:pPr>
    </w:p>
    <w:p>
      <w:pPr>
        <w:ind w:left="-3" w:right="400" w:firstLine="412"/>
        <w:spacing w:after="0" w:line="287" w:lineRule="auto"/>
        <w:tabs>
          <w:tab w:leader="none" w:pos="634" w:val="left"/>
        </w:tabs>
        <w:numPr>
          <w:ilvl w:val="1"/>
          <w:numId w:val="405"/>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xml:space="preserve">. In lieu of the payments and benefits set forth in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in the event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due to Executive’s resignation with Good Reason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in either case, within three</w:t>
      </w:r>
    </w:p>
    <w:p>
      <w:pPr>
        <w:spacing w:after="0" w:line="1" w:lineRule="exact"/>
        <w:rPr>
          <w:rFonts w:ascii="Arial" w:cs="Arial" w:eastAsia="Arial" w:hAnsi="Arial"/>
          <w:sz w:val="15"/>
          <w:szCs w:val="15"/>
          <w:color w:val="auto"/>
        </w:rPr>
      </w:pPr>
    </w:p>
    <w:p>
      <w:pPr>
        <w:ind w:left="-3" w:right="40" w:firstLine="3"/>
        <w:spacing w:after="0" w:line="248" w:lineRule="auto"/>
        <w:tabs>
          <w:tab w:leader="none" w:pos="234" w:val="left"/>
        </w:tabs>
        <w:numPr>
          <w:ilvl w:val="0"/>
          <w:numId w:val="406"/>
        </w:numPr>
        <w:rPr>
          <w:rFonts w:ascii="Arial" w:cs="Arial" w:eastAsia="Arial" w:hAnsi="Arial"/>
          <w:sz w:val="17"/>
          <w:szCs w:val="17"/>
          <w:color w:val="auto"/>
        </w:rPr>
      </w:pPr>
      <w:r>
        <w:rPr>
          <w:rFonts w:ascii="Arial" w:cs="Arial" w:eastAsia="Arial" w:hAnsi="Arial"/>
          <w:sz w:val="17"/>
          <w:szCs w:val="17"/>
          <w:color w:val="auto"/>
        </w:rPr>
        <w:t xml:space="preserve">months prior or twelve (12) months following the date of a Change in Control, subject to Executive signing on or before the twenty-first (21st) day following Executive’s Separation from Service or in the event that such Separation from Service is “in connection with an exit incentive or other employment termination program” (as such phrase is defined in the Age Discrimination in Employment Act of 1967, as amended) on or before the forty-fifth (45th) day following Executive’s Separation from Service, and not revoking, the Release, Executive shall receive, in addition to the payments and benefits set forth in </w:t>
      </w:r>
      <w:r>
        <w:rPr>
          <w:rFonts w:ascii="Arial" w:cs="Arial" w:eastAsia="Arial" w:hAnsi="Arial"/>
          <w:sz w:val="17"/>
          <w:szCs w:val="17"/>
          <w:u w:val="single" w:color="auto"/>
          <w:color w:val="auto"/>
        </w:rPr>
        <w:t>Section 3(c)</w:t>
      </w:r>
      <w:r>
        <w:rPr>
          <w:rFonts w:ascii="Arial" w:cs="Arial" w:eastAsia="Arial" w:hAnsi="Arial"/>
          <w:sz w:val="17"/>
          <w:szCs w:val="17"/>
          <w:color w:val="auto"/>
        </w:rPr>
        <w:t>, the following:</w:t>
      </w:r>
    </w:p>
    <w:p>
      <w:pPr>
        <w:spacing w:after="0" w:line="82" w:lineRule="exact"/>
        <w:rPr>
          <w:rFonts w:ascii="Arial" w:cs="Arial" w:eastAsia="Arial" w:hAnsi="Arial"/>
          <w:sz w:val="17"/>
          <w:szCs w:val="17"/>
          <w:color w:val="auto"/>
        </w:rPr>
      </w:pPr>
    </w:p>
    <w:p>
      <w:pPr>
        <w:ind w:left="417" w:firstLine="385"/>
        <w:spacing w:after="0" w:line="257" w:lineRule="auto"/>
        <w:tabs>
          <w:tab w:leader="none" w:pos="1010" w:val="left"/>
        </w:tabs>
        <w:numPr>
          <w:ilvl w:val="2"/>
          <w:numId w:val="406"/>
        </w:numPr>
        <w:rPr>
          <w:rFonts w:ascii="Arial" w:cs="Arial" w:eastAsia="Arial" w:hAnsi="Arial"/>
          <w:sz w:val="17"/>
          <w:szCs w:val="17"/>
          <w:color w:val="auto"/>
        </w:rPr>
      </w:pPr>
      <w:r>
        <w:rPr>
          <w:rFonts w:ascii="Arial" w:cs="Arial" w:eastAsia="Arial" w:hAnsi="Arial"/>
          <w:sz w:val="17"/>
          <w:szCs w:val="17"/>
          <w:color w:val="auto"/>
        </w:rPr>
        <w:t>an amount in cash equal to one times the sum of (A) the Annual Base Salary plus (B) the Target Annual Bonus, payable in equal installments over the 12-month period following the date of Executive’s Separation from Service (the “</w:t>
      </w:r>
      <w:r>
        <w:rPr>
          <w:rFonts w:ascii="Arial" w:cs="Arial" w:eastAsia="Arial" w:hAnsi="Arial"/>
          <w:sz w:val="17"/>
          <w:szCs w:val="17"/>
          <w:u w:val="single" w:color="auto"/>
          <w:color w:val="auto"/>
        </w:rPr>
        <w:t>CIC Severance Period</w:t>
      </w:r>
      <w:r>
        <w:rPr>
          <w:rFonts w:ascii="Arial" w:cs="Arial" w:eastAsia="Arial" w:hAnsi="Arial"/>
          <w:sz w:val="17"/>
          <w:szCs w:val="17"/>
          <w:color w:val="auto"/>
        </w:rPr>
        <w:t>”) in accordance with the Company’s normal payroll practices;</w:t>
      </w:r>
    </w:p>
    <w:p>
      <w:pPr>
        <w:spacing w:after="0" w:line="75" w:lineRule="exact"/>
        <w:rPr>
          <w:sz w:val="20"/>
          <w:szCs w:val="20"/>
          <w:color w:val="auto"/>
        </w:rPr>
      </w:pPr>
    </w:p>
    <w:p>
      <w:pPr>
        <w:ind w:left="797"/>
        <w:spacing w:after="0"/>
        <w:rPr>
          <w:sz w:val="20"/>
          <w:szCs w:val="20"/>
          <w:color w:val="auto"/>
        </w:rPr>
      </w:pPr>
      <w:r>
        <w:rPr>
          <w:rFonts w:ascii="Arial" w:cs="Arial" w:eastAsia="Arial" w:hAnsi="Arial"/>
          <w:sz w:val="17"/>
          <w:szCs w:val="17"/>
          <w:color w:val="auto"/>
        </w:rPr>
        <w:t>(ii) the payment set forth in Section 4(b)(ii);</w:t>
      </w:r>
    </w:p>
    <w:p>
      <w:pPr>
        <w:spacing w:after="0" w:line="143"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37"/>
          </w:cols>
          <w:pgMar w:left="823" w:top="265" w:right="839" w:bottom="1440" w:gutter="0" w:footer="0" w:header="0"/>
        </w:sectPr>
      </w:pPr>
    </w:p>
    <w:bookmarkStart w:id="463" w:name="page464"/>
    <w:bookmarkEnd w:id="463"/>
    <w:p>
      <w:pPr>
        <w:ind w:left="1100" w:hanging="295"/>
        <w:spacing w:after="0"/>
        <w:tabs>
          <w:tab w:leader="none" w:pos="1100" w:val="left"/>
        </w:tabs>
        <w:numPr>
          <w:ilvl w:val="2"/>
          <w:numId w:val="4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benefits set forth in Section 4(b)(iii), provided that the “Severance Period” will mean the CIC Severance Period; and</w:t>
      </w:r>
    </w:p>
    <w:p>
      <w:pPr>
        <w:spacing w:after="0" w:line="105" w:lineRule="exact"/>
        <w:rPr>
          <w:rFonts w:ascii="Arial" w:cs="Arial" w:eastAsia="Arial" w:hAnsi="Arial"/>
          <w:sz w:val="17"/>
          <w:szCs w:val="17"/>
          <w:color w:val="auto"/>
        </w:rPr>
      </w:pPr>
    </w:p>
    <w:p>
      <w:pPr>
        <w:jc w:val="both"/>
        <w:ind w:left="420" w:right="120" w:firstLine="385"/>
        <w:spacing w:after="0" w:line="307" w:lineRule="auto"/>
        <w:tabs>
          <w:tab w:leader="none" w:pos="1097" w:val="left"/>
        </w:tabs>
        <w:numPr>
          <w:ilvl w:val="2"/>
          <w:numId w:val="407"/>
        </w:numPr>
        <w:rPr>
          <w:rFonts w:ascii="Arial" w:cs="Arial" w:eastAsia="Arial" w:hAnsi="Arial"/>
          <w:sz w:val="15"/>
          <w:szCs w:val="15"/>
          <w:color w:val="auto"/>
        </w:rPr>
      </w:pPr>
      <w:r>
        <w:rPr>
          <w:rFonts w:ascii="Arial" w:cs="Arial" w:eastAsia="Arial" w:hAnsi="Arial"/>
          <w:sz w:val="15"/>
          <w:szCs w:val="15"/>
          <w:color w:val="auto"/>
        </w:rPr>
        <w:t>all unvested equity or equity-based awards held by Executive under any Company equity compensation plans that vest solely based on the passage of time shall immediately become 100% vested (for the avoidance of doubt, with any such awards that vest in whole or in part based on the attainment of performance-vesting conditions being governed by the terms of the applicable award agreement).</w:t>
      </w:r>
    </w:p>
    <w:p>
      <w:pPr>
        <w:spacing w:after="0" w:line="41" w:lineRule="exact"/>
        <w:rPr>
          <w:rFonts w:ascii="Arial" w:cs="Arial" w:eastAsia="Arial" w:hAnsi="Arial"/>
          <w:sz w:val="15"/>
          <w:szCs w:val="15"/>
          <w:color w:val="auto"/>
        </w:rPr>
      </w:pPr>
    </w:p>
    <w:p>
      <w:pPr>
        <w:ind w:right="220" w:firstLine="412"/>
        <w:spacing w:after="0" w:line="268" w:lineRule="auto"/>
        <w:tabs>
          <w:tab w:leader="none" w:pos="646" w:val="left"/>
        </w:tabs>
        <w:numPr>
          <w:ilvl w:val="1"/>
          <w:numId w:val="408"/>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Notwithstanding anything to the contrary in this Agreement, the provisions of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5 through 9 will survive the termination of Executive’s employment and the termination of the Term.</w:t>
      </w:r>
    </w:p>
    <w:p>
      <w:pPr>
        <w:spacing w:after="0" w:line="262" w:lineRule="exact"/>
        <w:rPr>
          <w:rFonts w:ascii="Arial" w:cs="Arial" w:eastAsia="Arial" w:hAnsi="Arial"/>
          <w:sz w:val="17"/>
          <w:szCs w:val="17"/>
          <w:color w:val="auto"/>
        </w:rPr>
      </w:pPr>
    </w:p>
    <w:p>
      <w:pPr>
        <w:ind w:left="160" w:hanging="157"/>
        <w:spacing w:after="0"/>
        <w:tabs>
          <w:tab w:leader="none" w:pos="160" w:val="left"/>
        </w:tabs>
        <w:numPr>
          <w:ilvl w:val="0"/>
          <w:numId w:val="40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Restrictive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acknowledges that Executive remains bound by the Employee Non-Disclosure, Non-Competition,</w:t>
      </w:r>
    </w:p>
    <w:p>
      <w:pPr>
        <w:spacing w:after="0" w:line="2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Non-Solicitation and Inventions Agreement dated as of July 31, 2019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Restrictive Covenant Agreement</w:t>
      </w:r>
      <w:r>
        <w:rPr>
          <w:rFonts w:ascii="Arial" w:cs="Arial" w:eastAsia="Arial" w:hAnsi="Arial"/>
          <w:sz w:val="16"/>
          <w:szCs w:val="16"/>
          <w:color w:val="auto"/>
        </w:rPr>
        <w:t>”). Executive acknowledges and agrees that the terms of the Restrictive Covenant Agreement are incorporated by reference herein as if re-executed along with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264" w:lineRule="exact"/>
        <w:rPr>
          <w:sz w:val="20"/>
          <w:szCs w:val="20"/>
          <w:color w:val="auto"/>
        </w:rPr>
      </w:pPr>
    </w:p>
    <w:p>
      <w:pPr>
        <w:ind w:left="160" w:hanging="157"/>
        <w:spacing w:after="0"/>
        <w:tabs>
          <w:tab w:leader="none" w:pos="160" w:val="left"/>
        </w:tabs>
        <w:numPr>
          <w:ilvl w:val="0"/>
          <w:numId w:val="4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 and Successors</w:t>
      </w:r>
      <w:r>
        <w:rPr>
          <w:rFonts w:ascii="Arial" w:cs="Arial" w:eastAsia="Arial" w:hAnsi="Arial"/>
          <w:sz w:val="17"/>
          <w:szCs w:val="17"/>
          <w:b w:val="1"/>
          <w:bCs w:val="1"/>
          <w:color w:val="auto"/>
        </w:rPr>
        <w:t>.</w:t>
      </w:r>
    </w:p>
    <w:p>
      <w:pPr>
        <w:spacing w:after="0" w:line="110" w:lineRule="exact"/>
        <w:rPr>
          <w:sz w:val="20"/>
          <w:szCs w:val="20"/>
          <w:color w:val="auto"/>
        </w:rPr>
      </w:pPr>
    </w:p>
    <w:p>
      <w:pPr>
        <w:ind w:right="20" w:firstLine="409"/>
        <w:spacing w:after="0" w:line="267" w:lineRule="auto"/>
        <w:rPr>
          <w:sz w:val="20"/>
          <w:szCs w:val="20"/>
          <w:color w:val="auto"/>
        </w:rPr>
      </w:pPr>
      <w:r>
        <w:rPr>
          <w:rFonts w:ascii="Arial" w:cs="Arial" w:eastAsia="Arial" w:hAnsi="Arial"/>
          <w:sz w:val="16"/>
          <w:szCs w:val="16"/>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267" w:lineRule="exact"/>
        <w:rPr>
          <w:sz w:val="20"/>
          <w:szCs w:val="20"/>
          <w:color w:val="auto"/>
        </w:rPr>
      </w:pPr>
    </w:p>
    <w:p>
      <w:pPr>
        <w:ind w:left="160" w:hanging="157"/>
        <w:spacing w:after="0"/>
        <w:tabs>
          <w:tab w:leader="none" w:pos="160" w:val="left"/>
        </w:tabs>
        <w:numPr>
          <w:ilvl w:val="0"/>
          <w:numId w:val="4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Definitions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left="640" w:hanging="228"/>
        <w:spacing w:after="0"/>
        <w:tabs>
          <w:tab w:leader="none" w:pos="640" w:val="left"/>
        </w:tabs>
        <w:numPr>
          <w:ilvl w:val="1"/>
          <w:numId w:val="411"/>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The Company shall have “Cause” to terminate Executive’s employment hereunder upon:</w:t>
      </w:r>
    </w:p>
    <w:p>
      <w:pPr>
        <w:spacing w:after="0" w:line="105" w:lineRule="exact"/>
        <w:rPr>
          <w:rFonts w:ascii="Arial" w:cs="Arial" w:eastAsia="Arial" w:hAnsi="Arial"/>
          <w:sz w:val="17"/>
          <w:szCs w:val="17"/>
          <w:color w:val="auto"/>
        </w:rPr>
      </w:pPr>
    </w:p>
    <w:p>
      <w:pPr>
        <w:ind w:left="420" w:firstLine="385"/>
        <w:spacing w:after="0" w:line="257" w:lineRule="auto"/>
        <w:tabs>
          <w:tab w:leader="none" w:pos="1013" w:val="left"/>
        </w:tabs>
        <w:numPr>
          <w:ilvl w:val="2"/>
          <w:numId w:val="411"/>
        </w:numPr>
        <w:rPr>
          <w:rFonts w:ascii="Arial" w:cs="Arial" w:eastAsia="Arial" w:hAnsi="Arial"/>
          <w:sz w:val="17"/>
          <w:szCs w:val="17"/>
          <w:color w:val="auto"/>
        </w:rPr>
      </w:pPr>
      <w:r>
        <w:rPr>
          <w:rFonts w:ascii="Arial" w:cs="Arial" w:eastAsia="Arial" w:hAnsi="Arial"/>
          <w:sz w:val="17"/>
          <w:szCs w:val="17"/>
          <w:color w:val="auto"/>
        </w:rPr>
        <w:t>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w:t>
      </w:r>
    </w:p>
    <w:p>
      <w:pPr>
        <w:spacing w:after="0" w:line="74" w:lineRule="exact"/>
        <w:rPr>
          <w:rFonts w:ascii="Arial" w:cs="Arial" w:eastAsia="Arial" w:hAnsi="Arial"/>
          <w:sz w:val="17"/>
          <w:szCs w:val="17"/>
          <w:color w:val="auto"/>
        </w:rPr>
      </w:pPr>
    </w:p>
    <w:p>
      <w:pPr>
        <w:ind w:left="420" w:right="260" w:firstLine="385"/>
        <w:spacing w:after="0" w:line="268" w:lineRule="auto"/>
        <w:tabs>
          <w:tab w:leader="none" w:pos="1060" w:val="left"/>
        </w:tabs>
        <w:numPr>
          <w:ilvl w:val="2"/>
          <w:numId w:val="411"/>
        </w:numPr>
        <w:rPr>
          <w:rFonts w:ascii="Arial" w:cs="Arial" w:eastAsia="Arial" w:hAnsi="Arial"/>
          <w:sz w:val="17"/>
          <w:szCs w:val="17"/>
          <w:color w:val="auto"/>
        </w:rPr>
      </w:pPr>
      <w:r>
        <w:rPr>
          <w:rFonts w:ascii="Arial" w:cs="Arial" w:eastAsia="Arial" w:hAnsi="Arial"/>
          <w:sz w:val="17"/>
          <w:szCs w:val="17"/>
          <w:color w:val="auto"/>
        </w:rPr>
        <w:t>Executive’s breach of a material provision of this Agreement that, to the extent capable of cure, has remained uncured for a period of thirty (30) days following written notice from the Company;</w:t>
      </w:r>
    </w:p>
    <w:p>
      <w:pPr>
        <w:spacing w:after="0" w:line="65" w:lineRule="exact"/>
        <w:rPr>
          <w:rFonts w:ascii="Arial" w:cs="Arial" w:eastAsia="Arial" w:hAnsi="Arial"/>
          <w:sz w:val="17"/>
          <w:szCs w:val="17"/>
          <w:color w:val="auto"/>
        </w:rPr>
      </w:pPr>
    </w:p>
    <w:p>
      <w:pPr>
        <w:ind w:left="420" w:right="240" w:firstLine="385"/>
        <w:spacing w:after="0" w:line="268" w:lineRule="auto"/>
        <w:tabs>
          <w:tab w:leader="none" w:pos="1106" w:val="left"/>
        </w:tabs>
        <w:numPr>
          <w:ilvl w:val="2"/>
          <w:numId w:val="411"/>
        </w:numPr>
        <w:rPr>
          <w:rFonts w:ascii="Arial" w:cs="Arial" w:eastAsia="Arial" w:hAnsi="Arial"/>
          <w:sz w:val="17"/>
          <w:szCs w:val="17"/>
          <w:color w:val="auto"/>
        </w:rPr>
      </w:pPr>
      <w:r>
        <w:rPr>
          <w:rFonts w:ascii="Arial" w:cs="Arial" w:eastAsia="Arial" w:hAnsi="Arial"/>
          <w:sz w:val="17"/>
          <w:szCs w:val="17"/>
          <w:color w:val="auto"/>
        </w:rPr>
        <w:t xml:space="preserve">Executive’s conviction, plea of no contest, plea of </w:t>
      </w:r>
      <w:r>
        <w:rPr>
          <w:rFonts w:ascii="Arial" w:cs="Arial" w:eastAsia="Arial" w:hAnsi="Arial"/>
          <w:sz w:val="17"/>
          <w:szCs w:val="17"/>
          <w:i w:val="1"/>
          <w:iCs w:val="1"/>
          <w:color w:val="auto"/>
        </w:rPr>
        <w:t>nolo contendere</w:t>
      </w:r>
      <w:r>
        <w:rPr>
          <w:rFonts w:ascii="Arial" w:cs="Arial" w:eastAsia="Arial" w:hAnsi="Arial"/>
          <w:sz w:val="17"/>
          <w:szCs w:val="17"/>
          <w:color w:val="auto"/>
        </w:rPr>
        <w:t>, or imposition of unadjudicated probation for any felony or crime involving moral turpitude;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20"/>
          </w:cols>
          <w:pgMar w:left="820" w:top="265" w:right="859" w:bottom="1440" w:gutter="0" w:footer="0" w:header="0"/>
        </w:sectPr>
      </w:pPr>
    </w:p>
    <w:bookmarkStart w:id="464" w:name="page465"/>
    <w:bookmarkEnd w:id="464"/>
    <w:p>
      <w:pPr>
        <w:ind w:left="400" w:right="60" w:firstLine="385"/>
        <w:spacing w:after="0" w:line="268" w:lineRule="auto"/>
        <w:tabs>
          <w:tab w:leader="none" w:pos="1077" w:val="left"/>
        </w:tabs>
        <w:numPr>
          <w:ilvl w:val="1"/>
          <w:numId w:val="4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Executive’s unlawful use (including being under the influence) or possession of illegal drugs on the Company’s (or any of its affiliate’s) premises or while performing Executive’s duties and responsibilities under this Agreement; or</w:t>
      </w:r>
    </w:p>
    <w:p>
      <w:pPr>
        <w:spacing w:after="0" w:line="65" w:lineRule="exact"/>
        <w:rPr>
          <w:rFonts w:ascii="Arial" w:cs="Arial" w:eastAsia="Arial" w:hAnsi="Arial"/>
          <w:sz w:val="17"/>
          <w:szCs w:val="17"/>
          <w:color w:val="auto"/>
        </w:rPr>
      </w:pPr>
    </w:p>
    <w:p>
      <w:pPr>
        <w:ind w:left="400" w:right="40" w:firstLine="385"/>
        <w:spacing w:after="0" w:line="268" w:lineRule="auto"/>
        <w:tabs>
          <w:tab w:leader="none" w:pos="1030" w:val="left"/>
        </w:tabs>
        <w:numPr>
          <w:ilvl w:val="1"/>
          <w:numId w:val="412"/>
        </w:numPr>
        <w:rPr>
          <w:rFonts w:ascii="Arial" w:cs="Arial" w:eastAsia="Arial" w:hAnsi="Arial"/>
          <w:sz w:val="17"/>
          <w:szCs w:val="17"/>
          <w:color w:val="auto"/>
        </w:rPr>
      </w:pPr>
      <w:r>
        <w:rPr>
          <w:rFonts w:ascii="Arial" w:cs="Arial" w:eastAsia="Arial" w:hAnsi="Arial"/>
          <w:sz w:val="17"/>
          <w:szCs w:val="17"/>
          <w:color w:val="auto"/>
        </w:rPr>
        <w:t>Executive’s commission of any act of fraud, embezzlement, misappropriation, willful misconduct, or breach of fiduciary duty against the Company or any of its affiliates.</w:t>
      </w:r>
    </w:p>
    <w:p>
      <w:pPr>
        <w:spacing w:after="0" w:line="65" w:lineRule="exact"/>
        <w:rPr>
          <w:rFonts w:ascii="Arial" w:cs="Arial" w:eastAsia="Arial" w:hAnsi="Arial"/>
          <w:sz w:val="17"/>
          <w:szCs w:val="17"/>
          <w:color w:val="auto"/>
        </w:rPr>
      </w:pPr>
    </w:p>
    <w:p>
      <w:pPr>
        <w:ind w:left="620" w:hanging="228"/>
        <w:spacing w:after="0"/>
        <w:tabs>
          <w:tab w:leader="none" w:pos="620"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“Change in Control” shall have the meaning set forth in the Lyra Therapeutics, Inc. 2020 Incentive Award Plan.</w:t>
      </w:r>
    </w:p>
    <w:p>
      <w:pPr>
        <w:spacing w:after="0" w:line="117" w:lineRule="exact"/>
        <w:rPr>
          <w:rFonts w:ascii="Arial" w:cs="Arial" w:eastAsia="Arial" w:hAnsi="Arial"/>
          <w:sz w:val="16"/>
          <w:szCs w:val="16"/>
          <w:color w:val="auto"/>
        </w:rPr>
      </w:pPr>
    </w:p>
    <w:p>
      <w:pPr>
        <w:ind w:left="620" w:hanging="228"/>
        <w:spacing w:after="0"/>
        <w:tabs>
          <w:tab w:leader="none" w:pos="620"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“Code” shall mean the Internal Revenue Code of 1986, as amended, and the regulations and guidance promulgated thereunder.</w:t>
      </w:r>
    </w:p>
    <w:p>
      <w:pPr>
        <w:spacing w:after="0" w:line="117" w:lineRule="exact"/>
        <w:rPr>
          <w:rFonts w:ascii="Arial" w:cs="Arial" w:eastAsia="Arial" w:hAnsi="Arial"/>
          <w:sz w:val="16"/>
          <w:szCs w:val="16"/>
          <w:color w:val="auto"/>
        </w:rPr>
      </w:pPr>
    </w:p>
    <w:p>
      <w:pPr>
        <w:ind w:left="-20" w:right="700" w:firstLine="412"/>
        <w:spacing w:after="0" w:line="257" w:lineRule="auto"/>
        <w:tabs>
          <w:tab w:leader="none" w:pos="626"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7"/>
          <w:szCs w:val="17"/>
          <w:u w:val="single" w:color="auto"/>
          <w:color w:val="auto"/>
        </w:rPr>
        <w:t>Section 3(a)(ii) – (vi)</w:t>
      </w:r>
      <w:r>
        <w:rPr>
          <w:rFonts w:ascii="Arial" w:cs="Arial" w:eastAsia="Arial" w:hAnsi="Arial"/>
          <w:sz w:val="17"/>
          <w:szCs w:val="17"/>
          <w:color w:val="auto"/>
        </w:rPr>
        <w:t xml:space="preserve"> either the date indicated in the Notice of Termination or the date specified by the Company pursuant to </w:t>
      </w:r>
      <w:r>
        <w:rPr>
          <w:rFonts w:ascii="Arial" w:cs="Arial" w:eastAsia="Arial" w:hAnsi="Arial"/>
          <w:sz w:val="17"/>
          <w:szCs w:val="17"/>
          <w:u w:val="single" w:color="auto"/>
          <w:color w:val="auto"/>
        </w:rPr>
        <w:t>Section 3(b)</w:t>
      </w:r>
      <w:r>
        <w:rPr>
          <w:rFonts w:ascii="Arial" w:cs="Arial" w:eastAsia="Arial" w:hAnsi="Arial"/>
          <w:sz w:val="17"/>
          <w:szCs w:val="17"/>
          <w:color w:val="auto"/>
        </w:rPr>
        <w:t>, whichever is earlier.</w:t>
      </w:r>
    </w:p>
    <w:p>
      <w:pPr>
        <w:spacing w:after="0" w:line="74" w:lineRule="exact"/>
        <w:rPr>
          <w:rFonts w:ascii="Arial" w:cs="Arial" w:eastAsia="Arial" w:hAnsi="Arial"/>
          <w:sz w:val="17"/>
          <w:szCs w:val="17"/>
          <w:color w:val="auto"/>
        </w:rPr>
      </w:pPr>
    </w:p>
    <w:p>
      <w:pPr>
        <w:ind w:left="-20" w:firstLine="412"/>
        <w:spacing w:after="0" w:line="285" w:lineRule="auto"/>
        <w:tabs>
          <w:tab w:leader="none" w:pos="617" w:val="left"/>
        </w:tabs>
        <w:numPr>
          <w:ilvl w:val="0"/>
          <w:numId w:val="413"/>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if the long-term disability plan contains multiple definitions of disability, “Disability” shall refer to that definition of disability which, if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60" w:lineRule="exact"/>
        <w:rPr>
          <w:rFonts w:ascii="Arial" w:cs="Arial" w:eastAsia="Arial" w:hAnsi="Arial"/>
          <w:sz w:val="15"/>
          <w:szCs w:val="15"/>
          <w:color w:val="auto"/>
        </w:rPr>
      </w:pPr>
    </w:p>
    <w:p>
      <w:pPr>
        <w:ind w:left="-20" w:firstLine="412"/>
        <w:spacing w:after="0" w:line="285" w:lineRule="auto"/>
        <w:tabs>
          <w:tab w:leader="none" w:pos="598" w:val="left"/>
        </w:tabs>
        <w:numPr>
          <w:ilvl w:val="0"/>
          <w:numId w:val="413"/>
        </w:numPr>
        <w:rPr>
          <w:rFonts w:ascii="Arial" w:cs="Arial" w:eastAsia="Arial" w:hAnsi="Arial"/>
          <w:sz w:val="15"/>
          <w:szCs w:val="15"/>
          <w:color w:val="auto"/>
        </w:rPr>
      </w:pPr>
      <w:r>
        <w:rPr>
          <w:rFonts w:ascii="Arial" w:cs="Arial" w:eastAsia="Arial" w:hAnsi="Arial"/>
          <w:sz w:val="15"/>
          <w:szCs w:val="15"/>
          <w:u w:val="single" w:color="auto"/>
          <w:color w:val="auto"/>
        </w:rPr>
        <w:t>Good Reason</w:t>
      </w:r>
      <w:r>
        <w:rPr>
          <w:rFonts w:ascii="Arial" w:cs="Arial" w:eastAsia="Arial" w:hAnsi="Arial"/>
          <w:sz w:val="15"/>
          <w:szCs w:val="15"/>
          <w:color w:val="auto"/>
        </w:rPr>
        <w:t>. For the sole purpose of determining Executive’s right to severance payments and benefits as described above, Executive’s resignation will be with “Good Reason” if Executive resigns within ninety (90) days after any of the following events, unless Executive consents in writing to the applicable event: (i) a reduction in Executive’s Annual Base Salary or Target Annual Bonus, other than a reduction of twenty percent (20%) or less of Executive’s Annual Base Salary implemented as part of an across the board, proportionate reduction of base salaries for other members of the Company’s management team, (ii) a material decrease in Executive’s authority or areas of responsibility as are commensurate with Executive’s title or position with the Company, (iii) the relocation of Executive’s primary office to a location more than fifty (50) miles from the Executive’s primary office as of the date of this Agreement or (iv) the Company’s breach of a material provision of this Agreement. Notwithstanding the foregoing, no Good Reason will have occurred unless and until Executive has: (a) provided the Company, within sixty (60) days of Executive’s knowledge of the occurrence of the facts and circumstances underlying the Good Reason event, written notice stating with specificity the applicable facts and circumstances underlying such finding of Good Reason; (b) provided the Company with an opportunity to cure the same within thirty (30) days after the receipt of such notice; and (c) the Company shall have failed to so cure within such period.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20"/>
          </w:cols>
          <w:pgMar w:left="840" w:top="265" w:right="839" w:bottom="1440" w:gutter="0" w:footer="0" w:header="0"/>
        </w:sectPr>
      </w:pPr>
    </w:p>
    <w:bookmarkStart w:id="465" w:name="page466"/>
    <w:bookmarkEnd w:id="465"/>
    <w:p>
      <w:pPr>
        <w:ind w:left="160" w:hanging="157"/>
        <w:spacing w:after="0"/>
        <w:tabs>
          <w:tab w:leader="none" w:pos="160"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Parachute Payments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firstLine="412"/>
        <w:spacing w:after="0" w:line="285" w:lineRule="auto"/>
        <w:tabs>
          <w:tab w:leader="none" w:pos="637" w:val="left"/>
        </w:tabs>
        <w:numPr>
          <w:ilvl w:val="1"/>
          <w:numId w:val="414"/>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 being hereinafter referred to as the “</w:t>
      </w:r>
      <w:r>
        <w:rPr>
          <w:rFonts w:ascii="Arial" w:cs="Arial" w:eastAsia="Arial" w:hAnsi="Arial"/>
          <w:sz w:val="15"/>
          <w:szCs w:val="15"/>
          <w:u w:val="single" w:color="auto"/>
          <w:color w:val="auto"/>
        </w:rPr>
        <w:t>Total Payments</w:t>
      </w:r>
      <w:r>
        <w:rPr>
          <w:rFonts w:ascii="Arial" w:cs="Arial" w:eastAsia="Arial" w:hAnsi="Arial"/>
          <w:sz w:val="15"/>
          <w:szCs w:val="15"/>
          <w:color w:val="auto"/>
        </w:rPr>
        <w:t>”), would be subject (in whole or in part) to the excise tax imposed by Section 4999 of the Code (the “</w:t>
      </w:r>
      <w:r>
        <w:rPr>
          <w:rFonts w:ascii="Arial" w:cs="Arial" w:eastAsia="Arial" w:hAnsi="Arial"/>
          <w:sz w:val="15"/>
          <w:szCs w:val="15"/>
          <w:u w:val="single" w:color="auto"/>
          <w:color w:val="auto"/>
        </w:rPr>
        <w:t>Excise Tax</w:t>
      </w:r>
      <w:r>
        <w:rPr>
          <w:rFonts w:ascii="Arial" w:cs="Arial" w:eastAsia="Arial" w:hAnsi="Arial"/>
          <w:sz w:val="15"/>
          <w:szCs w:val="15"/>
          <w:color w:val="auto"/>
        </w:rPr>
        <w:t xml:space="preserve">”), then the Total Payments shall be reduced (in the order provided in </w:t>
      </w:r>
      <w:r>
        <w:rPr>
          <w:rFonts w:ascii="Arial" w:cs="Arial" w:eastAsia="Arial" w:hAnsi="Arial"/>
          <w:sz w:val="15"/>
          <w:szCs w:val="15"/>
          <w:u w:val="single" w:color="auto"/>
          <w:color w:val="auto"/>
        </w:rPr>
        <w:t>Section 8(b)</w:t>
      </w:r>
      <w:r>
        <w:rPr>
          <w:rFonts w:ascii="Arial" w:cs="Arial" w:eastAsia="Arial" w:hAnsi="Arial"/>
          <w:sz w:val="15"/>
          <w:szCs w:val="15"/>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56" w:lineRule="exact"/>
        <w:rPr>
          <w:rFonts w:ascii="Arial" w:cs="Arial" w:eastAsia="Arial" w:hAnsi="Arial"/>
          <w:sz w:val="15"/>
          <w:szCs w:val="15"/>
          <w:color w:val="auto"/>
        </w:rPr>
      </w:pPr>
    </w:p>
    <w:p>
      <w:pPr>
        <w:ind w:right="160" w:firstLine="412"/>
        <w:spacing w:after="0" w:line="269" w:lineRule="auto"/>
        <w:tabs>
          <w:tab w:leader="none" w:pos="646" w:val="left"/>
        </w:tabs>
        <w:numPr>
          <w:ilvl w:val="1"/>
          <w:numId w:val="414"/>
        </w:numPr>
        <w:rPr>
          <w:rFonts w:ascii="Arial" w:cs="Arial" w:eastAsia="Arial" w:hAnsi="Arial"/>
          <w:sz w:val="16"/>
          <w:szCs w:val="16"/>
          <w:color w:val="auto"/>
        </w:rPr>
      </w:pPr>
      <w:r>
        <w:rPr>
          <w:rFonts w:ascii="Arial" w:cs="Arial" w:eastAsia="Arial" w:hAnsi="Arial"/>
          <w:sz w:val="16"/>
          <w:szCs w:val="16"/>
          <w:color w:val="auto"/>
        </w:rPr>
        <w:t>The Total Payments shall be reduced in the following order: (i) reduction on a pro-rata basis of any cash severance payments that are exempt from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68" w:lineRule="exact"/>
        <w:rPr>
          <w:rFonts w:ascii="Arial" w:cs="Arial" w:eastAsia="Arial" w:hAnsi="Arial"/>
          <w:sz w:val="16"/>
          <w:szCs w:val="16"/>
          <w:color w:val="auto"/>
        </w:rPr>
      </w:pPr>
    </w:p>
    <w:p>
      <w:pPr>
        <w:ind w:right="80" w:firstLine="412"/>
        <w:spacing w:after="0" w:line="283" w:lineRule="auto"/>
        <w:tabs>
          <w:tab w:leader="none" w:pos="637" w:val="left"/>
        </w:tabs>
        <w:numPr>
          <w:ilvl w:val="1"/>
          <w:numId w:val="414"/>
        </w:numPr>
        <w:rPr>
          <w:rFonts w:ascii="Arial" w:cs="Arial" w:eastAsia="Arial" w:hAnsi="Arial"/>
          <w:sz w:val="15"/>
          <w:szCs w:val="15"/>
          <w:color w:val="auto"/>
        </w:rPr>
      </w:pPr>
      <w:r>
        <w:rPr>
          <w:rFonts w:ascii="Arial" w:cs="Arial" w:eastAsia="Arial" w:hAnsi="Arial"/>
          <w:sz w:val="15"/>
          <w:szCs w:val="15"/>
          <w:color w:val="auto"/>
        </w:rPr>
        <w:t xml:space="preserve">All determinations regarding the application of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15"/>
          <w:szCs w:val="15"/>
          <w:u w:val="single" w:color="auto"/>
          <w:color w:val="auto"/>
        </w:rPr>
        <w:t>Independent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Advisors</w:t>
      </w:r>
      <w:r>
        <w:rPr>
          <w:rFonts w:ascii="Arial" w:cs="Arial" w:eastAsia="Arial" w:hAnsi="Arial"/>
          <w:sz w:val="15"/>
          <w:szCs w:val="15"/>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w:t>
      </w:r>
    </w:p>
    <w:p>
      <w:pPr>
        <w:spacing w:after="0" w:line="2" w:lineRule="exact"/>
        <w:rPr>
          <w:rFonts w:ascii="Arial" w:cs="Arial" w:eastAsia="Arial" w:hAnsi="Arial"/>
          <w:sz w:val="15"/>
          <w:szCs w:val="15"/>
          <w:color w:val="auto"/>
        </w:rPr>
      </w:pPr>
    </w:p>
    <w:p>
      <w:pPr>
        <w:ind w:right="20"/>
        <w:spacing w:after="0" w:line="299" w:lineRule="auto"/>
        <w:rPr>
          <w:rFonts w:ascii="Arial" w:cs="Arial" w:eastAsia="Arial" w:hAnsi="Arial"/>
          <w:sz w:val="15"/>
          <w:szCs w:val="15"/>
          <w:color w:val="auto"/>
        </w:rPr>
      </w:pPr>
      <w:r>
        <w:rPr>
          <w:rFonts w:ascii="Arial" w:cs="Arial" w:eastAsia="Arial" w:hAnsi="Arial"/>
          <w:sz w:val="15"/>
          <w:szCs w:val="15"/>
          <w:color w:val="auto"/>
        </w:rPr>
        <w:t>(4)(A)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46" w:lineRule="exact"/>
        <w:rPr>
          <w:rFonts w:ascii="Arial" w:cs="Arial" w:eastAsia="Arial" w:hAnsi="Arial"/>
          <w:sz w:val="15"/>
          <w:szCs w:val="15"/>
          <w:color w:val="auto"/>
        </w:rPr>
      </w:pPr>
    </w:p>
    <w:p>
      <w:pPr>
        <w:ind w:right="160" w:firstLine="412"/>
        <w:spacing w:after="0" w:line="268" w:lineRule="auto"/>
        <w:tabs>
          <w:tab w:leader="none" w:pos="646" w:val="left"/>
        </w:tabs>
        <w:numPr>
          <w:ilvl w:val="1"/>
          <w:numId w:val="414"/>
        </w:numPr>
        <w:rPr>
          <w:rFonts w:ascii="Arial" w:cs="Arial" w:eastAsia="Arial" w:hAnsi="Arial"/>
          <w:sz w:val="17"/>
          <w:szCs w:val="17"/>
          <w:color w:val="auto"/>
        </w:rPr>
      </w:pPr>
      <w:r>
        <w:rPr>
          <w:rFonts w:ascii="Arial" w:cs="Arial" w:eastAsia="Arial" w:hAnsi="Arial"/>
          <w:sz w:val="17"/>
          <w:szCs w:val="17"/>
          <w:color w:val="auto"/>
        </w:rPr>
        <w:t xml:space="preserve">In the event it is later determined that a greater reduction in the Total Payments should have been made to implement the objective and intent of this </w:t>
      </w:r>
      <w:r>
        <w:rPr>
          <w:rFonts w:ascii="Arial" w:cs="Arial" w:eastAsia="Arial" w:hAnsi="Arial"/>
          <w:sz w:val="17"/>
          <w:szCs w:val="17"/>
          <w:u w:val="single" w:color="auto"/>
          <w:color w:val="auto"/>
        </w:rPr>
        <w:t>Section 8</w:t>
      </w:r>
      <w:r>
        <w:rPr>
          <w:rFonts w:ascii="Arial" w:cs="Arial" w:eastAsia="Arial" w:hAnsi="Arial"/>
          <w:sz w:val="17"/>
          <w:szCs w:val="17"/>
          <w:color w:val="auto"/>
        </w:rPr>
        <w:t>, the excess amount shall be returned promptly by Executive to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0" w:right="839" w:bottom="1440" w:gutter="0" w:footer="0" w:header="0"/>
        </w:sectPr>
      </w:pPr>
    </w:p>
    <w:bookmarkStart w:id="466" w:name="page467"/>
    <w:bookmarkEnd w:id="466"/>
    <w:p>
      <w:pPr>
        <w:ind w:left="157" w:hanging="157"/>
        <w:spacing w:after="0"/>
        <w:tabs>
          <w:tab w:leader="none" w:pos="157" w:val="left"/>
        </w:tabs>
        <w:numPr>
          <w:ilvl w:val="0"/>
          <w:numId w:val="4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Miscellaneous Provisions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left="-3" w:firstLine="412"/>
        <w:spacing w:after="0" w:line="253" w:lineRule="auto"/>
        <w:tabs>
          <w:tab w:leader="none" w:pos="634"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spacing w:after="0" w:line="79" w:lineRule="exact"/>
        <w:rPr>
          <w:rFonts w:ascii="Arial" w:cs="Arial" w:eastAsia="Arial" w:hAnsi="Arial"/>
          <w:sz w:val="17"/>
          <w:szCs w:val="17"/>
          <w:color w:val="auto"/>
        </w:rPr>
      </w:pPr>
    </w:p>
    <w:p>
      <w:pPr>
        <w:ind w:left="-3" w:right="240" w:firstLine="412"/>
        <w:spacing w:after="0" w:line="268" w:lineRule="auto"/>
        <w:tabs>
          <w:tab w:leader="none" w:pos="644"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Validity</w:t>
      </w:r>
      <w:r>
        <w:rPr>
          <w:rFonts w:ascii="Arial" w:cs="Arial" w:eastAsia="Arial" w:hAnsi="Arial"/>
          <w:sz w:val="17"/>
          <w:szCs w:val="17"/>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5" w:lineRule="exact"/>
        <w:rPr>
          <w:rFonts w:ascii="Arial" w:cs="Arial" w:eastAsia="Arial" w:hAnsi="Arial"/>
          <w:sz w:val="17"/>
          <w:szCs w:val="17"/>
          <w:color w:val="auto"/>
        </w:rPr>
      </w:pPr>
    </w:p>
    <w:p>
      <w:pPr>
        <w:ind w:left="-3" w:right="280" w:firstLine="412"/>
        <w:spacing w:after="0" w:line="335" w:lineRule="auto"/>
        <w:tabs>
          <w:tab w:leader="none" w:pos="634" w:val="left"/>
        </w:tabs>
        <w:numPr>
          <w:ilvl w:val="1"/>
          <w:numId w:val="415"/>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20" w:lineRule="exact"/>
        <w:rPr>
          <w:rFonts w:ascii="Arial" w:cs="Arial" w:eastAsia="Arial" w:hAnsi="Arial"/>
          <w:sz w:val="15"/>
          <w:szCs w:val="15"/>
          <w:color w:val="auto"/>
        </w:rPr>
      </w:pPr>
    </w:p>
    <w:p>
      <w:pPr>
        <w:ind w:left="997" w:hanging="195"/>
        <w:spacing w:after="0"/>
        <w:tabs>
          <w:tab w:leader="none" w:pos="997" w:val="left"/>
        </w:tabs>
        <w:numPr>
          <w:ilvl w:val="2"/>
          <w:numId w:val="415"/>
        </w:numPr>
        <w:rPr>
          <w:rFonts w:ascii="Arial" w:cs="Arial" w:eastAsia="Arial" w:hAnsi="Arial"/>
          <w:sz w:val="17"/>
          <w:szCs w:val="17"/>
          <w:color w:val="auto"/>
        </w:rPr>
      </w:pPr>
      <w:r>
        <w:rPr>
          <w:rFonts w:ascii="Arial" w:cs="Arial" w:eastAsia="Arial" w:hAnsi="Arial"/>
          <w:sz w:val="17"/>
          <w:szCs w:val="17"/>
          <w:color w:val="auto"/>
        </w:rPr>
        <w:t>If to the Company, to the Chief Executive Officer of the Company at the Company’s headquarters,</w:t>
      </w:r>
    </w:p>
    <w:p>
      <w:pPr>
        <w:spacing w:after="0" w:line="105" w:lineRule="exact"/>
        <w:rPr>
          <w:rFonts w:ascii="Arial" w:cs="Arial" w:eastAsia="Arial" w:hAnsi="Arial"/>
          <w:sz w:val="17"/>
          <w:szCs w:val="17"/>
          <w:color w:val="auto"/>
        </w:rPr>
      </w:pPr>
    </w:p>
    <w:p>
      <w:pPr>
        <w:ind w:left="1057" w:hanging="255"/>
        <w:spacing w:after="0"/>
        <w:tabs>
          <w:tab w:leader="none" w:pos="1057" w:val="left"/>
        </w:tabs>
        <w:numPr>
          <w:ilvl w:val="2"/>
          <w:numId w:val="415"/>
        </w:numPr>
        <w:rPr>
          <w:rFonts w:ascii="Arial" w:cs="Arial" w:eastAsia="Arial" w:hAnsi="Arial"/>
          <w:sz w:val="17"/>
          <w:szCs w:val="17"/>
          <w:color w:val="auto"/>
        </w:rPr>
      </w:pPr>
      <w:r>
        <w:rPr>
          <w:rFonts w:ascii="Arial" w:cs="Arial" w:eastAsia="Arial" w:hAnsi="Arial"/>
          <w:sz w:val="17"/>
          <w:szCs w:val="17"/>
          <w:color w:val="auto"/>
        </w:rPr>
        <w:t>If to Executive, to the last address that the Company has in its personnel records for Executive, or</w:t>
      </w:r>
    </w:p>
    <w:p>
      <w:pPr>
        <w:spacing w:after="0" w:line="105" w:lineRule="exact"/>
        <w:rPr>
          <w:rFonts w:ascii="Arial" w:cs="Arial" w:eastAsia="Arial" w:hAnsi="Arial"/>
          <w:sz w:val="17"/>
          <w:szCs w:val="17"/>
          <w:color w:val="auto"/>
        </w:rPr>
      </w:pPr>
    </w:p>
    <w:p>
      <w:pPr>
        <w:ind w:left="1097" w:hanging="295"/>
        <w:spacing w:after="0"/>
        <w:tabs>
          <w:tab w:leader="none" w:pos="1097" w:val="left"/>
        </w:tabs>
        <w:numPr>
          <w:ilvl w:val="2"/>
          <w:numId w:val="415"/>
        </w:numPr>
        <w:rPr>
          <w:rFonts w:ascii="Arial" w:cs="Arial" w:eastAsia="Arial" w:hAnsi="Arial"/>
          <w:sz w:val="17"/>
          <w:szCs w:val="17"/>
          <w:color w:val="auto"/>
        </w:rPr>
      </w:pPr>
      <w:r>
        <w:rPr>
          <w:rFonts w:ascii="Arial" w:cs="Arial" w:eastAsia="Arial" w:hAnsi="Arial"/>
          <w:sz w:val="17"/>
          <w:szCs w:val="17"/>
          <w:color w:val="auto"/>
        </w:rPr>
        <w:t>At any other address as any Party shall have specified by notice in writing to the other Party.</w:t>
      </w:r>
    </w:p>
    <w:p>
      <w:pPr>
        <w:spacing w:after="0" w:line="105" w:lineRule="exact"/>
        <w:rPr>
          <w:rFonts w:ascii="Arial" w:cs="Arial" w:eastAsia="Arial" w:hAnsi="Arial"/>
          <w:sz w:val="17"/>
          <w:szCs w:val="17"/>
          <w:color w:val="auto"/>
        </w:rPr>
      </w:pPr>
    </w:p>
    <w:p>
      <w:pPr>
        <w:ind w:left="-3" w:right="420" w:firstLine="412"/>
        <w:spacing w:after="0" w:line="335" w:lineRule="auto"/>
        <w:tabs>
          <w:tab w:leader="none" w:pos="644" w:val="left"/>
        </w:tabs>
        <w:numPr>
          <w:ilvl w:val="1"/>
          <w:numId w:val="415"/>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20" w:lineRule="exact"/>
        <w:rPr>
          <w:rFonts w:ascii="Arial" w:cs="Arial" w:eastAsia="Arial" w:hAnsi="Arial"/>
          <w:sz w:val="15"/>
          <w:szCs w:val="15"/>
          <w:color w:val="auto"/>
        </w:rPr>
      </w:pPr>
    </w:p>
    <w:p>
      <w:pPr>
        <w:ind w:left="-3" w:right="140" w:firstLine="412"/>
        <w:spacing w:after="0" w:line="293" w:lineRule="auto"/>
        <w:tabs>
          <w:tab w:leader="none" w:pos="634" w:val="left"/>
        </w:tabs>
        <w:numPr>
          <w:ilvl w:val="1"/>
          <w:numId w:val="415"/>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The terms of this Agreement, and the Restrictive Covenant Agreement incorporated herein by reference as set forth in </w:t>
      </w:r>
      <w:r>
        <w:rPr>
          <w:rFonts w:ascii="Arial" w:cs="Arial" w:eastAsia="Arial" w:hAnsi="Arial"/>
          <w:sz w:val="15"/>
          <w:szCs w:val="15"/>
          <w:u w:val="single" w:color="auto"/>
          <w:color w:val="auto"/>
        </w:rPr>
        <w:t>Section 5</w:t>
      </w:r>
      <w:r>
        <w:rPr>
          <w:rFonts w:ascii="Arial" w:cs="Arial" w:eastAsia="Arial" w:hAnsi="Arial"/>
          <w:sz w:val="15"/>
          <w:szCs w:val="15"/>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51" w:lineRule="exact"/>
        <w:rPr>
          <w:rFonts w:ascii="Arial" w:cs="Arial" w:eastAsia="Arial" w:hAnsi="Arial"/>
          <w:sz w:val="15"/>
          <w:szCs w:val="15"/>
          <w:color w:val="auto"/>
        </w:rPr>
      </w:pPr>
    </w:p>
    <w:p>
      <w:pPr>
        <w:ind w:left="-3" w:right="20" w:firstLine="412"/>
        <w:spacing w:after="0" w:line="250" w:lineRule="auto"/>
        <w:tabs>
          <w:tab w:leader="none" w:pos="616"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21"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37"/>
          </w:cols>
          <w:pgMar w:left="823" w:top="260" w:right="839" w:bottom="1440" w:gutter="0" w:footer="0" w:header="0"/>
        </w:sectPr>
      </w:pPr>
    </w:p>
    <w:bookmarkStart w:id="467" w:name="page468"/>
    <w:bookmarkEnd w:id="467"/>
    <w:p>
      <w:pPr>
        <w:ind w:right="40" w:firstLine="412"/>
        <w:spacing w:after="0" w:line="266" w:lineRule="auto"/>
        <w:tabs>
          <w:tab w:leader="none" w:pos="646"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Construction</w:t>
      </w:r>
      <w:r>
        <w:rPr>
          <w:rFonts w:ascii="Arial" w:cs="Arial" w:eastAsia="Arial" w:hAnsi="Arial"/>
          <w:sz w:val="16"/>
          <w:szCs w:val="16"/>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72" w:lineRule="exact"/>
        <w:rPr>
          <w:rFonts w:ascii="Arial" w:cs="Arial" w:eastAsia="Arial" w:hAnsi="Arial"/>
          <w:sz w:val="16"/>
          <w:szCs w:val="16"/>
          <w:color w:val="auto"/>
        </w:rPr>
      </w:pPr>
    </w:p>
    <w:p>
      <w:pPr>
        <w:ind w:firstLine="412"/>
        <w:spacing w:after="0" w:line="264" w:lineRule="auto"/>
        <w:tabs>
          <w:tab w:leader="none" w:pos="646"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74" w:lineRule="exact"/>
        <w:rPr>
          <w:rFonts w:ascii="Arial" w:cs="Arial" w:eastAsia="Arial" w:hAnsi="Arial"/>
          <w:sz w:val="16"/>
          <w:szCs w:val="16"/>
          <w:color w:val="auto"/>
        </w:rPr>
      </w:pPr>
    </w:p>
    <w:p>
      <w:pPr>
        <w:ind w:right="60" w:firstLine="412"/>
        <w:spacing w:after="0" w:line="269" w:lineRule="auto"/>
        <w:tabs>
          <w:tab w:leader="none" w:pos="609"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40"/>
          </w:cols>
          <w:pgMar w:left="820" w:top="264" w:right="839" w:bottom="1440" w:gutter="0" w:footer="0" w:header="0"/>
        </w:sectPr>
      </w:pPr>
    </w:p>
    <w:bookmarkStart w:id="468" w:name="page469"/>
    <w:bookmarkEnd w:id="468"/>
    <w:p>
      <w:pPr>
        <w:ind w:right="80" w:firstLine="412"/>
        <w:spacing w:after="0" w:line="257" w:lineRule="auto"/>
        <w:tabs>
          <w:tab w:leader="none" w:pos="609"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Withholding</w:t>
      </w:r>
      <w:r>
        <w:rPr>
          <w:rFonts w:ascii="Arial" w:cs="Arial" w:eastAsia="Arial" w:hAnsi="Arial"/>
          <w:sz w:val="17"/>
          <w:szCs w:val="17"/>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74" w:lineRule="exact"/>
        <w:rPr>
          <w:rFonts w:ascii="Arial" w:cs="Arial" w:eastAsia="Arial" w:hAnsi="Arial"/>
          <w:sz w:val="17"/>
          <w:szCs w:val="17"/>
          <w:color w:val="auto"/>
        </w:rPr>
      </w:pPr>
    </w:p>
    <w:p>
      <w:pPr>
        <w:ind w:left="640" w:hanging="228"/>
        <w:spacing w:after="0"/>
        <w:tabs>
          <w:tab w:leader="none" w:pos="640"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420" w:right="160" w:firstLine="385"/>
        <w:spacing w:after="0" w:line="299" w:lineRule="auto"/>
        <w:tabs>
          <w:tab w:leader="none" w:pos="1013" w:val="left"/>
        </w:tabs>
        <w:numPr>
          <w:ilvl w:val="1"/>
          <w:numId w:val="417"/>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intent of the Parties is that the payments and benefits under this Agreement comply with or be exempt from Section 409A</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accordingly, to the maximum extent permitted, this Agreement shall be interpreted to be in compliance therewith.</w:t>
      </w:r>
    </w:p>
    <w:p>
      <w:pPr>
        <w:spacing w:after="0" w:line="43" w:lineRule="exact"/>
        <w:rPr>
          <w:rFonts w:ascii="Arial" w:cs="Arial" w:eastAsia="Arial" w:hAnsi="Arial"/>
          <w:sz w:val="16"/>
          <w:szCs w:val="16"/>
          <w:color w:val="auto"/>
        </w:rPr>
      </w:pPr>
    </w:p>
    <w:p>
      <w:pPr>
        <w:ind w:left="420" w:firstLine="385"/>
        <w:spacing w:after="0" w:line="288" w:lineRule="auto"/>
        <w:tabs>
          <w:tab w:leader="none" w:pos="1059" w:val="left"/>
        </w:tabs>
        <w:numPr>
          <w:ilvl w:val="1"/>
          <w:numId w:val="417"/>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that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57" w:lineRule="exact"/>
        <w:rPr>
          <w:rFonts w:ascii="Arial" w:cs="Arial" w:eastAsia="Arial" w:hAnsi="Arial"/>
          <w:sz w:val="15"/>
          <w:szCs w:val="15"/>
          <w:color w:val="auto"/>
        </w:rPr>
      </w:pPr>
    </w:p>
    <w:p>
      <w:pPr>
        <w:ind w:left="420" w:right="60" w:firstLine="385"/>
        <w:spacing w:after="0" w:line="285" w:lineRule="auto"/>
        <w:tabs>
          <w:tab w:leader="none" w:pos="1106" w:val="left"/>
        </w:tabs>
        <w:numPr>
          <w:ilvl w:val="1"/>
          <w:numId w:val="417"/>
        </w:numPr>
        <w:rPr>
          <w:rFonts w:ascii="Arial" w:cs="Arial" w:eastAsia="Arial" w:hAnsi="Arial"/>
          <w:sz w:val="15"/>
          <w:szCs w:val="15"/>
          <w:color w:val="auto"/>
        </w:rPr>
      </w:pPr>
      <w:r>
        <w:rPr>
          <w:rFonts w:ascii="Arial" w:cs="Arial" w:eastAsia="Arial" w:hAnsi="Arial"/>
          <w:sz w:val="15"/>
          <w:szCs w:val="15"/>
          <w:i w:val="1"/>
          <w:iCs w:val="1"/>
          <w:color w:val="auto"/>
        </w:rPr>
        <w:t xml:space="preserve">Specified Employee. </w:t>
      </w:r>
      <w:r>
        <w:rPr>
          <w:rFonts w:ascii="Arial" w:cs="Arial" w:eastAsia="Arial" w:hAnsi="Arial"/>
          <w:sz w:val="15"/>
          <w:szCs w:val="15"/>
          <w:color w:val="auto"/>
        </w:rPr>
        <w:t>Notwithstanding anything in this Agreement to the contrary, if Executive is deemed by the Company at the time of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Executive’s Separation from Service to be a “specified employee” for purposes of Section 409A, to the extent delayed commencement of any portion of the benefits to which Executive is entitled under this Agreement is required in order to avoid a prohibited distribution under</w:t>
      </w:r>
    </w:p>
    <w:p>
      <w:pPr>
        <w:ind w:left="420" w:right="20"/>
        <w:spacing w:after="0" w:line="248" w:lineRule="auto"/>
        <w:rPr>
          <w:rFonts w:ascii="Arial" w:cs="Arial" w:eastAsia="Arial" w:hAnsi="Arial"/>
          <w:sz w:val="15"/>
          <w:szCs w:val="15"/>
          <w:color w:val="auto"/>
        </w:rPr>
      </w:pPr>
      <w:r>
        <w:rPr>
          <w:rFonts w:ascii="Arial" w:cs="Arial" w:eastAsia="Arial" w:hAnsi="Arial"/>
          <w:sz w:val="17"/>
          <w:szCs w:val="17"/>
          <w:color w:val="auto"/>
        </w:rPr>
        <w:t>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82" w:lineRule="exact"/>
        <w:rPr>
          <w:rFonts w:ascii="Arial" w:cs="Arial" w:eastAsia="Arial" w:hAnsi="Arial"/>
          <w:sz w:val="15"/>
          <w:szCs w:val="15"/>
          <w:color w:val="auto"/>
        </w:rPr>
      </w:pPr>
    </w:p>
    <w:p>
      <w:pPr>
        <w:ind w:left="420" w:right="100" w:firstLine="385"/>
        <w:spacing w:after="0" w:line="250" w:lineRule="auto"/>
        <w:tabs>
          <w:tab w:leader="none" w:pos="1097" w:val="left"/>
        </w:tabs>
        <w:numPr>
          <w:ilvl w:val="1"/>
          <w:numId w:val="417"/>
        </w:numPr>
        <w:rPr>
          <w:rFonts w:ascii="Arial" w:cs="Arial" w:eastAsia="Arial" w:hAnsi="Arial"/>
          <w:sz w:val="17"/>
          <w:szCs w:val="17"/>
          <w:color w:val="auto"/>
        </w:rPr>
      </w:pPr>
      <w:r>
        <w:rPr>
          <w:rFonts w:ascii="Arial" w:cs="Arial" w:eastAsia="Arial" w:hAnsi="Arial"/>
          <w:sz w:val="17"/>
          <w:szCs w:val="17"/>
          <w:i w:val="1"/>
          <w:iCs w:val="1"/>
          <w:color w:val="auto"/>
        </w:rPr>
        <w:t xml:space="preserve">Expense Reimbursements. </w:t>
      </w:r>
      <w:r>
        <w:rPr>
          <w:rFonts w:ascii="Arial" w:cs="Arial" w:eastAsia="Arial" w:hAnsi="Arial"/>
          <w:sz w:val="17"/>
          <w:szCs w:val="17"/>
          <w:color w:val="auto"/>
        </w:rPr>
        <w:t>To the extent that any reimbursements under this Agreement are subject to Section 409A, any such</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reimbursements payable to Executive shall be paid to Executive no later than December 31 of the year following the year in which the expense was incurred. The Executive will submit Executive’s reimbursement request promptly following the date the expense is incurred, and the amount of expenses reimbursed in one year shall not affect the amount eligible for reimbursement in any subsequent year, other than medical expenses referred to in Section 105(b) of the Code. Executive’s right to reimbursement under this Agreement will not be subject to liquidation or exchange for another benefit.</w:t>
      </w:r>
    </w:p>
    <w:p>
      <w:pPr>
        <w:spacing w:after="0" w:line="83" w:lineRule="exact"/>
        <w:rPr>
          <w:rFonts w:ascii="Arial" w:cs="Arial" w:eastAsia="Arial" w:hAnsi="Arial"/>
          <w:sz w:val="17"/>
          <w:szCs w:val="17"/>
          <w:color w:val="auto"/>
        </w:rPr>
      </w:pPr>
    </w:p>
    <w:p>
      <w:pPr>
        <w:ind w:left="420" w:right="100" w:firstLine="385"/>
        <w:spacing w:after="0" w:line="271" w:lineRule="auto"/>
        <w:tabs>
          <w:tab w:leader="none" w:pos="1050" w:val="left"/>
        </w:tabs>
        <w:numPr>
          <w:ilvl w:val="1"/>
          <w:numId w:val="417"/>
        </w:numPr>
        <w:rPr>
          <w:rFonts w:ascii="Arial" w:cs="Arial" w:eastAsia="Arial" w:hAnsi="Arial"/>
          <w:sz w:val="16"/>
          <w:szCs w:val="16"/>
          <w:color w:val="auto"/>
        </w:rPr>
      </w:pPr>
      <w:r>
        <w:rPr>
          <w:rFonts w:ascii="Arial" w:cs="Arial" w:eastAsia="Arial" w:hAnsi="Arial"/>
          <w:sz w:val="16"/>
          <w:szCs w:val="16"/>
          <w:i w:val="1"/>
          <w:iCs w:val="1"/>
          <w:color w:val="auto"/>
        </w:rPr>
        <w:t xml:space="preserve">Installments. </w:t>
      </w:r>
      <w:r>
        <w:rPr>
          <w:rFonts w:ascii="Arial" w:cs="Arial" w:eastAsia="Arial" w:hAnsi="Arial"/>
          <w:sz w:val="16"/>
          <w:szCs w:val="16"/>
          <w:color w:val="auto"/>
        </w:rPr>
        <w:t>Executive’s right to receive any installment payments under this Agreement, including without limitation any continuation</w:t>
      </w:r>
      <w:r>
        <w:rPr>
          <w:rFonts w:ascii="Arial" w:cs="Arial" w:eastAsia="Arial" w:hAnsi="Arial"/>
          <w:sz w:val="16"/>
          <w:szCs w:val="16"/>
          <w:i w:val="1"/>
          <w:iCs w:val="1"/>
          <w:color w:val="auto"/>
        </w:rPr>
        <w:t xml:space="preserve"> </w:t>
      </w:r>
      <w:r>
        <w:rPr>
          <w:rFonts w:ascii="Arial" w:cs="Arial" w:eastAsia="Arial" w:hAnsi="Arial"/>
          <w:sz w:val="16"/>
          <w:szCs w:val="16"/>
          <w:color w:val="auto"/>
        </w:rPr>
        <w:t>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40"/>
          </w:cols>
          <w:pgMar w:left="820" w:top="265" w:right="839" w:bottom="1440" w:gutter="0" w:footer="0" w:header="0"/>
        </w:sectPr>
      </w:pPr>
    </w:p>
    <w:bookmarkStart w:id="469" w:name="page470"/>
    <w:bookmarkEnd w:id="469"/>
    <w:p>
      <w:pPr>
        <w:ind w:left="260" w:hanging="257"/>
        <w:spacing w:after="0"/>
        <w:tabs>
          <w:tab w:leader="none" w:pos="260" w:val="left"/>
        </w:tabs>
        <w:numPr>
          <w:ilvl w:val="0"/>
          <w:numId w:val="4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Executive Acknowledgement</w:t>
      </w:r>
      <w:r>
        <w:rPr>
          <w:rFonts w:ascii="Arial" w:cs="Arial" w:eastAsia="Arial" w:hAnsi="Arial"/>
          <w:sz w:val="17"/>
          <w:szCs w:val="17"/>
          <w:b w:val="1"/>
          <w:bCs w:val="1"/>
          <w:color w:val="auto"/>
        </w:rPr>
        <w:t>.</w:t>
      </w:r>
    </w:p>
    <w:p>
      <w:pPr>
        <w:spacing w:after="0" w:line="110" w:lineRule="exact"/>
        <w:rPr>
          <w:sz w:val="20"/>
          <w:szCs w:val="20"/>
          <w:color w:val="auto"/>
        </w:rPr>
      </w:pPr>
    </w:p>
    <w:p>
      <w:pPr>
        <w:ind w:firstLine="409"/>
        <w:spacing w:after="0" w:line="257" w:lineRule="auto"/>
        <w:rPr>
          <w:sz w:val="20"/>
          <w:szCs w:val="20"/>
          <w:color w:val="auto"/>
        </w:rPr>
      </w:pPr>
      <w:r>
        <w:rPr>
          <w:rFonts w:ascii="Arial" w:cs="Arial" w:eastAsia="Arial" w:hAnsi="Arial"/>
          <w:sz w:val="17"/>
          <w:szCs w:val="17"/>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00"/>
          </w:cols>
          <w:pgMar w:left="820" w:top="261" w:right="879" w:bottom="1440" w:gutter="0" w:footer="0" w:header="0"/>
        </w:sectPr>
      </w:pPr>
    </w:p>
    <w:bookmarkStart w:id="470" w:name="page471"/>
    <w:bookmarkEnd w:id="47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WITNESS WHEREOF, the Parties have executed this Agreement on the date first written above.</w:t>
      </w: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 /s/ Maria Palasis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11430</wp:posOffset>
            </wp:positionV>
            <wp:extent cx="241490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7">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7"/>
          <w:szCs w:val="17"/>
          <w:color w:val="auto"/>
        </w:rPr>
        <w:t>Name: Maria Palasis</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Title: President and Chief Executive Officer</w:t>
      </w:r>
    </w:p>
    <w:p>
      <w:pPr>
        <w:spacing w:after="0" w:line="213"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EXECUTIVE</w:t>
      </w: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Don 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11430</wp:posOffset>
            </wp:positionV>
            <wp:extent cx="25984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8">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Don Elsey</w:t>
      </w: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7"/>
          <w:szCs w:val="17"/>
          <w:i w:val="1"/>
          <w:iCs w:val="1"/>
          <w:color w:val="auto"/>
        </w:rPr>
        <w:t>[Signature Page to Employment Agreement]</w:t>
      </w:r>
    </w:p>
    <w:p>
      <w:pPr>
        <w:sectPr>
          <w:pgSz w:w="11900" w:h="16838" w:orient="portrait"/>
          <w:cols w:equalWidth="0" w:num="1">
            <w:col w:w="9219"/>
          </w:cols>
          <w:pgMar w:left="1240" w:top="265" w:right="1440" w:bottom="1440" w:gutter="0" w:footer="0" w:header="0"/>
        </w:sectPr>
      </w:pPr>
    </w:p>
    <w:bookmarkStart w:id="471" w:name="page472"/>
    <w:bookmarkEnd w:id="47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Separation Agreement and Release</w:t>
      </w:r>
    </w:p>
    <w:p>
      <w:pPr>
        <w:spacing w:after="0" w:line="210" w:lineRule="exact"/>
        <w:rPr>
          <w:sz w:val="20"/>
          <w:szCs w:val="20"/>
          <w:color w:val="auto"/>
        </w:rPr>
      </w:pPr>
    </w:p>
    <w:p>
      <w:pPr>
        <w:ind w:right="340" w:firstLine="409"/>
        <w:spacing w:after="0" w:line="257" w:lineRule="auto"/>
        <w:rPr>
          <w:sz w:val="20"/>
          <w:szCs w:val="20"/>
          <w:color w:val="auto"/>
        </w:rPr>
      </w:pPr>
      <w:r>
        <w:rPr>
          <w:rFonts w:ascii="Arial" w:cs="Arial" w:eastAsia="Arial" w:hAnsi="Arial"/>
          <w:sz w:val="17"/>
          <w:szCs w:val="17"/>
          <w:color w:val="auto"/>
        </w:rPr>
        <w:t>This Separation Agreement and Release ( this “</w:t>
      </w:r>
      <w:r>
        <w:rPr>
          <w:rFonts w:ascii="Arial" w:cs="Arial" w:eastAsia="Arial" w:hAnsi="Arial"/>
          <w:sz w:val="17"/>
          <w:szCs w:val="17"/>
          <w:u w:val="single" w:color="auto"/>
          <w:color w:val="auto"/>
        </w:rPr>
        <w:t>Release</w:t>
      </w:r>
      <w:r>
        <w:rPr>
          <w:rFonts w:ascii="Arial" w:cs="Arial" w:eastAsia="Arial" w:hAnsi="Arial"/>
          <w:sz w:val="17"/>
          <w:szCs w:val="17"/>
          <w:color w:val="auto"/>
        </w:rPr>
        <w:t>”) is made by and between Don Elsey (“</w:t>
      </w:r>
      <w:r>
        <w:rPr>
          <w:rFonts w:ascii="Arial" w:cs="Arial" w:eastAsia="Arial" w:hAnsi="Arial"/>
          <w:sz w:val="17"/>
          <w:szCs w:val="17"/>
          <w:u w:val="single" w:color="auto"/>
          <w:color w:val="auto"/>
        </w:rPr>
        <w:t>Executive</w:t>
      </w:r>
      <w:r>
        <w:rPr>
          <w:rFonts w:ascii="Arial" w:cs="Arial" w:eastAsia="Arial" w:hAnsi="Arial"/>
          <w:sz w:val="17"/>
          <w:szCs w:val="17"/>
          <w:color w:val="auto"/>
        </w:rPr>
        <w:t>”) and Lyra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(collectively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or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 Capitalized terms used but not defined in this Release shall have the meanings set forth in the Employment Agreement (as defined below).</w:t>
      </w:r>
    </w:p>
    <w:p>
      <w:pPr>
        <w:spacing w:after="0" w:line="175" w:lineRule="exact"/>
        <w:rPr>
          <w:sz w:val="20"/>
          <w:szCs w:val="20"/>
          <w:color w:val="auto"/>
        </w:rPr>
      </w:pPr>
    </w:p>
    <w:p>
      <w:pPr>
        <w:ind w:right="140" w:firstLine="409"/>
        <w:spacing w:after="0" w:line="257" w:lineRule="auto"/>
        <w:rPr>
          <w:sz w:val="20"/>
          <w:szCs w:val="20"/>
          <w:color w:val="auto"/>
        </w:rPr>
      </w:pPr>
      <w:r>
        <w:rPr>
          <w:rFonts w:ascii="Arial" w:cs="Arial" w:eastAsia="Arial" w:hAnsi="Arial"/>
          <w:sz w:val="17"/>
          <w:szCs w:val="17"/>
          <w:color w:val="auto"/>
        </w:rPr>
        <w:t>WHEREAS, the Parties have previously entered into that certain Employment Agreement, dated as of April 27, 2020 (the “</w:t>
      </w:r>
      <w:r>
        <w:rPr>
          <w:rFonts w:ascii="Arial" w:cs="Arial" w:eastAsia="Arial" w:hAnsi="Arial"/>
          <w:sz w:val="17"/>
          <w:szCs w:val="17"/>
          <w:u w:val="single" w:color="auto"/>
          <w:color w:val="auto"/>
        </w:rPr>
        <w:t>Employment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that certain Employee Non-Disclosure, Non-Competition, Non-Solicitation and Inventions Agreement, dated as of July 31, 2019 (the “</w:t>
      </w:r>
      <w:r>
        <w:rPr>
          <w:rFonts w:ascii="Arial" w:cs="Arial" w:eastAsia="Arial" w:hAnsi="Arial"/>
          <w:sz w:val="17"/>
          <w:szCs w:val="17"/>
          <w:u w:val="single" w:color="auto"/>
          <w:color w:val="auto"/>
        </w:rPr>
        <w:t>Restrictive Covenant Agreement</w:t>
      </w:r>
      <w:r>
        <w:rPr>
          <w:rFonts w:ascii="Arial" w:cs="Arial" w:eastAsia="Arial" w:hAnsi="Arial"/>
          <w:sz w:val="17"/>
          <w:szCs w:val="17"/>
          <w:color w:val="auto"/>
        </w:rPr>
        <w:t>”); and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WHEREAS, in connection with Executive’s termination of employment with the Company or a subsidiary or affiliate of the Company effective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________, 20__, the Parties wish to resolve any and all disputes, claims, complaints, grievances, charges, actions, petitions and demands that Executive</w:t>
      </w:r>
    </w:p>
    <w:p>
      <w:pPr>
        <w:spacing w:after="0" w:line="28"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Arial" w:cs="Arial" w:eastAsia="Arial" w:hAnsi="Arial"/>
          <w:sz w:val="15"/>
          <w:szCs w:val="15"/>
          <w:u w:val="single" w:color="auto"/>
          <w:color w:val="auto"/>
        </w:rPr>
        <w:t>Retained Claims</w:t>
      </w:r>
      <w:r>
        <w:rPr>
          <w:rFonts w:ascii="Arial" w:cs="Arial" w:eastAsia="Arial" w:hAnsi="Arial"/>
          <w:sz w:val="15"/>
          <w:szCs w:val="15"/>
          <w:color w:val="auto"/>
        </w:rPr>
        <w:t>”).</w:t>
      </w:r>
    </w:p>
    <w:p>
      <w:pPr>
        <w:spacing w:after="0" w:line="153" w:lineRule="exact"/>
        <w:rPr>
          <w:sz w:val="20"/>
          <w:szCs w:val="20"/>
          <w:color w:val="auto"/>
        </w:rPr>
      </w:pPr>
    </w:p>
    <w:p>
      <w:pPr>
        <w:jc w:val="both"/>
        <w:ind w:right="400" w:firstLine="409"/>
        <w:spacing w:after="0" w:line="257" w:lineRule="auto"/>
        <w:rPr>
          <w:sz w:val="20"/>
          <w:szCs w:val="20"/>
          <w:color w:val="auto"/>
        </w:rPr>
      </w:pPr>
      <w:r>
        <w:rPr>
          <w:rFonts w:ascii="Arial" w:cs="Arial" w:eastAsia="Arial" w:hAnsi="Arial"/>
          <w:sz w:val="17"/>
          <w:szCs w:val="17"/>
          <w:color w:val="auto"/>
        </w:rPr>
        <w:t>NOW, THEREFORE, in consideration of the severance payments and benefits described in Section 4 of the Employment Agreement, which, pursuant to the Employment Agreement, are conditioned on Executive’s execution and non-revocation of this Release, and in consideration of the mutual promises made herein, the Company and Executive hereby agree as follows:</w:t>
      </w:r>
    </w:p>
    <w:p>
      <w:pPr>
        <w:spacing w:after="0" w:line="75" w:lineRule="exact"/>
        <w:rPr>
          <w:sz w:val="20"/>
          <w:szCs w:val="20"/>
          <w:color w:val="auto"/>
        </w:rPr>
      </w:pPr>
    </w:p>
    <w:p>
      <w:pPr>
        <w:ind w:right="240" w:firstLine="412"/>
        <w:spacing w:after="0" w:line="250" w:lineRule="auto"/>
        <w:tabs>
          <w:tab w:leader="none" w:pos="577"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Severance Payments and Benefits; Salary and Benefits</w:t>
      </w:r>
      <w:r>
        <w:rPr>
          <w:rFonts w:ascii="Arial" w:cs="Arial" w:eastAsia="Arial" w:hAnsi="Arial"/>
          <w:sz w:val="17"/>
          <w:szCs w:val="17"/>
          <w:color w:val="auto"/>
        </w:rPr>
        <w:t>.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 The severance payments and benefits described in Section [4(b)][4(c)] of the Employment Agreement shall be provided in lieu of any Garden Leave payment (as such term is used in the Restrictive Covenants Agreement) and Executive will not be eligible to receive any Garden Leave payment.</w:t>
      </w:r>
    </w:p>
    <w:p>
      <w:pPr>
        <w:spacing w:after="0" w:line="80" w:lineRule="exact"/>
        <w:rPr>
          <w:rFonts w:ascii="Arial" w:cs="Arial" w:eastAsia="Arial" w:hAnsi="Arial"/>
          <w:sz w:val="17"/>
          <w:szCs w:val="17"/>
          <w:color w:val="auto"/>
        </w:rPr>
      </w:pPr>
    </w:p>
    <w:p>
      <w:pPr>
        <w:ind w:right="120" w:firstLine="412"/>
        <w:spacing w:after="0" w:line="269" w:lineRule="auto"/>
        <w:tabs>
          <w:tab w:leader="none" w:pos="577"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subsidiaries, predecessor and successor corporations and assigns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Executive, on Executive’s own behalf and on behalf of any of Executive’s affiliated companies or entities and any of their respective heirs, family members, executors, agents and assigns, other than with respect to the</w:t>
      </w:r>
    </w:p>
    <w:p>
      <w:pPr>
        <w:sectPr>
          <w:pgSz w:w="11900" w:h="16838" w:orient="portrait"/>
          <w:cols w:equalWidth="0" w:num="1">
            <w:col w:w="10240"/>
          </w:cols>
          <w:pgMar w:left="820" w:top="261" w:right="839" w:bottom="1440" w:gutter="0" w:footer="0" w:header="0"/>
        </w:sectPr>
      </w:pPr>
    </w:p>
    <w:bookmarkStart w:id="472" w:name="page473"/>
    <w:bookmarkEnd w:id="472"/>
    <w:p>
      <w:pPr>
        <w:ind w:right="4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Release, including, without limitation:</w:t>
      </w:r>
    </w:p>
    <w:p>
      <w:pPr>
        <w:spacing w:after="0" w:line="64" w:lineRule="exact"/>
        <w:rPr>
          <w:sz w:val="20"/>
          <w:szCs w:val="20"/>
          <w:color w:val="auto"/>
        </w:rPr>
      </w:pPr>
    </w:p>
    <w:p>
      <w:pPr>
        <w:ind w:right="140" w:firstLine="924"/>
        <w:spacing w:after="0" w:line="268" w:lineRule="auto"/>
        <w:tabs>
          <w:tab w:leader="none" w:pos="1149"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or service relationship with the Company or any of its direct or indirect subsidiaries or affiliates and the termination of that relationship;</w:t>
      </w:r>
    </w:p>
    <w:p>
      <w:pPr>
        <w:spacing w:after="0" w:line="65" w:lineRule="exact"/>
        <w:rPr>
          <w:rFonts w:ascii="Arial" w:cs="Arial" w:eastAsia="Arial" w:hAnsi="Arial"/>
          <w:sz w:val="17"/>
          <w:szCs w:val="17"/>
          <w:color w:val="auto"/>
        </w:rPr>
      </w:pPr>
    </w:p>
    <w:p>
      <w:pPr>
        <w:jc w:val="both"/>
        <w:ind w:right="160" w:firstLine="924"/>
        <w:spacing w:after="0" w:line="257" w:lineRule="auto"/>
        <w:tabs>
          <w:tab w:leader="none" w:pos="1159"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74" w:lineRule="exact"/>
        <w:rPr>
          <w:rFonts w:ascii="Arial" w:cs="Arial" w:eastAsia="Arial" w:hAnsi="Arial"/>
          <w:sz w:val="17"/>
          <w:szCs w:val="17"/>
          <w:color w:val="auto"/>
        </w:rPr>
      </w:pPr>
    </w:p>
    <w:p>
      <w:pPr>
        <w:ind w:right="120" w:firstLine="924"/>
        <w:spacing w:after="0" w:line="271" w:lineRule="auto"/>
        <w:tabs>
          <w:tab w:leader="none" w:pos="1149" w:val="left"/>
        </w:tabs>
        <w:numPr>
          <w:ilvl w:val="0"/>
          <w:numId w:val="420"/>
        </w:numPr>
        <w:rPr>
          <w:rFonts w:ascii="Arial" w:cs="Arial" w:eastAsia="Arial" w:hAnsi="Arial"/>
          <w:sz w:val="16"/>
          <w:szCs w:val="16"/>
          <w:color w:val="auto"/>
        </w:rPr>
      </w:pPr>
      <w:r>
        <w:rPr>
          <w:rFonts w:ascii="Arial" w:cs="Arial" w:eastAsia="Arial" w:hAnsi="Arial"/>
          <w:sz w:val="16"/>
          <w:szCs w:val="16"/>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65" w:lineRule="exact"/>
        <w:rPr>
          <w:rFonts w:ascii="Arial" w:cs="Arial" w:eastAsia="Arial" w:hAnsi="Arial"/>
          <w:sz w:val="16"/>
          <w:szCs w:val="16"/>
          <w:color w:val="auto"/>
        </w:rPr>
      </w:pPr>
    </w:p>
    <w:p>
      <w:pPr>
        <w:ind w:firstLine="924"/>
        <w:spacing w:after="0" w:line="288" w:lineRule="auto"/>
        <w:tabs>
          <w:tab w:leader="none" w:pos="1159" w:val="left"/>
        </w:tabs>
        <w:numPr>
          <w:ilvl w:val="0"/>
          <w:numId w:val="420"/>
        </w:numPr>
        <w:rPr>
          <w:rFonts w:ascii="Arial" w:cs="Arial" w:eastAsia="Arial" w:hAnsi="Arial"/>
          <w:sz w:val="15"/>
          <w:szCs w:val="15"/>
          <w:color w:val="auto"/>
        </w:rPr>
      </w:pPr>
      <w:r>
        <w:rPr>
          <w:rFonts w:ascii="Arial" w:cs="Arial" w:eastAsia="Arial" w:hAnsi="Arial"/>
          <w:sz w:val="15"/>
          <w:szCs w:val="15"/>
          <w:color w:val="auto"/>
        </w:rPr>
        <w:t xml:space="preserv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Massachusetts Fair Employment Practices Act, M.G.L. c. 151B, § 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Massachusetts Civil Rights Act, M.G.L. c. 12, §§ IIH and 111; the Massachusetts Equal Rights Act, M.G.L. c. 93, § 102 and M.G.L. c. 214, § IC; the Massachusetts Labor and Industries Act, M.G.L. c. 149, § 1 </w:t>
      </w:r>
      <w:r>
        <w:rPr>
          <w:rFonts w:ascii="Arial" w:cs="Arial" w:eastAsia="Arial" w:hAnsi="Arial"/>
          <w:sz w:val="15"/>
          <w:szCs w:val="15"/>
          <w:u w:val="single" w:color="auto"/>
          <w:color w:val="auto"/>
        </w:rPr>
        <w:t>et seq</w:t>
      </w:r>
      <w:r>
        <w:rPr>
          <w:rFonts w:ascii="Arial" w:cs="Arial" w:eastAsia="Arial" w:hAnsi="Arial"/>
          <w:sz w:val="15"/>
          <w:szCs w:val="15"/>
          <w:color w:val="auto"/>
        </w:rPr>
        <w:t>.; the Massachusetts Privacy Act, M.G.L. c. 214, § 1B; and the Massachusetts Maternity Leave Act, M.G.L. c. 49, § 105D;</w:t>
      </w:r>
    </w:p>
    <w:p>
      <w:pPr>
        <w:spacing w:after="0" w:line="57" w:lineRule="exact"/>
        <w:rPr>
          <w:rFonts w:ascii="Arial" w:cs="Arial" w:eastAsia="Arial" w:hAnsi="Arial"/>
          <w:sz w:val="15"/>
          <w:szCs w:val="15"/>
          <w:color w:val="auto"/>
        </w:rPr>
      </w:pPr>
    </w:p>
    <w:p>
      <w:pPr>
        <w:ind w:left="1160" w:hanging="236"/>
        <w:spacing w:after="0"/>
        <w:tabs>
          <w:tab w:leader="none" w:pos="11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105" w:lineRule="exact"/>
        <w:rPr>
          <w:rFonts w:ascii="Arial" w:cs="Arial" w:eastAsia="Arial" w:hAnsi="Arial"/>
          <w:sz w:val="17"/>
          <w:szCs w:val="17"/>
          <w:color w:val="auto"/>
        </w:rPr>
      </w:pPr>
    </w:p>
    <w:p>
      <w:pPr>
        <w:ind w:left="1140" w:hanging="216"/>
        <w:spacing w:after="0"/>
        <w:tabs>
          <w:tab w:leader="none" w:pos="114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105" w:lineRule="exact"/>
        <w:rPr>
          <w:rFonts w:ascii="Arial" w:cs="Arial" w:eastAsia="Arial" w:hAnsi="Arial"/>
          <w:sz w:val="17"/>
          <w:szCs w:val="17"/>
          <w:color w:val="auto"/>
        </w:rPr>
      </w:pPr>
    </w:p>
    <w:p>
      <w:pPr>
        <w:ind w:right="20" w:firstLine="924"/>
        <w:spacing w:after="0" w:line="268" w:lineRule="auto"/>
        <w:tabs>
          <w:tab w:leader="none" w:pos="1159"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Release;</w:t>
      </w:r>
    </w:p>
    <w:p>
      <w:pPr>
        <w:spacing w:after="0" w:line="65" w:lineRule="exact"/>
        <w:rPr>
          <w:rFonts w:ascii="Arial" w:cs="Arial" w:eastAsia="Arial" w:hAnsi="Arial"/>
          <w:sz w:val="17"/>
          <w:szCs w:val="17"/>
          <w:color w:val="auto"/>
        </w:rPr>
      </w:pPr>
    </w:p>
    <w:p>
      <w:pPr>
        <w:ind w:right="180" w:firstLine="924"/>
        <w:spacing w:after="0" w:line="335" w:lineRule="auto"/>
        <w:tabs>
          <w:tab w:leader="none" w:pos="1159" w:val="left"/>
        </w:tabs>
        <w:numPr>
          <w:ilvl w:val="0"/>
          <w:numId w:val="420"/>
        </w:numPr>
        <w:rPr>
          <w:rFonts w:ascii="Arial" w:cs="Arial" w:eastAsia="Arial" w:hAnsi="Arial"/>
          <w:sz w:val="15"/>
          <w:szCs w:val="15"/>
          <w:color w:val="auto"/>
        </w:rPr>
      </w:pPr>
      <w:r>
        <w:rPr>
          <w:rFonts w:ascii="Arial" w:cs="Arial" w:eastAsia="Arial" w:hAnsi="Arial"/>
          <w:sz w:val="15"/>
          <w:szCs w:val="15"/>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20" w:lineRule="exact"/>
        <w:rPr>
          <w:rFonts w:ascii="Arial" w:cs="Arial" w:eastAsia="Arial" w:hAnsi="Arial"/>
          <w:sz w:val="15"/>
          <w:szCs w:val="15"/>
          <w:color w:val="auto"/>
        </w:rPr>
      </w:pPr>
    </w:p>
    <w:p>
      <w:pPr>
        <w:ind w:left="1120" w:hanging="196"/>
        <w:spacing w:after="0"/>
        <w:tabs>
          <w:tab w:leader="none" w:pos="11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240"/>
          </w:cols>
          <w:pgMar w:left="820" w:top="265" w:right="839" w:bottom="1440" w:gutter="0" w:footer="0" w:header="0"/>
        </w:sectPr>
      </w:pPr>
    </w:p>
    <w:bookmarkStart w:id="473" w:name="page474"/>
    <w:bookmarkEnd w:id="473"/>
    <w:p>
      <w:pPr>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the Consolidated Omnibus Budget Reconciliation Act of 1985, as amended,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spacing w:after="0" w:line="58" w:lineRule="exact"/>
        <w:rPr>
          <w:sz w:val="20"/>
          <w:szCs w:val="20"/>
          <w:color w:val="auto"/>
        </w:rPr>
      </w:pPr>
    </w:p>
    <w:p>
      <w:pPr>
        <w:ind w:right="100" w:firstLine="412"/>
        <w:spacing w:after="0" w:line="284" w:lineRule="auto"/>
        <w:tabs>
          <w:tab w:leader="none" w:pos="577"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Executive understands and acknowledges that Executive is waiving and releasing any rights Executive may have under the Age Discrimination in Employment Act of 1967 (“</w:t>
      </w:r>
      <w:r>
        <w:rPr>
          <w:rFonts w:ascii="Arial" w:cs="Arial" w:eastAsia="Arial" w:hAnsi="Arial"/>
          <w:sz w:val="15"/>
          <w:szCs w:val="15"/>
          <w:u w:val="single" w:color="auto"/>
          <w:color w:val="auto"/>
        </w:rPr>
        <w:t>ADEA</w:t>
      </w:r>
      <w:r>
        <w:rPr>
          <w:rFonts w:ascii="Arial" w:cs="Arial" w:eastAsia="Arial" w:hAnsi="Arial"/>
          <w:sz w:val="15"/>
          <w:szCs w:val="15"/>
          <w:color w:val="auto"/>
        </w:rPr>
        <w:t>”), and that this waiver and release is knowing and voluntary. Executive understands and agrees that this waiver and release does not apply to any rights or claims that may arise under the ADEA after the date Executive signs this Release.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Release; (b) Executive has [twenty-one (21)][forty-five (45)] days within which to consider this Release, and the Parties agree that such time period to review this Release shall not be extended upon any material or immaterial changes to this Release; (c) Executive has seven (7) business days following Executive’s execution of this Release to revoke this Release pursuant to written notice to the General Counsel of the Company; (d) this Release shall not be effective until after the revocation period has expired;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[twenty-one (21)][forty-five (45)] day period identified above, Executive hereby acknowledges that Executive has freely and voluntarily chosen to waive the time period allotted for considering this Release.</w:t>
      </w:r>
    </w:p>
    <w:p>
      <w:pPr>
        <w:spacing w:after="0" w:line="57" w:lineRule="exact"/>
        <w:rPr>
          <w:rFonts w:ascii="Arial" w:cs="Arial" w:eastAsia="Arial" w:hAnsi="Arial"/>
          <w:sz w:val="15"/>
          <w:szCs w:val="15"/>
          <w:color w:val="auto"/>
        </w:rPr>
      </w:pPr>
    </w:p>
    <w:p>
      <w:pPr>
        <w:ind w:right="120" w:firstLine="412"/>
        <w:spacing w:after="0" w:line="268" w:lineRule="auto"/>
        <w:tabs>
          <w:tab w:leader="none" w:pos="577" w:val="left"/>
        </w:tabs>
        <w:numPr>
          <w:ilvl w:val="0"/>
          <w:numId w:val="421"/>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Executive acknowledges that Executive remains bound by the Restrictive Covenants Agreement, which is incorporated by reference herein as if re-executed along with this Release.</w:t>
      </w:r>
    </w:p>
    <w:p>
      <w:pPr>
        <w:spacing w:after="0" w:line="65" w:lineRule="exact"/>
        <w:rPr>
          <w:rFonts w:ascii="Arial" w:cs="Arial" w:eastAsia="Arial" w:hAnsi="Arial"/>
          <w:sz w:val="17"/>
          <w:szCs w:val="17"/>
          <w:color w:val="auto"/>
        </w:rPr>
      </w:pPr>
    </w:p>
    <w:p>
      <w:pPr>
        <w:jc w:val="both"/>
        <w:ind w:firstLine="412"/>
        <w:spacing w:after="0" w:line="257" w:lineRule="auto"/>
        <w:tabs>
          <w:tab w:leader="none" w:pos="577" w:val="left"/>
        </w:tabs>
        <w:numPr>
          <w:ilvl w:val="0"/>
          <w:numId w:val="42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Release shall continue in full force and effect without said provision or portion of provision.</w:t>
      </w:r>
    </w:p>
    <w:p>
      <w:pPr>
        <w:spacing w:after="0" w:line="74" w:lineRule="exact"/>
        <w:rPr>
          <w:rFonts w:ascii="Arial" w:cs="Arial" w:eastAsia="Arial" w:hAnsi="Arial"/>
          <w:sz w:val="17"/>
          <w:szCs w:val="17"/>
          <w:color w:val="auto"/>
        </w:rPr>
      </w:pPr>
    </w:p>
    <w:p>
      <w:pPr>
        <w:ind w:left="580" w:hanging="168"/>
        <w:spacing w:after="0"/>
        <w:tabs>
          <w:tab w:leader="none" w:pos="580"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Release may only be amended in a writing signed by Executive and a duly authorized officer of the Company.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240"/>
          </w:cols>
          <w:pgMar w:left="820" w:top="265" w:right="839" w:bottom="1440" w:gutter="0" w:footer="0" w:header="0"/>
        </w:sectPr>
      </w:pPr>
    </w:p>
    <w:bookmarkStart w:id="474" w:name="page475"/>
    <w:bookmarkEnd w:id="474"/>
    <w:p>
      <w:pPr>
        <w:ind w:right="640" w:firstLine="412"/>
        <w:spacing w:after="0" w:line="268" w:lineRule="auto"/>
        <w:tabs>
          <w:tab w:leader="none" w:pos="577" w:val="left"/>
        </w:tabs>
        <w:numPr>
          <w:ilvl w:val="0"/>
          <w:numId w:val="4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Governing Law; Dispute Resolution</w:t>
      </w:r>
      <w:r>
        <w:rPr>
          <w:rFonts w:ascii="Arial" w:cs="Arial" w:eastAsia="Arial" w:hAnsi="Arial"/>
          <w:sz w:val="17"/>
          <w:szCs w:val="17"/>
          <w:color w:val="auto"/>
        </w:rPr>
        <w:t>. This Release shall be subject to the provisions of Sections 9(a), 9(c) and 9(h) of the Employment Agreement.</w:t>
      </w:r>
    </w:p>
    <w:p>
      <w:pPr>
        <w:spacing w:after="0" w:line="65" w:lineRule="exact"/>
        <w:rPr>
          <w:rFonts w:ascii="Arial" w:cs="Arial" w:eastAsia="Arial" w:hAnsi="Arial"/>
          <w:sz w:val="17"/>
          <w:szCs w:val="17"/>
          <w:color w:val="auto"/>
        </w:rPr>
      </w:pPr>
    </w:p>
    <w:p>
      <w:pPr>
        <w:ind w:firstLine="412"/>
        <w:spacing w:after="0" w:line="253" w:lineRule="auto"/>
        <w:tabs>
          <w:tab w:leader="none" w:pos="577" w:val="left"/>
        </w:tabs>
        <w:numPr>
          <w:ilvl w:val="0"/>
          <w:numId w:val="422"/>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Release shall become effective, irrevocable, and binding upon Executive on the day following the seventh (7th) business day from the date upon which Executive signs this Release, so long as Executive has not revoked it within the time period and in the manner specified in Section 3 above. Executive further understands that Executive will not be given any severance benefits under the Agreement unless this Release becomes effective pursuant to its terms.</w:t>
      </w:r>
    </w:p>
    <w:p>
      <w:pPr>
        <w:spacing w:after="0" w:line="79" w:lineRule="exact"/>
        <w:rPr>
          <w:rFonts w:ascii="Arial" w:cs="Arial" w:eastAsia="Arial" w:hAnsi="Arial"/>
          <w:sz w:val="17"/>
          <w:szCs w:val="17"/>
          <w:color w:val="auto"/>
        </w:rPr>
      </w:pPr>
    </w:p>
    <w:p>
      <w:pPr>
        <w:jc w:val="both"/>
        <w:ind w:right="60" w:firstLine="412"/>
        <w:spacing w:after="0" w:line="290" w:lineRule="auto"/>
        <w:tabs>
          <w:tab w:leader="none" w:pos="577" w:val="left"/>
        </w:tabs>
        <w:numPr>
          <w:ilvl w:val="0"/>
          <w:numId w:val="422"/>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Release voluntarily, without any duress or undue influence on the part or behalf of the Company or any third party, with the full intent of releasing all of Executive’s claims against the Company and any of the other Releasees. Executive acknowledges that: (a) Executive has read this Release; (b) Executive has not relied upon any representations or statements made by the Company that are not specifically set forth in this Release; (c) Executive has been represented in the preparation, negotiation and execution of this Release by legal counsel of Executive’s own choice or has elected not to retain legal counsel; (d) Executive understands the terms and consequences of this Release and of the releases it contains; and (e) Executive is fully aware of the legal and binding effect of this Release.</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WITNESS WHEREOF, the Parties have executed this Release on the respective dates set forth below.</w:t>
      </w: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EXECUTIVE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11430</wp:posOffset>
            </wp:positionV>
            <wp:extent cx="286956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3">
                      <a:extLst>
                        <a:ext uri="{28A0092B-C50C-407E-A947-70E740481C1C}"/>
                      </a:extLst>
                    </a:blip>
                    <a:srcRect/>
                    <a:stretch>
                      <a:fillRect/>
                    </a:stretch>
                  </pic:blipFill>
                  <pic:spPr bwMode="auto">
                    <a:xfrm>
                      <a:off x="0" y="0"/>
                      <a:ext cx="286956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-3810</wp:posOffset>
            </wp:positionV>
            <wp:extent cx="29171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4">
                      <a:extLst>
                        <a:ext uri="{28A0092B-C50C-407E-A947-70E740481C1C}"/>
                      </a:extLst>
                    </a:blip>
                    <a:srcRect/>
                    <a:stretch>
                      <a:fillRect/>
                    </a:stretch>
                  </pic:blipFill>
                  <pic:spPr bwMode="auto">
                    <a:xfrm>
                      <a:off x="0" y="0"/>
                      <a:ext cx="2917190" cy="825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Don Elsey</w:t>
      </w:r>
    </w:p>
    <w:p>
      <w:pPr>
        <w:spacing w:after="0" w:line="303"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11430</wp:posOffset>
            </wp:positionV>
            <wp:extent cx="60420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5">
                      <a:extLst>
                        <a:ext uri="{28A0092B-C50C-407E-A947-70E740481C1C}"/>
                      </a:extLst>
                    </a:blip>
                    <a:srcRect/>
                    <a:stretch>
                      <a:fillRect/>
                    </a:stretch>
                  </pic:blipFill>
                  <pic:spPr bwMode="auto">
                    <a:xfrm>
                      <a:off x="0" y="0"/>
                      <a:ext cx="6042025" cy="8255"/>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0220"/>
          </w:cols>
          <w:pgMar w:left="820" w:top="264" w:right="859" w:bottom="1440" w:gutter="0" w:footer="0" w:header="0"/>
        </w:sectPr>
      </w:pPr>
    </w:p>
    <w:bookmarkStart w:id="475" w:name="page476"/>
    <w:bookmarkEnd w:id="475"/>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Restrictive Covenant Agreement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[attached]</w:t>
      </w:r>
    </w:p>
    <w:p>
      <w:pPr>
        <w:sectPr>
          <w:pgSz w:w="11900" w:h="16838" w:orient="portrait"/>
          <w:cols w:equalWidth="0" w:num="1">
            <w:col w:w="9019"/>
          </w:cols>
          <w:pgMar w:left="1440" w:top="261" w:right="1440" w:bottom="1440" w:gutter="0" w:footer="0" w:header="0"/>
        </w:sectPr>
      </w:pPr>
    </w:p>
    <w:bookmarkStart w:id="476" w:name="page477"/>
    <w:bookmarkEnd w:id="476"/>
    <w:p>
      <w:pPr>
        <w:ind w:left="2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EMPLOYEE NON-DISCLOSURE, NON-COMPETITION,</w:t>
      </w:r>
    </w:p>
    <w:p>
      <w:pPr>
        <w:spacing w:after="0" w:line="22"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NON-SOLICITATION AND INVENTIONS AGREEMENT</w:t>
      </w:r>
    </w:p>
    <w:p>
      <w:pPr>
        <w:spacing w:after="0" w:line="190" w:lineRule="exact"/>
        <w:rPr>
          <w:sz w:val="20"/>
          <w:szCs w:val="20"/>
          <w:color w:val="auto"/>
        </w:rPr>
      </w:pPr>
    </w:p>
    <w:p>
      <w:pPr>
        <w:ind w:right="40" w:firstLine="409"/>
        <w:spacing w:after="0" w:line="259" w:lineRule="auto"/>
        <w:rPr>
          <w:sz w:val="20"/>
          <w:szCs w:val="20"/>
          <w:color w:val="auto"/>
        </w:rPr>
      </w:pPr>
      <w:r>
        <w:rPr>
          <w:rFonts w:ascii="Arial" w:cs="Arial" w:eastAsia="Arial" w:hAnsi="Arial"/>
          <w:sz w:val="17"/>
          <w:szCs w:val="17"/>
          <w:color w:val="auto"/>
        </w:rPr>
        <w:t>This Confidentiality, Noncompetition, Nonsolicitation and Inventions Agreement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by and between </w:t>
      </w:r>
      <w:r>
        <w:rPr>
          <w:rFonts w:ascii="Arial" w:cs="Arial" w:eastAsia="Arial" w:hAnsi="Arial"/>
          <w:sz w:val="17"/>
          <w:szCs w:val="17"/>
          <w:b w:val="1"/>
          <w:bCs w:val="1"/>
          <w:color w:val="auto"/>
        </w:rPr>
        <w:t>Lyra Therapeutics</w:t>
      </w:r>
      <w:r>
        <w:rPr>
          <w:rFonts w:ascii="Arial" w:cs="Arial" w:eastAsia="Arial" w:hAnsi="Arial"/>
          <w:sz w:val="17"/>
          <w:szCs w:val="17"/>
          <w:color w:val="auto"/>
        </w:rPr>
        <w:t>, Inc. (f/k/a 480 Biomedical, Inc.), a Delaware corporation, or any of its predecessors, successors, subsidiaries or affiliates (collectively, the “Company”) and R. Don Elsey (“Employee”).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Recitals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Employee enters into this Agreement in connection with Employee’s acceptance of employment with the Company.</w:t>
      </w:r>
    </w:p>
    <w:p>
      <w:pPr>
        <w:spacing w:after="0" w:line="206"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Employee’s acceptance of this Agreement is an express condition of Employee’s employment with the Company, and is made by Employee in consideration of Garden Leave Pay as well as the Employee’s employment, including the compensation, benefits and confidential information provided now and in the future to Employee by the Company, which Employee acknowledges are of significant benefit to Employee; and</w:t>
      </w:r>
    </w:p>
    <w:p>
      <w:pPr>
        <w:spacing w:after="0" w:line="15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and Employee agree that this Agreement, including the noncompetition covenant set forth below, is no broader than necessary to protect the Company’s trade secrets, confidential information and good will.</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w:t>
      </w:r>
    </w:p>
    <w:p>
      <w:pPr>
        <w:spacing w:after="0" w:line="11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consideration of the above Recitals, which are incorporated herein, the promises and covenants below, and other valuable consideration, the receipt and adequacy of which is acknowledged, the parties agree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This Agreement contains obligations that apply during Employee’s employment and for specified periods after the date Employee’s employment ends (“</w:t>
      </w:r>
      <w:r>
        <w:rPr>
          <w:rFonts w:ascii="Arial" w:cs="Arial" w:eastAsia="Arial" w:hAnsi="Arial"/>
          <w:sz w:val="16"/>
          <w:szCs w:val="16"/>
          <w:b w:val="1"/>
          <w:bCs w:val="1"/>
          <w:color w:val="auto"/>
        </w:rPr>
        <w:t>Separation Date</w:t>
      </w:r>
      <w:r>
        <w:rPr>
          <w:rFonts w:ascii="Arial" w:cs="Arial" w:eastAsia="Arial" w:hAnsi="Arial"/>
          <w:sz w:val="16"/>
          <w:szCs w:val="16"/>
          <w:color w:val="auto"/>
        </w:rPr>
        <w:t>”), regardless of the reason for separation or whether it was voluntary or involuntary, provided, however, that the Exclusive Commitment covenant set forth below shall not apply in the event the Company terminates the Employee’s employment without Cause or if the Company includes the Employee in a reduction in force or layoff. For purposes of this Agreement, “Cause” shall mean any of the following: (i) conviction of the Employee of a felony or any other crime involving moral turpitude that is committed during the Employee’s employment with the Company, including a plea of guilty or nolo contendre; (ii) commission by the Employee of a fraudulent or illegal act that causes harm to the business, operations or reputation of the Company; (iii) Employee’s willful misconduct; (iv) Employee’s material violation of this Agreement or the Company’s written rules, policies or programs; (v) Employee’s breach of any fiduciary duty to the Company (vi) Employee’s gross negligence, neglect of duties, or theft; (vii) Employee’s dishonesty,</w:t>
      </w:r>
    </w:p>
    <w:p>
      <w:pPr>
        <w:sectPr>
          <w:pgSz w:w="11900" w:h="16838" w:orient="portrait"/>
          <w:cols w:equalWidth="0" w:num="1">
            <w:col w:w="10160"/>
          </w:cols>
          <w:pgMar w:left="820" w:top="261" w:right="919" w:bottom="1440" w:gutter="0" w:footer="0" w:header="0"/>
        </w:sectPr>
      </w:pPr>
    </w:p>
    <w:bookmarkStart w:id="477" w:name="page478"/>
    <w:bookmarkEnd w:id="477"/>
    <w:p>
      <w:pPr>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embezzlement, or misappropriation of the Company’s assets or property (tangible or intangible); (viii) willful failure or refusal of the Employee to perform his or her duties; (ix) the Employee’s unauthorized disclosure of any trade secret or confidential information of the Company or any other act of disloyalty to the Company; (x) the commission of an act by the Employee which constitutes unfair competition with the Company or which induces any customer or supplier to breach a contract with the Company; or (xi) an act by the Employee which creates material adverse publicity for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11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Employee understands and agrees that the Company continually obtains and develops valuable proprietary and confidential information concerning its business, business relationships and financial affairs (the “Confidential Information”) and valuable Biological Materials (as defined below) which may or will become known to the Employee in connection with the Employee’s employment with the Company.</w:t>
      </w:r>
    </w:p>
    <w:p>
      <w:pPr>
        <w:spacing w:after="0" w:line="159"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Employee acknowledges and agrees that all Biological Materials and all Confidential Information, whether or not in writing and whether or not labeled or identified as confidential or proprietary, are and shall remain the exclusive property of the Company or the third party providing such Biological Materials or Confidential Information to the Employee or the Company. By way of illustration, but not limitation, Confidential Information may include Inventions (as hereafter defined), trade secrets, technical information, know-how, research and development activities of the Company, product and marketing plans, customer and supplier information, apparatus, equipment, processes, systems, formulas, designs, non-public information about FDA proceedings, reports, tangible research materials, technology, business plans, forecasts and information disclosed to the Company or to the Employee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As used herein “Biological Materials” shall include, without limitation, any and all reagents, substances, chemical compounds, subcellular constituents, cells or cell lines, organisms and progeny, mutants, derivatives or replications thereof or therefrom.</w:t>
      </w:r>
    </w:p>
    <w:p>
      <w:pPr>
        <w:spacing w:after="0" w:line="15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Employee further agrees that the Employee shall not, during the term of the Employee’s employment and thereafter, publish, disclose or otherwise make available to any third party, other than employees of the Company, any Confidential Information or Biological Materials which become known to the Employee in connection with the Employee’s employment by the Company except as expressly authorized in writing by the Company. The Employee also agrees that the Employee shall use such Confidential Information and Biological Materials which become known to the Employee in connection with the Employee’s employment by the Company only in the performance of the Employee’s duties for the Company and in accordance with any Company policies with respect to the protection of Confidential Information or Biological Materials. The Employee specifically agrees not to use such Confidential Information and Biological Materials which become known to me in connection with the Employee’s employment by the Company for the Employee’s own benefit or for the benefit of any other person or business entity.</w:t>
      </w:r>
    </w:p>
    <w:p>
      <w:pPr>
        <w:sectPr>
          <w:pgSz w:w="11900" w:h="16838" w:orient="portrait"/>
          <w:cols w:equalWidth="0" w:num="1">
            <w:col w:w="10220"/>
          </w:cols>
          <w:pgMar w:left="820" w:top="265" w:right="859" w:bottom="1440" w:gutter="0" w:footer="0" w:header="0"/>
        </w:sectPr>
      </w:pPr>
    </w:p>
    <w:bookmarkStart w:id="478" w:name="page479"/>
    <w:bookmarkEnd w:id="478"/>
    <w:p>
      <w:pPr>
        <w:ind w:right="120"/>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Employee agrees to exercise all reasonable precautions to protect the integrity and confidentiality of Confidential Information and Biological Materials in the Employee’s possession or control and not to remove any materials containing Confidential Information or Biological Materials which become known to the Employee in connection with the Employee’s employment by the Company from the Company’s premises except to the extent necessary to perform duties for and authorized by the Company in connection with the Employee’s employment. Upon the termination of the Employee’s employment for any reason, or at any time upon the Company’s request, the Employee shall return immediately to the Company any and all Biological Materials and any materials containing any Confidential Information then in the Employee’s possession or under the Employee’s control.</w:t>
      </w:r>
    </w:p>
    <w:p>
      <w:pPr>
        <w:spacing w:after="0" w:line="155"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Confidential Information shall not include information which (a) is or becomes generally known within the Company’s industry through no fault of the Employee; (b) was known to the Employee at the time it was disclosed as evidenced by the Employee’s written records at the time of disclosure; (c) is lawfully and in good faith made available to the Employee by a third party who did not derive it from the Company and who imposes no obligation of confidence on the Employee;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Assignment of Inventions</w:t>
      </w: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Employee agrees promptly to disclose to the Company any and all ideas, concepts, discoveries, inventions, developments, original works of authorship, software programs, software and systems documentation, trade secrets, technical data, know-how and Biological Materials that are conceived, devised, invented, developed or reduced to practice or tangible medium by the Employee, under the Employee’s direction or jointly with others during any period that the Employee is employed or engaged by the Company, whether or not during normal working hours or on the premises of the Company, which relate, directly or indirectly, to the business of the Company and arise out of the Employee’s employment with the Company (hereinafter “Inventions”).</w:t>
      </w:r>
    </w:p>
    <w:p>
      <w:pPr>
        <w:spacing w:after="0" w:line="152"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Employee hereby assigns to the Company all of the Employee’s right, title and interest to the Inventions and any and all related patent rights, copyrights and applications and registrations therefor. During and after the Employee’s employment, the Employee shall cooperate with the Company, at the Company’s expense, in obtaining proprietary protection for the Inventions and the Employee shall execute all documents which the Company shall reasonably request in order to perfect the Company’s rights in the Inventions. The Employee hereby appoints the Company the Employee’s attorney to execute and deliver any such documents on the Employee’s behalf in the event the Employee should fail or refuse to do so within a reasonable period following the Company’s request. The Employee understands that, to the extent this Agreement shall be</w:t>
      </w:r>
    </w:p>
    <w:p>
      <w:pPr>
        <w:sectPr>
          <w:pgSz w:w="11900" w:h="16838" w:orient="portrait"/>
          <w:cols w:equalWidth="0" w:num="1">
            <w:col w:w="10240"/>
          </w:cols>
          <w:pgMar w:left="820" w:top="265" w:right="839" w:bottom="1440" w:gutter="0" w:footer="0" w:header="0"/>
        </w:sectPr>
      </w:pPr>
    </w:p>
    <w:bookmarkStart w:id="479" w:name="page480"/>
    <w:bookmarkEnd w:id="479"/>
    <w:p>
      <w:pPr>
        <w:jc w:val="both"/>
        <w:ind w:right="1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construed in accordance with the laws of any state which limits the assignability to the Company of certain employee inventions, this Agreement shall be interpreted not to apply to any such invention which a court rules or the Company agrees is subject to such state limitation.</w:t>
      </w:r>
    </w:p>
    <w:p>
      <w:pPr>
        <w:spacing w:after="0" w:line="121" w:lineRule="exact"/>
        <w:rPr>
          <w:sz w:val="20"/>
          <w:szCs w:val="20"/>
          <w:color w:val="auto"/>
        </w:rPr>
      </w:pPr>
    </w:p>
    <w:p>
      <w:pPr>
        <w:jc w:val="both"/>
        <w:ind w:right="160"/>
        <w:spacing w:after="0" w:line="253" w:lineRule="auto"/>
        <w:rPr>
          <w:sz w:val="20"/>
          <w:szCs w:val="20"/>
          <w:color w:val="auto"/>
        </w:rPr>
      </w:pPr>
      <w:r>
        <w:rPr>
          <w:rFonts w:ascii="Arial" w:cs="Arial" w:eastAsia="Arial" w:hAnsi="Arial"/>
          <w:sz w:val="17"/>
          <w:szCs w:val="17"/>
          <w:color w:val="auto"/>
        </w:rPr>
        <w:t>The Employee further represents that the attached Schedule A contains a complete list of all inventions made, conceived or first reduced to practice by the Employee, under the Employee’s direction or jointly with others prior to the Employee’s employment with the Company (‘‘Prior Inventions”) and which are not assigned to the Company hereunder. If there is no such Schedule A attached hereto, the Employee shall represent that there are no such Prior Inventions.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Agreements</w:t>
      </w:r>
    </w:p>
    <w:p>
      <w:pPr>
        <w:spacing w:after="0" w:line="11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Employee hereby represents and warrants to the Company that, except as identified on Schedule B, the Employee is not bound by any agreement or any other previous or existing business relationship which conflicts with or prevents the full performance of the Employee’s duties and obligations to the Company (including the Employee’s duties and obligations under this or any other agreement with the Company) during the Employee’s employment.</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The Employee understands and acknowledges that the Company does not desire to acquire from the Employee any trade secrets, know-how or confidential business information the Employee may have acquired from others. Therefore, the Employee agrees during the Employee’s employment with the Company, the Employee will not improperly use or disclose any proprietary information or trade secrets of any former or concurrent employer, or any other person or entity with whom the Employee has an agreement or to whom the Employee owes a duty to keep such information in confidence. Those persons or entities with whom the Employee has such agreements or to whom the Employee owes such a duty are identified on Schedule B.</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Commitment</w:t>
      </w:r>
    </w:p>
    <w:p>
      <w:pPr>
        <w:spacing w:after="0" w:line="11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Subject to the limitation set forth above in the Term covenant, the Employee agrees that during the term of the Employee’s employment with the Company and for a period of one year thereafter, unless the Employee breaches his or her fiduciary duty to the Company or misappropriates the Company’s property in which case the restricted period shall be extended to two (2) years after the Employee’s termination of or resignation from employment with the Company, the Employee shall not, without the Company’s prior written consent, in any jurisdiction in which Employee provided services or had a material presence or influence on behalf of the Company during the final 2 years of Employee’s employment, engage in any business or enterprise (whether as founder, owner, partner, officer, director, employee, consultant, investor, lender or otherwise, except as the holder of not more than 5% of the outstanding capital stock of a publicly-held company) whose primary area of business involves the field of biomaterials, materials delivery systems and technologies, drug-delivery systems and technologies and access devices related to products or technologies actively developed by 480 Biomedical, Inc. (the “Field”) and which involves matters or products the Employee worked on or</w:t>
      </w:r>
    </w:p>
    <w:p>
      <w:pPr>
        <w:sectPr>
          <w:pgSz w:w="11900" w:h="16838" w:orient="portrait"/>
          <w:cols w:equalWidth="0" w:num="1">
            <w:col w:w="10240"/>
          </w:cols>
          <w:pgMar w:left="820" w:top="264" w:right="839" w:bottom="1440" w:gutter="0" w:footer="0" w:header="0"/>
        </w:sectPr>
      </w:pPr>
    </w:p>
    <w:bookmarkStart w:id="480" w:name="page481"/>
    <w:bookmarkEnd w:id="480"/>
    <w:p>
      <w:pPr>
        <w:jc w:val="both"/>
        <w:ind w:right="58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obtained Confidential Information during his or her final two (2) years of Employment. Employee acknowledges and agrees that this Exclusive Commitment covenant is necessary since the Company’s legitimate business interests cannot be adequately protected through any other form of alternative restrictive covenant, including without limitation the other restrictive covenants in this Agreement.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Non-solicitation</w:t>
      </w:r>
    </w:p>
    <w:p>
      <w:pPr>
        <w:spacing w:after="0" w:line="110"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Employee agrees that during the Employee’s employment with the Company and for a period of two (2) years after the termination or cessation of such employment for any reason, the Employee shall not, whether on Employee’s behalf or on the behalf of any other person or entity, (i) solicit, divert or take away, or attempt to divert or take away, (directly or indirectly), the business or patronage of any of the clients, customers or accounts, or prospective clients, customers or accounts, of the Company that Employee worked on or supported, or about which Employee obtained, received or was provided access to Confidential Information; or (ii) encourage any client, customer or account, or prospective clients, customers or accounts of the Company to cease doing business with the Company or to terminate or limit an existing relationship or arrangement with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Non-solicitation of Employees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Employee agrees that during the Employee’s employment and for a period of two (2) years after the termination or cessation of my employment for any reason, the Employee shall not directly or indirectly recruit or solicit any employee of the Company, or induce or attempt to induce any employee of the Company to discontinue his or her employment relationship with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Obligation of Continued Employment</w:t>
      </w:r>
    </w:p>
    <w:p>
      <w:pPr>
        <w:spacing w:after="0" w:line="11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Employee understands and agrees that this Agreement does not constitute a contract of employment or create an obligation on the part of the Company to continue the Employee’s employment with the Company. The Employee understands and agrees that the Employee’s employment is “at will” and that the Employee’s obligations under this Agreement shall not be affected by any change in the Employee’s position, title or function with, or compensation, by the Company.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Consideration.</w:t>
      </w:r>
    </w:p>
    <w:p>
      <w:pPr>
        <w:spacing w:after="0" w:line="11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During the restricted period provided in the Exclusive Commitment covenant, the Company shall place the Employee on Garden Leave and pay the Employee an amount equal to 50% of the Employee’s highest gross base salary during the two (2) year period leading up to the date that the Employee separated from the Company. The Garden Leave payment shall be paid in equal installments during the restricted period of the Exclusive Commitment covenant in accordance with the Company’s then current payroll practices as established or modified from time to time, and shall be subject to all applicable withholdings and taxes. Employee acknowledges that the payment of this Garden Leave payment serves as consideration for the Exclusive Commitment covenant of this Agreement. If the Company elects not to impose the Exclusive Commitment covenant on the Employee, it shall notify the Employee within 7 days following the Employee’s separation or termination from the Employer, and the Company shall have no obligation to pay the Garden Leave payment to the Employee.</w:t>
      </w:r>
    </w:p>
    <w:p>
      <w:pPr>
        <w:sectPr>
          <w:pgSz w:w="11900" w:h="16838" w:orient="portrait"/>
          <w:cols w:equalWidth="0" w:num="1">
            <w:col w:w="10200"/>
          </w:cols>
          <w:pgMar w:left="820" w:top="264" w:right="879" w:bottom="1440" w:gutter="0" w:footer="0" w:header="0"/>
        </w:sectPr>
      </w:pPr>
    </w:p>
    <w:bookmarkStart w:id="481" w:name="page482"/>
    <w:bookmarkEnd w:id="48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General</w:t>
      </w:r>
    </w:p>
    <w:p>
      <w:pPr>
        <w:spacing w:after="0" w:line="110"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This Agreement may not be assigned by either party except that the Company may assign this Agreement in connection with the merger, consolidation or sale of all or substantially all of its business or assets. This Agreement shall be binding upon and shall inure to the benefit of the parties hereto and their respective successors and other legal representatives and, to the extent that any assignment hereof is permitted hereunder, their assignees.</w:t>
      </w:r>
    </w:p>
    <w:p>
      <w:pPr>
        <w:spacing w:after="0" w:line="14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This Agreement supersedes all prior agreements, written or oral, with respect to the subject matter of this Agreement. This Agreement may be changed only by a written instrument signed by both parties hereto.</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the event that any one or more of the provisions contained herein shall, for any reason, be held to be invalid, illegal, or unenforceable in any respect, such invalidity, illegality, or unenforceability shall not affect any other provisions of this Agreement, and all other provisions shall remain in lull force and effect. If any of the provisions of this Agreement is held to be excessively broad, it shall be reformed and construed by limiting and reducing it so as to be enforceable to the maximum extent permitted by law.</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Employee acknowledges and agrees that the restrictions contained in this Agreement are necessary for the protection of the business and goodwill of the Company, are consonant with public policy, and are reasonable for such purpose. The Employee further agrees that any breach of this Agreement by the Employee will cause irreparable damage to the Company and that in the in the event of such breach, the Company shall be entitled, in addition to monetary damages and to any other remedies available to the Company under this Agreement and at law, to equitable relief, including injunctive relief, and to payment by the Employee of all costs incurred by the Company in enforcing the provisions of this Agreement, including reasonable attorneys’ fees, in such event without the necessity of first proving actual damages. To the extent permitted by law, the Employee agrees that should the Employee violate any obligation imposed on the Employee in this Agreement, the Employee shall continue to be bound by the obligation until a period equal to the term of such obligation has expired without violation of such obligation.</w:t>
      </w:r>
    </w:p>
    <w:p>
      <w:pPr>
        <w:spacing w:after="0" w:line="170"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auto"/>
        </w:rPr>
        <w:t>This Agreement shall be construed as a sealed instrument and shall in all events and for all purposes be governed by, and construed in accordance with, the laws of the Commonwealth of Massachusetts without regard to any choice of law principle that would dictate the application of the laws of another jurisdiction. Any action, suit or other legal proceeding pertaining to the Agreement shall have exclusive jurisdiction and venue in the Superior Court or Business Litigation Section of the Superior Court located in Suffolk</w:t>
      </w:r>
    </w:p>
    <w:p>
      <w:pPr>
        <w:sectPr>
          <w:pgSz w:w="11900" w:h="16838" w:orient="portrait"/>
          <w:cols w:equalWidth="0" w:num="1">
            <w:col w:w="10240"/>
          </w:cols>
          <w:pgMar w:left="820" w:top="261" w:right="839" w:bottom="1440" w:gutter="0" w:footer="0" w:header="0"/>
        </w:sectPr>
      </w:pPr>
    </w:p>
    <w:bookmarkStart w:id="482" w:name="page483"/>
    <w:bookmarkEnd w:id="482"/>
    <w:p>
      <w:pPr>
        <w:ind w:right="3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County, Boston, Massachusetts, regarding any judicial proceeding arising out of or related to this Agreement, and each party irrevocably consents to such exclusive jurisdiction and venue in those forums.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has read and understands this Agreement; Right to Counsel’s Review.</w:t>
      </w:r>
    </w:p>
    <w:p>
      <w:pPr>
        <w:spacing w:after="0" w:line="21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Employee acknowledges with execution of this Agreement that: (a) Employee was presented with this Agreement on the earlier of (i) the date of the Employee’s offer letter of employment or (ii) 10 business days before the commencement of Employee’s employment with the Company; (b) Employee has carefully read all of this Agreement’s terms and agrees they are necessary for the reasonable protection of the Company’s business; (c) The Company has been induced to employ Employee by Employee’s representation that Employee will abide by and be bound by each of the covenants and restraints in this Agreement; and (d) each and every covenant and restraint in this Agreement is reasonable. Employee acknowledges that Employee has been advised by the Company that Employee is entitled to have this Agreement reviewed by counsel of Employee’s choice prior to signing, and has either done so or elected to forgo such right.</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HAVING READ AND FULLY UNDERSTOOD THIS AGREEMENT, a copy of which has been timely provided to the Employee, the parties execute this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20"/>
                <w:szCs w:val="20"/>
                <w:color w:val="auto"/>
              </w:rPr>
            </w:pPr>
            <w:r>
              <w:rPr>
                <w:rFonts w:ascii="Arial" w:cs="Arial" w:eastAsia="Arial" w:hAnsi="Arial"/>
                <w:sz w:val="17"/>
                <w:szCs w:val="17"/>
                <w:b w:val="1"/>
                <w:bCs w:val="1"/>
                <w:color w:val="auto"/>
              </w:rPr>
              <w:t>LYRA THERAPEUTICS, INC.</w:t>
            </w:r>
          </w:p>
        </w:tc>
        <w:tc>
          <w:tcPr>
            <w:tcW w:w="6640" w:type="dxa"/>
            <w:vAlign w:val="bottom"/>
            <w:gridSpan w:val="2"/>
          </w:tcPr>
          <w:p>
            <w:pPr>
              <w:ind w:left="3480"/>
              <w:spacing w:after="0"/>
              <w:rPr>
                <w:sz w:val="20"/>
                <w:szCs w:val="20"/>
                <w:color w:val="auto"/>
              </w:rPr>
            </w:pPr>
            <w:r>
              <w:rPr>
                <w:rFonts w:ascii="Arial" w:cs="Arial" w:eastAsia="Arial" w:hAnsi="Arial"/>
                <w:sz w:val="17"/>
                <w:szCs w:val="17"/>
                <w:b w:val="1"/>
                <w:bCs w:val="1"/>
                <w:color w:val="auto"/>
              </w:rPr>
              <w:t>EMPLOYEE</w:t>
            </w:r>
          </w:p>
        </w:tc>
      </w:tr>
      <w:tr>
        <w:trPr>
          <w:trHeight w:val="402"/>
        </w:trPr>
        <w:tc>
          <w:tcPr>
            <w:tcW w:w="3600" w:type="dxa"/>
            <w:vAlign w:val="bottom"/>
          </w:tcPr>
          <w:p>
            <w:pPr>
              <w:spacing w:after="0"/>
              <w:rPr>
                <w:sz w:val="20"/>
                <w:szCs w:val="20"/>
                <w:color w:val="auto"/>
              </w:rPr>
            </w:pPr>
            <w:r>
              <w:rPr>
                <w:rFonts w:ascii="Arial" w:cs="Arial" w:eastAsia="Arial" w:hAnsi="Arial"/>
                <w:sz w:val="17"/>
                <w:szCs w:val="17"/>
                <w:color w:val="auto"/>
              </w:rPr>
              <w:t>/s/ Maria Palasis</w:t>
            </w:r>
          </w:p>
        </w:tc>
        <w:tc>
          <w:tcPr>
            <w:tcW w:w="6640" w:type="dxa"/>
            <w:vAlign w:val="bottom"/>
            <w:gridSpan w:val="2"/>
          </w:tcPr>
          <w:p>
            <w:pPr>
              <w:ind w:left="3480"/>
              <w:spacing w:after="0"/>
              <w:rPr>
                <w:sz w:val="20"/>
                <w:szCs w:val="20"/>
                <w:color w:val="auto"/>
              </w:rPr>
            </w:pPr>
            <w:r>
              <w:rPr>
                <w:rFonts w:ascii="Arial" w:cs="Arial" w:eastAsia="Arial" w:hAnsi="Arial"/>
                <w:sz w:val="17"/>
                <w:szCs w:val="17"/>
                <w:color w:val="auto"/>
              </w:rPr>
              <w:t>/s/ R. Don Elsey</w:t>
            </w:r>
          </w:p>
        </w:tc>
      </w:tr>
      <w:tr>
        <w:trPr>
          <w:trHeight w:val="210"/>
        </w:trPr>
        <w:tc>
          <w:tcPr>
            <w:tcW w:w="36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3480" w:type="dxa"/>
            <w:vAlign w:val="bottom"/>
          </w:tcPr>
          <w:p>
            <w:pPr>
              <w:spacing w:after="0"/>
              <w:rPr>
                <w:sz w:val="18"/>
                <w:szCs w:val="18"/>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Name</w:t>
            </w:r>
          </w:p>
        </w:tc>
      </w:tr>
      <w:tr>
        <w:trPr>
          <w:trHeight w:val="398"/>
        </w:trPr>
        <w:tc>
          <w:tcPr>
            <w:tcW w:w="3600" w:type="dxa"/>
            <w:vAlign w:val="bottom"/>
          </w:tcPr>
          <w:p>
            <w:pPr>
              <w:spacing w:after="0"/>
              <w:rPr>
                <w:sz w:val="20"/>
                <w:szCs w:val="20"/>
                <w:color w:val="auto"/>
              </w:rPr>
            </w:pPr>
            <w:r>
              <w:rPr>
                <w:rFonts w:ascii="Arial" w:cs="Arial" w:eastAsia="Arial" w:hAnsi="Arial"/>
                <w:sz w:val="17"/>
                <w:szCs w:val="17"/>
                <w:color w:val="auto"/>
              </w:rPr>
              <w:t>CEO</w:t>
            </w:r>
          </w:p>
        </w:tc>
        <w:tc>
          <w:tcPr>
            <w:tcW w:w="6640" w:type="dxa"/>
            <w:vAlign w:val="bottom"/>
            <w:gridSpan w:val="2"/>
          </w:tcPr>
          <w:p>
            <w:pPr>
              <w:ind w:left="3480"/>
              <w:spacing w:after="0"/>
              <w:rPr>
                <w:sz w:val="20"/>
                <w:szCs w:val="20"/>
                <w:color w:val="auto"/>
              </w:rPr>
            </w:pPr>
            <w:r>
              <w:rPr>
                <w:rFonts w:ascii="Arial" w:cs="Arial" w:eastAsia="Arial" w:hAnsi="Arial"/>
                <w:sz w:val="17"/>
                <w:szCs w:val="17"/>
                <w:color w:val="auto"/>
              </w:rPr>
              <w:t>7/25/2019</w:t>
            </w:r>
          </w:p>
        </w:tc>
      </w:tr>
      <w:tr>
        <w:trPr>
          <w:trHeight w:val="210"/>
        </w:trPr>
        <w:tc>
          <w:tcPr>
            <w:tcW w:w="36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Title</w:t>
            </w:r>
          </w:p>
        </w:tc>
        <w:tc>
          <w:tcPr>
            <w:tcW w:w="3480" w:type="dxa"/>
            <w:vAlign w:val="bottom"/>
          </w:tcPr>
          <w:p>
            <w:pPr>
              <w:spacing w:after="0"/>
              <w:rPr>
                <w:sz w:val="18"/>
                <w:szCs w:val="18"/>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Date</w:t>
            </w:r>
          </w:p>
        </w:tc>
      </w:tr>
      <w:tr>
        <w:trPr>
          <w:trHeight w:val="398"/>
        </w:trPr>
        <w:tc>
          <w:tcPr>
            <w:tcW w:w="3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7/31/19</w:t>
            </w:r>
          </w:p>
        </w:tc>
        <w:tc>
          <w:tcPr>
            <w:tcW w:w="34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3480" w:type="dxa"/>
            <w:vAlign w:val="bottom"/>
          </w:tcPr>
          <w:p>
            <w:pPr>
              <w:spacing w:after="0"/>
              <w:rPr>
                <w:sz w:val="18"/>
                <w:szCs w:val="18"/>
                <w:color w:val="auto"/>
              </w:rPr>
            </w:pPr>
          </w:p>
        </w:tc>
        <w:tc>
          <w:tcPr>
            <w:tcW w:w="3160" w:type="dxa"/>
            <w:vAlign w:val="bottom"/>
          </w:tcPr>
          <w:p>
            <w:pPr>
              <w:spacing w:after="0"/>
              <w:rPr>
                <w:sz w:val="18"/>
                <w:szCs w:val="18"/>
                <w:color w:val="auto"/>
              </w:rPr>
            </w:pPr>
          </w:p>
        </w:tc>
      </w:tr>
    </w:tbl>
    <w:p>
      <w:pPr>
        <w:sectPr>
          <w:pgSz w:w="11900" w:h="16838" w:orient="portrait"/>
          <w:cols w:equalWidth="0" w:num="1">
            <w:col w:w="10240"/>
          </w:cols>
          <w:pgMar w:left="820" w:top="265" w:right="839" w:bottom="1440" w:gutter="0" w:footer="0" w:header="0"/>
        </w:sectPr>
      </w:pPr>
    </w:p>
    <w:bookmarkStart w:id="483" w:name="page484"/>
    <w:bookmarkEnd w:id="483"/>
    <w:p>
      <w:pPr>
        <w:jc w:val="center"/>
        <w:ind w:right="-9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SCHEDULE A</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PRIOR INVENTIONS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complete list of all Prior Inventions</w:t>
      </w:r>
    </w:p>
    <w:p>
      <w:pPr>
        <w:spacing w:after="0" w:line="206" w:lineRule="exact"/>
        <w:rPr>
          <w:sz w:val="20"/>
          <w:szCs w:val="20"/>
          <w:color w:val="auto"/>
        </w:rPr>
      </w:pPr>
    </w:p>
    <w:p>
      <w:pPr>
        <w:ind w:left="320" w:hanging="317"/>
        <w:spacing w:after="0"/>
        <w:tabs>
          <w:tab w:leader="none" w:pos="320" w:val="left"/>
        </w:tabs>
        <w:numPr>
          <w:ilvl w:val="0"/>
          <w:numId w:val="423"/>
        </w:numPr>
        <w:rPr>
          <w:rFonts w:ascii="MS PGothic" w:cs="MS PGothic" w:eastAsia="MS PGothic" w:hAnsi="MS PGothic"/>
          <w:sz w:val="17"/>
          <w:szCs w:val="17"/>
          <w:color w:val="auto"/>
        </w:rPr>
      </w:pPr>
      <w:r>
        <w:rPr>
          <w:rFonts w:ascii="Arial" w:cs="Arial" w:eastAsia="Arial" w:hAnsi="Arial"/>
          <w:sz w:val="17"/>
          <w:szCs w:val="17"/>
          <w:color w:val="auto"/>
        </w:rPr>
        <w:t>No Prior Inventions</w:t>
      </w:r>
    </w:p>
    <w:p>
      <w:pPr>
        <w:spacing w:after="0" w:line="206" w:lineRule="exact"/>
        <w:rPr>
          <w:sz w:val="20"/>
          <w:szCs w:val="20"/>
          <w:color w:val="auto"/>
        </w:rPr>
      </w:pPr>
    </w:p>
    <w:p>
      <w:pPr>
        <w:ind w:left="320" w:hanging="317"/>
        <w:spacing w:after="0"/>
        <w:tabs>
          <w:tab w:leader="none" w:pos="320" w:val="left"/>
        </w:tabs>
        <w:numPr>
          <w:ilvl w:val="0"/>
          <w:numId w:val="424"/>
        </w:numPr>
        <w:rPr>
          <w:rFonts w:ascii="MS PGothic" w:cs="MS PGothic" w:eastAsia="MS PGothic" w:hAnsi="MS PGothic"/>
          <w:sz w:val="17"/>
          <w:szCs w:val="17"/>
          <w:color w:val="auto"/>
        </w:rPr>
      </w:pPr>
      <w:r>
        <w:rPr>
          <w:rFonts w:ascii="Arial" w:cs="Arial" w:eastAsia="Arial" w:hAnsi="Arial"/>
          <w:sz w:val="17"/>
          <w:szCs w:val="17"/>
          <w:color w:val="auto"/>
        </w:rPr>
        <w:t>See below for description of Prior Inventions</w:t>
      </w:r>
    </w:p>
    <w:p>
      <w:pPr>
        <w:spacing w:after="0" w:line="206" w:lineRule="exact"/>
        <w:rPr>
          <w:rFonts w:ascii="MS PGothic" w:cs="MS PGothic" w:eastAsia="MS PGothic" w:hAnsi="MS PGothic"/>
          <w:sz w:val="17"/>
          <w:szCs w:val="17"/>
          <w:color w:val="auto"/>
        </w:rPr>
      </w:pPr>
    </w:p>
    <w:p>
      <w:pPr>
        <w:ind w:left="320" w:hanging="317"/>
        <w:spacing w:after="0"/>
        <w:tabs>
          <w:tab w:leader="none" w:pos="320" w:val="left"/>
        </w:tabs>
        <w:numPr>
          <w:ilvl w:val="0"/>
          <w:numId w:val="424"/>
        </w:numPr>
        <w:rPr>
          <w:rFonts w:ascii="MS PGothic" w:cs="MS PGothic" w:eastAsia="MS PGothic" w:hAnsi="MS PGothic"/>
          <w:sz w:val="17"/>
          <w:szCs w:val="17"/>
          <w:color w:val="auto"/>
        </w:rPr>
      </w:pPr>
      <w:r>
        <w:rPr>
          <w:rFonts w:ascii="Arial" w:cs="Arial" w:eastAsia="Arial" w:hAnsi="Arial"/>
          <w:sz w:val="17"/>
          <w:szCs w:val="17"/>
          <w:color w:val="auto"/>
        </w:rPr>
        <w:t>Additional Sheets Attached</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Employee agrees that, if in the course of the Employee’s employment with the Company, and without first notifying the Company in writing of the Employee’s intention to do so, the Employee incorporates into a Company product, process or machine a Prior Invention owned by the Employee or in which the Employee has an interest, the Company shall automatically be granted and shall have a non-exclusive, royalty-free, irrevocable, transferable, perpetual world-wide license to make, have made, modify, use and sell such Prior Invention as part of, or in connection with, such product, process or machine.</w:t>
      </w:r>
    </w:p>
    <w:p>
      <w:pPr>
        <w:sectPr>
          <w:pgSz w:w="11900" w:h="16838" w:orient="portrait"/>
          <w:cols w:equalWidth="0" w:num="1">
            <w:col w:w="10140"/>
          </w:cols>
          <w:pgMar w:left="820" w:top="265" w:right="939" w:bottom="1440" w:gutter="0" w:footer="0" w:header="0"/>
        </w:sectPr>
      </w:pPr>
    </w:p>
    <w:bookmarkStart w:id="484" w:name="page485"/>
    <w:bookmarkEnd w:id="484"/>
    <w:p>
      <w:pPr>
        <w:jc w:val="center"/>
        <w:ind w:right="-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SCHEDULE B</w:t>
      </w:r>
    </w:p>
    <w:p>
      <w:pPr>
        <w:spacing w:after="0" w:line="18"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PRIOR COMMITMENTS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9639"/>
          </w:cols>
          <w:pgMar w:left="820" w:top="264" w:right="1440" w:bottom="1440" w:gutter="0" w:footer="0" w:header="0"/>
        </w:sectPr>
      </w:pPr>
    </w:p>
    <w:bookmarkStart w:id="485" w:name="page486"/>
    <w:bookmarkEnd w:id="485"/>
    <w:p>
      <w:pPr>
        <w:jc w:val="right"/>
        <w:spacing w:after="0"/>
        <w:rPr>
          <w:sz w:val="20"/>
          <w:szCs w:val="20"/>
          <w:color w:val="auto"/>
        </w:rPr>
      </w:pPr>
      <w:r>
        <w:rPr>
          <w:rFonts w:ascii="Arial" w:cs="Arial" w:eastAsia="Arial" w:hAnsi="Arial"/>
          <w:sz w:val="17"/>
          <w:szCs w:val="17"/>
          <w:b w:val="1"/>
          <w:bCs w:val="1"/>
          <w:color w:val="auto"/>
        </w:rPr>
        <w:t>Exhibit 10.10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210" w:lineRule="exact"/>
        <w:rPr>
          <w:sz w:val="20"/>
          <w:szCs w:val="20"/>
          <w:color w:val="auto"/>
        </w:rPr>
      </w:pPr>
    </w:p>
    <w:p>
      <w:pPr>
        <w:jc w:val="both"/>
        <w:ind w:right="560" w:firstLine="409"/>
        <w:spacing w:after="0" w:line="257"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April 27, 2020, is made by and between Lyra Therapeutics, Inc., a Delaware corporation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and Laura Edgerly-Pflug (“</w:t>
      </w:r>
      <w:r>
        <w:rPr>
          <w:rFonts w:ascii="Arial" w:cs="Arial" w:eastAsia="Arial" w:hAnsi="Arial"/>
          <w:sz w:val="17"/>
          <w:szCs w:val="17"/>
          <w:u w:val="single" w:color="auto"/>
          <w:color w:val="auto"/>
        </w:rPr>
        <w:t>Executive</w:t>
      </w:r>
      <w:r>
        <w:rPr>
          <w:rFonts w:ascii="Arial" w:cs="Arial" w:eastAsia="Arial" w:hAnsi="Arial"/>
          <w:sz w:val="17"/>
          <w:szCs w:val="17"/>
          <w:color w:val="auto"/>
        </w:rPr>
        <w:t>”) (collectively referred to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 or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5" w:lineRule="exact"/>
        <w:rPr>
          <w:sz w:val="20"/>
          <w:szCs w:val="20"/>
          <w:color w:val="auto"/>
        </w:rPr>
      </w:pPr>
    </w:p>
    <w:p>
      <w:pPr>
        <w:ind w:left="400" w:hanging="397"/>
        <w:spacing w:after="0"/>
        <w:tabs>
          <w:tab w:leader="none" w:pos="400" w:val="left"/>
        </w:tabs>
        <w:numPr>
          <w:ilvl w:val="0"/>
          <w:numId w:val="425"/>
        </w:numPr>
        <w:rPr>
          <w:rFonts w:ascii="Arial" w:cs="Arial" w:eastAsia="Arial" w:hAnsi="Arial"/>
          <w:sz w:val="15"/>
          <w:szCs w:val="15"/>
          <w:color w:val="auto"/>
        </w:rPr>
      </w:pPr>
      <w:r>
        <w:rPr>
          <w:rFonts w:ascii="Arial" w:cs="Arial" w:eastAsia="Arial" w:hAnsi="Arial"/>
          <w:sz w:val="15"/>
          <w:szCs w:val="15"/>
          <w:color w:val="auto"/>
        </w:rPr>
        <w:t>It is the desire of the Company to assure itself of the services of Executive as of the Effective Date and thereafter by entering into this Agreement.</w:t>
      </w:r>
    </w:p>
    <w:p>
      <w:pPr>
        <w:spacing w:after="0" w:line="141" w:lineRule="exact"/>
        <w:rPr>
          <w:rFonts w:ascii="Arial" w:cs="Arial" w:eastAsia="Arial" w:hAnsi="Arial"/>
          <w:sz w:val="15"/>
          <w:szCs w:val="15"/>
          <w:color w:val="auto"/>
        </w:rPr>
      </w:pPr>
    </w:p>
    <w:p>
      <w:pPr>
        <w:ind w:left="400" w:hanging="397"/>
        <w:spacing w:after="0"/>
        <w:tabs>
          <w:tab w:leader="none" w:pos="4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Executive and the Company mutually desire that Executive provide services to the Company on the terms herein provided.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10" w:lineRule="exact"/>
        <w:rPr>
          <w:sz w:val="20"/>
          <w:szCs w:val="20"/>
          <w:color w:val="auto"/>
        </w:rPr>
      </w:pPr>
    </w:p>
    <w:p>
      <w:pPr>
        <w:ind w:right="20" w:firstLine="409"/>
        <w:spacing w:after="0" w:line="268" w:lineRule="auto"/>
        <w:rPr>
          <w:sz w:val="20"/>
          <w:szCs w:val="20"/>
          <w:color w:val="auto"/>
        </w:rPr>
      </w:pPr>
      <w:r>
        <w:rPr>
          <w:rFonts w:ascii="Arial" w:cs="Arial" w:eastAsia="Arial" w:hAnsi="Arial"/>
          <w:sz w:val="17"/>
          <w:szCs w:val="17"/>
          <w:color w:val="auto"/>
        </w:rPr>
        <w:t>NOW, THEREFORE, in consideration of the foregoing and of the respective covenants and agreements set forth below, the Parties hereto agree as follows:</w:t>
      </w:r>
    </w:p>
    <w:p>
      <w:pPr>
        <w:spacing w:after="0" w:line="187" w:lineRule="exact"/>
        <w:rPr>
          <w:sz w:val="20"/>
          <w:szCs w:val="20"/>
          <w:color w:val="auto"/>
        </w:rPr>
      </w:pPr>
    </w:p>
    <w:p>
      <w:pPr>
        <w:ind w:left="400" w:hanging="397"/>
        <w:spacing w:after="0"/>
        <w:tabs>
          <w:tab w:leader="none" w:pos="400"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Employment</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right="160" w:firstLine="412"/>
        <w:spacing w:after="0" w:line="307" w:lineRule="auto"/>
        <w:tabs>
          <w:tab w:leader="none" w:pos="637" w:val="left"/>
        </w:tabs>
        <w:numPr>
          <w:ilvl w:val="1"/>
          <w:numId w:val="426"/>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Effective on the consummation of the Company’s initial public offering of stock pursuant to an effective registration statement filed under the Securities Act of 1933, as amended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the Company shall employ Executive, and Executive shall be employed by the Company, for the period and in the positions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and subject to the other terms and conditions herein provided.</w:t>
      </w:r>
    </w:p>
    <w:p>
      <w:pPr>
        <w:spacing w:after="0" w:line="41" w:lineRule="exact"/>
        <w:rPr>
          <w:rFonts w:ascii="Arial" w:cs="Arial" w:eastAsia="Arial" w:hAnsi="Arial"/>
          <w:sz w:val="15"/>
          <w:szCs w:val="15"/>
          <w:color w:val="auto"/>
        </w:rPr>
      </w:pPr>
    </w:p>
    <w:p>
      <w:pPr>
        <w:ind w:right="20" w:firstLine="412"/>
        <w:spacing w:after="0" w:line="288" w:lineRule="auto"/>
        <w:tabs>
          <w:tab w:leader="none" w:pos="646" w:val="left"/>
        </w:tabs>
        <w:numPr>
          <w:ilvl w:val="1"/>
          <w:numId w:val="426"/>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57" w:lineRule="exact"/>
        <w:rPr>
          <w:rFonts w:ascii="Arial" w:cs="Arial" w:eastAsia="Arial" w:hAnsi="Arial"/>
          <w:sz w:val="15"/>
          <w:szCs w:val="15"/>
          <w:color w:val="auto"/>
        </w:rPr>
      </w:pPr>
    </w:p>
    <w:p>
      <w:pPr>
        <w:ind w:right="60" w:firstLine="412"/>
        <w:spacing w:after="0" w:line="267" w:lineRule="auto"/>
        <w:tabs>
          <w:tab w:leader="none" w:pos="637" w:val="left"/>
        </w:tabs>
        <w:numPr>
          <w:ilvl w:val="1"/>
          <w:numId w:val="426"/>
        </w:numPr>
        <w:rPr>
          <w:rFonts w:ascii="Arial" w:cs="Arial" w:eastAsia="Arial" w:hAnsi="Arial"/>
          <w:sz w:val="16"/>
          <w:szCs w:val="16"/>
          <w:color w:val="auto"/>
        </w:rPr>
      </w:pPr>
      <w:r>
        <w:rPr>
          <w:rFonts w:ascii="Arial" w:cs="Arial" w:eastAsia="Arial" w:hAnsi="Arial"/>
          <w:sz w:val="16"/>
          <w:szCs w:val="16"/>
          <w:u w:val="single" w:color="auto"/>
          <w:color w:val="auto"/>
        </w:rPr>
        <w:t>Positions and Duties</w:t>
      </w:r>
      <w:r>
        <w:rPr>
          <w:rFonts w:ascii="Arial" w:cs="Arial" w:eastAsia="Arial" w:hAnsi="Arial"/>
          <w:sz w:val="16"/>
          <w:szCs w:val="16"/>
          <w:color w:val="auto"/>
        </w:rPr>
        <w:t>. During the Term, Executive shall serve as Senior Vice President of Technical Operations of the Company, with such responsibilities, duties and authority normally associated with such position and as may from time to time be assigned to Executive by the Chief Executive Officer of the Company.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of Directors of the Company or an authorized committee of the thereof (in either case, the “</w:t>
      </w:r>
      <w:r>
        <w:rPr>
          <w:rFonts w:ascii="Arial" w:cs="Arial" w:eastAsia="Arial" w:hAnsi="Arial"/>
          <w:sz w:val="16"/>
          <w:szCs w:val="16"/>
          <w:u w:val="single" w:color="auto"/>
          <w:color w:val="auto"/>
        </w:rPr>
        <w:t>Board</w:t>
      </w:r>
      <w:r>
        <w:rPr>
          <w:rFonts w:ascii="Arial" w:cs="Arial" w:eastAsia="Arial" w:hAnsi="Arial"/>
          <w:sz w:val="16"/>
          <w:szCs w:val="16"/>
          <w:color w:val="auto"/>
        </w:rPr>
        <w:t>”),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w:t>
      </w:r>
    </w:p>
    <w:p>
      <w:pPr>
        <w:sectPr>
          <w:pgSz w:w="11900" w:h="16838" w:orient="portrait"/>
          <w:cols w:equalWidth="0" w:num="1">
            <w:col w:w="10240"/>
          </w:cols>
          <w:pgMar w:left="820" w:top="122" w:right="839" w:bottom="1440" w:gutter="0" w:footer="0" w:header="0"/>
        </w:sectPr>
      </w:pPr>
    </w:p>
    <w:bookmarkStart w:id="486" w:name="page487"/>
    <w:bookmarkEnd w:id="486"/>
    <w:p>
      <w:pPr>
        <w:ind w:right="8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(collectively, the “</w:t>
      </w:r>
      <w:r>
        <w:rPr>
          <w:rFonts w:ascii="Arial" w:cs="Arial" w:eastAsia="Arial" w:hAnsi="Arial"/>
          <w:sz w:val="17"/>
          <w:szCs w:val="17"/>
          <w:u w:val="single" w:color="auto"/>
          <w:color w:val="auto"/>
        </w:rPr>
        <w:t>Policies</w:t>
      </w:r>
      <w:r>
        <w:rPr>
          <w:rFonts w:ascii="Arial" w:cs="Arial" w:eastAsia="Arial" w:hAnsi="Arial"/>
          <w:sz w:val="17"/>
          <w:szCs w:val="17"/>
          <w:color w:val="auto"/>
        </w:rPr>
        <w:t>” and, each, a “</w:t>
      </w:r>
      <w:r>
        <w:rPr>
          <w:rFonts w:ascii="Arial" w:cs="Arial" w:eastAsia="Arial" w:hAnsi="Arial"/>
          <w:sz w:val="17"/>
          <w:szCs w:val="17"/>
          <w:u w:val="single" w:color="auto"/>
          <w:color w:val="auto"/>
        </w:rPr>
        <w:t>Policy</w:t>
      </w:r>
      <w:r>
        <w:rPr>
          <w:rFonts w:ascii="Arial" w:cs="Arial" w:eastAsia="Arial" w:hAnsi="Arial"/>
          <w:sz w:val="17"/>
          <w:szCs w:val="17"/>
          <w:color w:val="auto"/>
        </w:rPr>
        <w:t>”).</w:t>
      </w:r>
    </w:p>
    <w:p>
      <w:pPr>
        <w:spacing w:after="0" w:line="197" w:lineRule="exact"/>
        <w:rPr>
          <w:sz w:val="20"/>
          <w:szCs w:val="20"/>
          <w:color w:val="auto"/>
        </w:rPr>
      </w:pPr>
    </w:p>
    <w:p>
      <w:pPr>
        <w:ind w:left="400" w:hanging="397"/>
        <w:spacing w:after="0"/>
        <w:tabs>
          <w:tab w:leader="none" w:pos="400" w:val="left"/>
        </w:tabs>
        <w:numPr>
          <w:ilvl w:val="0"/>
          <w:numId w:val="4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and Related Matters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right="20" w:firstLine="412"/>
        <w:spacing w:after="0" w:line="307" w:lineRule="auto"/>
        <w:tabs>
          <w:tab w:leader="none" w:pos="637" w:val="left"/>
        </w:tabs>
        <w:numPr>
          <w:ilvl w:val="1"/>
          <w:numId w:val="427"/>
        </w:numPr>
        <w:rPr>
          <w:rFonts w:ascii="Arial" w:cs="Arial" w:eastAsia="Arial" w:hAnsi="Arial"/>
          <w:sz w:val="15"/>
          <w:szCs w:val="15"/>
          <w:color w:val="auto"/>
        </w:rPr>
      </w:pPr>
      <w:r>
        <w:rPr>
          <w:rFonts w:ascii="Arial" w:cs="Arial" w:eastAsia="Arial" w:hAnsi="Arial"/>
          <w:sz w:val="15"/>
          <w:szCs w:val="15"/>
          <w:u w:val="single" w:color="auto"/>
          <w:color w:val="auto"/>
        </w:rPr>
        <w:t>Annual Base Salary</w:t>
      </w:r>
      <w:r>
        <w:rPr>
          <w:rFonts w:ascii="Arial" w:cs="Arial" w:eastAsia="Arial" w:hAnsi="Arial"/>
          <w:sz w:val="15"/>
          <w:szCs w:val="15"/>
          <w:color w:val="auto"/>
        </w:rPr>
        <w:t>. During the Term, Executive shall receive a base salary at a rate of $300,000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Arial" w:cs="Arial" w:eastAsia="Arial" w:hAnsi="Arial"/>
          <w:sz w:val="15"/>
          <w:szCs w:val="15"/>
          <w:u w:val="single" w:color="auto"/>
          <w:color w:val="auto"/>
        </w:rPr>
        <w:t>Annual Base Salary</w:t>
      </w:r>
      <w:r>
        <w:rPr>
          <w:rFonts w:ascii="Arial" w:cs="Arial" w:eastAsia="Arial" w:hAnsi="Arial"/>
          <w:sz w:val="15"/>
          <w:szCs w:val="15"/>
          <w:color w:val="auto"/>
        </w:rPr>
        <w:t>”).</w:t>
      </w:r>
    </w:p>
    <w:p>
      <w:pPr>
        <w:spacing w:after="0" w:line="41" w:lineRule="exact"/>
        <w:rPr>
          <w:rFonts w:ascii="Arial" w:cs="Arial" w:eastAsia="Arial" w:hAnsi="Arial"/>
          <w:sz w:val="15"/>
          <w:szCs w:val="15"/>
          <w:color w:val="auto"/>
        </w:rPr>
      </w:pPr>
    </w:p>
    <w:p>
      <w:pPr>
        <w:ind w:right="100" w:firstLine="412"/>
        <w:spacing w:after="0" w:line="250" w:lineRule="auto"/>
        <w:tabs>
          <w:tab w:leader="none" w:pos="646" w:val="left"/>
        </w:tabs>
        <w:numPr>
          <w:ilvl w:val="1"/>
          <w:numId w:val="427"/>
        </w:numPr>
        <w:rPr>
          <w:rFonts w:ascii="Arial" w:cs="Arial" w:eastAsia="Arial" w:hAnsi="Arial"/>
          <w:sz w:val="17"/>
          <w:szCs w:val="17"/>
          <w:color w:val="auto"/>
        </w:rPr>
      </w:pPr>
      <w:r>
        <w:rPr>
          <w:rFonts w:ascii="Arial" w:cs="Arial" w:eastAsia="Arial" w:hAnsi="Arial"/>
          <w:sz w:val="17"/>
          <w:szCs w:val="17"/>
          <w:u w:val="single" w:color="auto"/>
          <w:color w:val="auto"/>
        </w:rPr>
        <w:t>Annual Cash Bonus Opportunity</w:t>
      </w:r>
      <w:r>
        <w:rPr>
          <w:rFonts w:ascii="Arial" w:cs="Arial" w:eastAsia="Arial" w:hAnsi="Arial"/>
          <w:sz w:val="17"/>
          <w:szCs w:val="17"/>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7"/>
          <w:szCs w:val="17"/>
          <w:u w:val="single" w:color="auto"/>
          <w:color w:val="auto"/>
        </w:rPr>
        <w:t>Annual Bonus</w:t>
      </w:r>
      <w:r>
        <w:rPr>
          <w:rFonts w:ascii="Arial" w:cs="Arial" w:eastAsia="Arial" w:hAnsi="Arial"/>
          <w:sz w:val="17"/>
          <w:szCs w:val="17"/>
          <w:color w:val="auto"/>
        </w:rPr>
        <w:t>”) shall be targeted at 35% of Executive’s Annual Base Salary (such target, as may be increased by the Board from time to time, the “</w:t>
      </w:r>
      <w:r>
        <w:rPr>
          <w:rFonts w:ascii="Arial" w:cs="Arial" w:eastAsia="Arial" w:hAnsi="Arial"/>
          <w:sz w:val="17"/>
          <w:szCs w:val="17"/>
          <w:u w:val="single" w:color="auto"/>
          <w:color w:val="auto"/>
        </w:rPr>
        <w:t>Target Annual Bonus</w:t>
      </w:r>
      <w:r>
        <w:rPr>
          <w:rFonts w:ascii="Arial" w:cs="Arial" w:eastAsia="Arial" w:hAnsi="Arial"/>
          <w:sz w:val="17"/>
          <w:szCs w:val="17"/>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Arial" w:cs="Arial" w:eastAsia="Arial" w:hAnsi="Arial"/>
          <w:sz w:val="17"/>
          <w:szCs w:val="17"/>
          <w:u w:val="single" w:color="auto"/>
          <w:color w:val="auto"/>
        </w:rPr>
        <w:t>Section 4(b)</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firstLine="412"/>
        <w:spacing w:after="0" w:line="253" w:lineRule="auto"/>
        <w:tabs>
          <w:tab w:leader="none" w:pos="637" w:val="left"/>
        </w:tabs>
        <w:numPr>
          <w:ilvl w:val="1"/>
          <w:numId w:val="427"/>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xml:space="preserve">. During the Term, Executive shall be eligible to participate in employee benefit plans, programs and arrangements of the Company (including medical, dental and 401(k) plans), subject to the terms and eligibility requirements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w:t>
      </w:r>
    </w:p>
    <w:p>
      <w:pPr>
        <w:spacing w:after="0" w:line="79" w:lineRule="exact"/>
        <w:rPr>
          <w:rFonts w:ascii="Arial" w:cs="Arial" w:eastAsia="Arial" w:hAnsi="Arial"/>
          <w:sz w:val="17"/>
          <w:szCs w:val="17"/>
          <w:color w:val="auto"/>
        </w:rPr>
      </w:pPr>
    </w:p>
    <w:p>
      <w:pPr>
        <w:ind w:right="180" w:firstLine="412"/>
        <w:spacing w:after="0" w:line="268" w:lineRule="auto"/>
        <w:tabs>
          <w:tab w:leader="none" w:pos="646" w:val="left"/>
        </w:tabs>
        <w:numPr>
          <w:ilvl w:val="1"/>
          <w:numId w:val="427"/>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Term, Executive shall be entitled to paid personal leave in accordance with the Company’s Policies. Any vacation shall be taken at the reasonable and mutual convenience of the Company and Executive.</w:t>
      </w:r>
    </w:p>
    <w:p>
      <w:pPr>
        <w:spacing w:after="0" w:line="65" w:lineRule="exact"/>
        <w:rPr>
          <w:rFonts w:ascii="Arial" w:cs="Arial" w:eastAsia="Arial" w:hAnsi="Arial"/>
          <w:sz w:val="17"/>
          <w:szCs w:val="17"/>
          <w:color w:val="auto"/>
        </w:rPr>
      </w:pPr>
    </w:p>
    <w:p>
      <w:pPr>
        <w:ind w:right="20" w:firstLine="412"/>
        <w:spacing w:after="0" w:line="335" w:lineRule="auto"/>
        <w:tabs>
          <w:tab w:leader="none" w:pos="637" w:val="left"/>
        </w:tabs>
        <w:numPr>
          <w:ilvl w:val="1"/>
          <w:numId w:val="427"/>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20" w:lineRule="exact"/>
        <w:rPr>
          <w:rFonts w:ascii="Arial" w:cs="Arial" w:eastAsia="Arial" w:hAnsi="Arial"/>
          <w:sz w:val="15"/>
          <w:szCs w:val="15"/>
          <w:color w:val="auto"/>
        </w:rPr>
      </w:pPr>
    </w:p>
    <w:p>
      <w:pPr>
        <w:ind w:firstLine="412"/>
        <w:spacing w:after="0" w:line="290" w:lineRule="auto"/>
        <w:tabs>
          <w:tab w:leader="none" w:pos="618" w:val="left"/>
        </w:tabs>
        <w:numPr>
          <w:ilvl w:val="1"/>
          <w:numId w:val="427"/>
        </w:numPr>
        <w:rPr>
          <w:rFonts w:ascii="Arial" w:cs="Arial" w:eastAsia="Arial" w:hAnsi="Arial"/>
          <w:sz w:val="15"/>
          <w:szCs w:val="15"/>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820" w:top="264" w:right="839" w:bottom="1440" w:gutter="0" w:footer="0" w:header="0"/>
        </w:sectPr>
      </w:pPr>
    </w:p>
    <w:bookmarkStart w:id="487" w:name="page488"/>
    <w:bookmarkEnd w:id="487"/>
    <w:p>
      <w:pPr>
        <w:ind w:left="400" w:hanging="397"/>
        <w:spacing w:after="0"/>
        <w:tabs>
          <w:tab w:leader="none" w:pos="400" w:val="left"/>
        </w:tabs>
        <w:numPr>
          <w:ilvl w:val="0"/>
          <w:numId w:val="4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Termination</w:t>
      </w:r>
      <w:r>
        <w:rPr>
          <w:rFonts w:ascii="Arial" w:cs="Arial" w:eastAsia="Arial" w:hAnsi="Arial"/>
          <w:sz w:val="17"/>
          <w:szCs w:val="17"/>
          <w:b w:val="1"/>
          <w:bCs w:val="1"/>
          <w:color w:val="auto"/>
        </w:rPr>
        <w:t>.</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Both Executive’s employment hereunder and the Term may be terminated by the Company or Executive, as applicable, without any breach of this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Agreement under the following circumstances:</w:t>
      </w:r>
    </w:p>
    <w:p>
      <w:pPr>
        <w:spacing w:after="0" w:line="94" w:lineRule="exact"/>
        <w:rPr>
          <w:sz w:val="20"/>
          <w:szCs w:val="20"/>
          <w:color w:val="auto"/>
        </w:rPr>
      </w:pPr>
    </w:p>
    <w:p>
      <w:pPr>
        <w:ind w:left="640" w:hanging="228"/>
        <w:spacing w:after="0"/>
        <w:tabs>
          <w:tab w:leader="none" w:pos="640" w:val="left"/>
        </w:tabs>
        <w:numPr>
          <w:ilvl w:val="0"/>
          <w:numId w:val="429"/>
        </w:numPr>
        <w:rPr>
          <w:rFonts w:ascii="Arial" w:cs="Arial" w:eastAsia="Arial" w:hAnsi="Arial"/>
          <w:sz w:val="17"/>
          <w:szCs w:val="17"/>
          <w:color w:val="auto"/>
        </w:rPr>
      </w:pPr>
      <w:r>
        <w:rPr>
          <w:rFonts w:ascii="Arial" w:cs="Arial" w:eastAsia="Arial" w:hAnsi="Arial"/>
          <w:sz w:val="17"/>
          <w:szCs w:val="17"/>
          <w:u w:val="single" w:color="auto"/>
          <w:color w:val="auto"/>
        </w:rPr>
        <w:t>Circumstances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1000" w:hanging="195"/>
        <w:spacing w:after="0"/>
        <w:tabs>
          <w:tab w:leader="none" w:pos="1000"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Death</w:t>
      </w:r>
      <w:r>
        <w:rPr>
          <w:rFonts w:ascii="Arial" w:cs="Arial" w:eastAsia="Arial" w:hAnsi="Arial"/>
          <w:sz w:val="17"/>
          <w:szCs w:val="17"/>
          <w:color w:val="auto"/>
        </w:rPr>
        <w:t>. Executive’s employment hereunder shall terminate upon Executive’s death.</w:t>
      </w:r>
    </w:p>
    <w:p>
      <w:pPr>
        <w:spacing w:after="0" w:line="105" w:lineRule="exact"/>
        <w:rPr>
          <w:rFonts w:ascii="Arial" w:cs="Arial" w:eastAsia="Arial" w:hAnsi="Arial"/>
          <w:sz w:val="17"/>
          <w:szCs w:val="17"/>
          <w:color w:val="auto"/>
        </w:rPr>
      </w:pPr>
    </w:p>
    <w:p>
      <w:pPr>
        <w:ind w:left="1060" w:hanging="255"/>
        <w:spacing w:after="0"/>
        <w:tabs>
          <w:tab w:leader="none" w:pos="1060"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Disability</w:t>
      </w:r>
      <w:r>
        <w:rPr>
          <w:rFonts w:ascii="Arial" w:cs="Arial" w:eastAsia="Arial" w:hAnsi="Arial"/>
          <w:sz w:val="17"/>
          <w:szCs w:val="17"/>
          <w:color w:val="auto"/>
        </w:rPr>
        <w:t>. If Executive has incurred a Disability, as defined below, the Company may terminate Executive’s employment.</w:t>
      </w:r>
    </w:p>
    <w:p>
      <w:pPr>
        <w:spacing w:after="0" w:line="105" w:lineRule="exact"/>
        <w:rPr>
          <w:rFonts w:ascii="Arial" w:cs="Arial" w:eastAsia="Arial" w:hAnsi="Arial"/>
          <w:sz w:val="17"/>
          <w:szCs w:val="17"/>
          <w:color w:val="auto"/>
        </w:rPr>
      </w:pPr>
    </w:p>
    <w:p>
      <w:pPr>
        <w:ind w:left="1100" w:hanging="295"/>
        <w:spacing w:after="0"/>
        <w:tabs>
          <w:tab w:leader="none" w:pos="1100"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Termination for Cause</w:t>
      </w:r>
      <w:r>
        <w:rPr>
          <w:rFonts w:ascii="Arial" w:cs="Arial" w:eastAsia="Arial" w:hAnsi="Arial"/>
          <w:sz w:val="17"/>
          <w:szCs w:val="17"/>
          <w:color w:val="auto"/>
        </w:rPr>
        <w:t>. The Company may terminate Executive’s employment for Cause, as defined below.</w:t>
      </w:r>
    </w:p>
    <w:p>
      <w:pPr>
        <w:spacing w:after="0" w:line="105" w:lineRule="exact"/>
        <w:rPr>
          <w:rFonts w:ascii="Arial" w:cs="Arial" w:eastAsia="Arial" w:hAnsi="Arial"/>
          <w:sz w:val="17"/>
          <w:szCs w:val="17"/>
          <w:color w:val="auto"/>
        </w:rPr>
      </w:pPr>
    </w:p>
    <w:p>
      <w:pPr>
        <w:ind w:left="1080" w:hanging="275"/>
        <w:spacing w:after="0"/>
        <w:tabs>
          <w:tab w:leader="none" w:pos="1080"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Termination without Cause</w:t>
      </w:r>
      <w:r>
        <w:rPr>
          <w:rFonts w:ascii="Arial" w:cs="Arial" w:eastAsia="Arial" w:hAnsi="Arial"/>
          <w:sz w:val="17"/>
          <w:szCs w:val="17"/>
          <w:color w:val="auto"/>
        </w:rPr>
        <w:t>. The Company may terminate Executive’s employment without Cause.</w:t>
      </w:r>
    </w:p>
    <w:p>
      <w:pPr>
        <w:spacing w:after="0" w:line="105" w:lineRule="exact"/>
        <w:rPr>
          <w:rFonts w:ascii="Arial" w:cs="Arial" w:eastAsia="Arial" w:hAnsi="Arial"/>
          <w:sz w:val="17"/>
          <w:szCs w:val="17"/>
          <w:color w:val="auto"/>
        </w:rPr>
      </w:pPr>
    </w:p>
    <w:p>
      <w:pPr>
        <w:ind w:left="420" w:firstLine="385"/>
        <w:spacing w:after="0" w:line="268" w:lineRule="auto"/>
        <w:tabs>
          <w:tab w:leader="none" w:pos="1050"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 xml:space="preserve">Resignation from the Company with Good Reason. </w:t>
      </w:r>
      <w:r>
        <w:rPr>
          <w:rFonts w:ascii="Arial" w:cs="Arial" w:eastAsia="Arial" w:hAnsi="Arial"/>
          <w:sz w:val="17"/>
          <w:szCs w:val="17"/>
          <w:color w:val="auto"/>
        </w:rPr>
        <w:t>Executive may resign Executive’s employment with the Company with 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below.</w:t>
      </w:r>
    </w:p>
    <w:p>
      <w:pPr>
        <w:spacing w:after="0" w:line="65" w:lineRule="exact"/>
        <w:rPr>
          <w:rFonts w:ascii="Arial" w:cs="Arial" w:eastAsia="Arial" w:hAnsi="Arial"/>
          <w:sz w:val="17"/>
          <w:szCs w:val="17"/>
          <w:color w:val="auto"/>
        </w:rPr>
      </w:pPr>
    </w:p>
    <w:p>
      <w:pPr>
        <w:ind w:left="420" w:right="60" w:firstLine="385"/>
        <w:spacing w:after="0" w:line="268" w:lineRule="auto"/>
        <w:tabs>
          <w:tab w:leader="none" w:pos="1097"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Resignation from the Company without Good Reason</w:t>
      </w:r>
      <w:r>
        <w:rPr>
          <w:rFonts w:ascii="Arial" w:cs="Arial" w:eastAsia="Arial" w:hAnsi="Arial"/>
          <w:sz w:val="17"/>
          <w:szCs w:val="17"/>
          <w:color w:val="auto"/>
        </w:rPr>
        <w:t>. Executive may resign Executive’s employment with the Company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Good Reason or for no reason.</w:t>
      </w:r>
    </w:p>
    <w:p>
      <w:pPr>
        <w:spacing w:after="0" w:line="65" w:lineRule="exact"/>
        <w:rPr>
          <w:rFonts w:ascii="Arial" w:cs="Arial" w:eastAsia="Arial" w:hAnsi="Arial"/>
          <w:sz w:val="17"/>
          <w:szCs w:val="17"/>
          <w:color w:val="auto"/>
        </w:rPr>
      </w:pPr>
    </w:p>
    <w:p>
      <w:pPr>
        <w:ind w:right="60" w:firstLine="412"/>
        <w:spacing w:after="0" w:line="285" w:lineRule="auto"/>
        <w:tabs>
          <w:tab w:leader="none" w:pos="646" w:val="left"/>
        </w:tabs>
        <w:numPr>
          <w:ilvl w:val="0"/>
          <w:numId w:val="429"/>
        </w:numPr>
        <w:rPr>
          <w:rFonts w:ascii="Arial" w:cs="Arial" w:eastAsia="Arial" w:hAnsi="Arial"/>
          <w:sz w:val="15"/>
          <w:szCs w:val="15"/>
          <w:color w:val="auto"/>
        </w:rPr>
      </w:pP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Any termination of Executive’s employment by the Company or by Executive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(other than termination pursuant to </w:t>
      </w:r>
      <w:r>
        <w:rPr>
          <w:rFonts w:ascii="Arial" w:cs="Arial" w:eastAsia="Arial" w:hAnsi="Arial"/>
          <w:sz w:val="15"/>
          <w:szCs w:val="15"/>
          <w:u w:val="single" w:color="auto"/>
          <w:color w:val="auto"/>
        </w:rPr>
        <w:t>Section 3(a)(i))</w:t>
      </w:r>
      <w:r>
        <w:rPr>
          <w:rFonts w:ascii="Arial" w:cs="Arial" w:eastAsia="Arial" w:hAnsi="Arial"/>
          <w:sz w:val="15"/>
          <w:szCs w:val="15"/>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(as defined below) which, if submitted by Executive, shall be at least thirty (30) days following the date of such notice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56" w:lineRule="exact"/>
        <w:rPr>
          <w:rFonts w:ascii="Arial" w:cs="Arial" w:eastAsia="Arial" w:hAnsi="Arial"/>
          <w:sz w:val="15"/>
          <w:szCs w:val="15"/>
          <w:color w:val="auto"/>
        </w:rPr>
      </w:pPr>
    </w:p>
    <w:p>
      <w:pPr>
        <w:ind w:right="20" w:firstLine="412"/>
        <w:spacing w:after="0" w:line="266" w:lineRule="auto"/>
        <w:tabs>
          <w:tab w:leader="none" w:pos="637"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Company Obligations upon Termination</w:t>
      </w:r>
      <w:r>
        <w:rPr>
          <w:rFonts w:ascii="Arial" w:cs="Arial" w:eastAsia="Arial" w:hAnsi="Arial"/>
          <w:sz w:val="16"/>
          <w:szCs w:val="16"/>
          <w:color w:val="auto"/>
        </w:rPr>
        <w:t xml:space="preserve">. Upon termination of Executive’s employment pursuant to any of the circumstances listed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Arrangements</w:t>
      </w:r>
      <w:r>
        <w:rPr>
          <w:rFonts w:ascii="Arial" w:cs="Arial" w:eastAsia="Arial" w:hAnsi="Arial"/>
          <w:sz w:val="16"/>
          <w:szCs w:val="16"/>
          <w:color w:val="auto"/>
        </w:rPr>
        <w:t>”). Except as otherwise expressly required by law (e.g.,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as applicable.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0"/>
          </w:cols>
          <w:pgMar w:left="820" w:top="261" w:right="839" w:bottom="1440" w:gutter="0" w:footer="0" w:header="0"/>
        </w:sectPr>
      </w:pPr>
    </w:p>
    <w:bookmarkStart w:id="488" w:name="page489"/>
    <w:bookmarkEnd w:id="488"/>
    <w:p>
      <w:pPr>
        <w:ind w:right="460" w:firstLine="412"/>
        <w:spacing w:after="0" w:line="268" w:lineRule="auto"/>
        <w:tabs>
          <w:tab w:leader="none" w:pos="646" w:val="left"/>
        </w:tabs>
        <w:numPr>
          <w:ilvl w:val="1"/>
          <w:numId w:val="43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Deemed Resignation</w:t>
      </w:r>
      <w:r>
        <w:rPr>
          <w:rFonts w:ascii="Arial" w:cs="Arial" w:eastAsia="Arial" w:hAnsi="Arial"/>
          <w:sz w:val="17"/>
          <w:szCs w:val="17"/>
          <w:color w:val="auto"/>
        </w:rPr>
        <w:t>. Upon termination of Executive’s employment for any reason, Executive shall be deemed to have resigned from all offices and directorships, if any, then held with the Company or any of its subsidiaries.</w:t>
      </w:r>
    </w:p>
    <w:p>
      <w:pPr>
        <w:spacing w:after="0" w:line="187" w:lineRule="exact"/>
        <w:rPr>
          <w:rFonts w:ascii="Arial" w:cs="Arial" w:eastAsia="Arial" w:hAnsi="Arial"/>
          <w:sz w:val="17"/>
          <w:szCs w:val="17"/>
          <w:color w:val="auto"/>
        </w:rPr>
      </w:pPr>
    </w:p>
    <w:p>
      <w:pPr>
        <w:ind w:left="400" w:hanging="397"/>
        <w:spacing w:after="0"/>
        <w:tabs>
          <w:tab w:leader="none" w:pos="400" w:val="left"/>
        </w:tabs>
        <w:numPr>
          <w:ilvl w:val="0"/>
          <w:numId w:val="4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Severance Payments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right="220" w:firstLine="412"/>
        <w:spacing w:after="0" w:line="274" w:lineRule="auto"/>
        <w:tabs>
          <w:tab w:leader="none" w:pos="637" w:val="left"/>
        </w:tabs>
        <w:numPr>
          <w:ilvl w:val="1"/>
          <w:numId w:val="431"/>
        </w:numPr>
        <w:rPr>
          <w:rFonts w:ascii="Arial" w:cs="Arial" w:eastAsia="Arial" w:hAnsi="Arial"/>
          <w:sz w:val="16"/>
          <w:szCs w:val="16"/>
          <w:color w:val="auto"/>
        </w:rPr>
      </w:pPr>
      <w:r>
        <w:rPr>
          <w:rFonts w:ascii="Arial" w:cs="Arial" w:eastAsia="Arial" w:hAnsi="Arial"/>
          <w:sz w:val="16"/>
          <w:szCs w:val="16"/>
          <w:u w:val="single" w:color="auto"/>
          <w:color w:val="auto"/>
        </w:rPr>
        <w:t>Termination for Cause, or Termination Upon Death, Disability or Resignation from the Company Without Good Reason</w:t>
      </w:r>
      <w:r>
        <w:rPr>
          <w:rFonts w:ascii="Arial" w:cs="Arial" w:eastAsia="Arial" w:hAnsi="Arial"/>
          <w:sz w:val="16"/>
          <w:szCs w:val="16"/>
          <w:color w:val="auto"/>
        </w:rPr>
        <w:t xml:space="preserve">. If Executive’s employment shall terminate as a result of Executive’s death pursuant to </w:t>
      </w:r>
      <w:r>
        <w:rPr>
          <w:rFonts w:ascii="Arial" w:cs="Arial" w:eastAsia="Arial" w:hAnsi="Arial"/>
          <w:sz w:val="16"/>
          <w:szCs w:val="16"/>
          <w:u w:val="single" w:color="auto"/>
          <w:color w:val="auto"/>
        </w:rPr>
        <w:t>Section 3(a)(i), as a result of</w:t>
      </w:r>
      <w:r>
        <w:rPr>
          <w:rFonts w:ascii="Arial" w:cs="Arial" w:eastAsia="Arial" w:hAnsi="Arial"/>
          <w:sz w:val="16"/>
          <w:szCs w:val="16"/>
          <w:color w:val="auto"/>
        </w:rPr>
        <w:t xml:space="preserve"> Disability pursuant to </w:t>
      </w:r>
      <w:r>
        <w:rPr>
          <w:rFonts w:ascii="Arial" w:cs="Arial" w:eastAsia="Arial" w:hAnsi="Arial"/>
          <w:sz w:val="16"/>
          <w:szCs w:val="16"/>
          <w:u w:val="single" w:color="auto"/>
          <w:color w:val="auto"/>
        </w:rPr>
        <w:t>Section 3(a)(ii)</w:t>
      </w:r>
      <w:r>
        <w:rPr>
          <w:rFonts w:ascii="Arial" w:cs="Arial" w:eastAsia="Arial" w:hAnsi="Arial"/>
          <w:sz w:val="16"/>
          <w:szCs w:val="16"/>
          <w:color w:val="auto"/>
        </w:rPr>
        <w:t xml:space="preserve">, for Cause pursuant to </w:t>
      </w:r>
      <w:r>
        <w:rPr>
          <w:rFonts w:ascii="Arial" w:cs="Arial" w:eastAsia="Arial" w:hAnsi="Arial"/>
          <w:sz w:val="16"/>
          <w:szCs w:val="16"/>
          <w:u w:val="single" w:color="auto"/>
          <w:color w:val="auto"/>
        </w:rPr>
        <w:t>Section 3(a)(iii)</w:t>
      </w:r>
      <w:r>
        <w:rPr>
          <w:rFonts w:ascii="Arial" w:cs="Arial" w:eastAsia="Arial" w:hAnsi="Arial"/>
          <w:sz w:val="16"/>
          <w:szCs w:val="16"/>
          <w:color w:val="auto"/>
        </w:rPr>
        <w:t xml:space="preserve"> or for Executive’s resignation from the Company without Good Reason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xml:space="preserve">, then Executive shall not be entitled to any severance payments or benefits, except as provided in </w:t>
      </w:r>
      <w:r>
        <w:rPr>
          <w:rFonts w:ascii="Arial" w:cs="Arial" w:eastAsia="Arial" w:hAnsi="Arial"/>
          <w:sz w:val="16"/>
          <w:szCs w:val="16"/>
          <w:u w:val="single" w:color="auto"/>
          <w:color w:val="auto"/>
        </w:rPr>
        <w:t>Section 3(c)</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right="40" w:firstLine="412"/>
        <w:spacing w:after="0" w:line="268" w:lineRule="auto"/>
        <w:tabs>
          <w:tab w:leader="none" w:pos="646" w:val="left"/>
        </w:tabs>
        <w:numPr>
          <w:ilvl w:val="1"/>
          <w:numId w:val="431"/>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from the Company with Good Reason</w:t>
      </w:r>
      <w:r>
        <w:rPr>
          <w:rFonts w:ascii="Arial" w:cs="Arial" w:eastAsia="Arial" w:hAnsi="Arial"/>
          <w:sz w:val="16"/>
          <w:szCs w:val="16"/>
          <w:color w:val="auto"/>
        </w:rPr>
        <w:t xml:space="preserve">. If Executive’s employment terminates without Cause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3(a)(v)</w:t>
      </w:r>
      <w:r>
        <w:rPr>
          <w:rFonts w:ascii="Arial" w:cs="Arial" w:eastAsia="Arial" w:hAnsi="Arial"/>
          <w:sz w:val="16"/>
          <w:szCs w:val="16"/>
          <w:color w:val="auto"/>
        </w:rPr>
        <w:t xml:space="preserve"> due to Executive’s resignation with Good Reason, then, subject to Executive signing on or before the twenty-first (21st) day following Executive’s Separation from Service (as defined below) or in the event that such Separation from Service is “in connection with an exit incentive or other employment termination program” (as such phrase is defined in the Age Discrimination in Employment Act of 1967, as amended) on or before the forty-fifth (45th) day following Executive’s Separation from Service, and not revoking, a release of claims substantially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and Executive’s continued compliance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Executive shall receive, in addition to payments and benefits set forth in </w:t>
      </w:r>
      <w:r>
        <w:rPr>
          <w:rFonts w:ascii="Arial" w:cs="Arial" w:eastAsia="Arial" w:hAnsi="Arial"/>
          <w:sz w:val="16"/>
          <w:szCs w:val="16"/>
          <w:u w:val="single" w:color="auto"/>
          <w:color w:val="auto"/>
        </w:rPr>
        <w:t>Section 3(c)</w:t>
      </w:r>
      <w:r>
        <w:rPr>
          <w:rFonts w:ascii="Arial" w:cs="Arial" w:eastAsia="Arial" w:hAnsi="Arial"/>
          <w:sz w:val="16"/>
          <w:szCs w:val="16"/>
          <w:color w:val="auto"/>
        </w:rPr>
        <w:t>, the following:</w:t>
      </w:r>
    </w:p>
    <w:p>
      <w:pPr>
        <w:spacing w:after="0" w:line="68" w:lineRule="exact"/>
        <w:rPr>
          <w:rFonts w:ascii="Arial" w:cs="Arial" w:eastAsia="Arial" w:hAnsi="Arial"/>
          <w:sz w:val="16"/>
          <w:szCs w:val="16"/>
          <w:color w:val="auto"/>
        </w:rPr>
      </w:pPr>
    </w:p>
    <w:p>
      <w:pPr>
        <w:jc w:val="both"/>
        <w:ind w:left="420" w:right="160" w:firstLine="385"/>
        <w:spacing w:after="0" w:line="257" w:lineRule="auto"/>
        <w:tabs>
          <w:tab w:leader="none" w:pos="1013" w:val="left"/>
        </w:tabs>
        <w:numPr>
          <w:ilvl w:val="2"/>
          <w:numId w:val="431"/>
        </w:numPr>
        <w:rPr>
          <w:rFonts w:ascii="Arial" w:cs="Arial" w:eastAsia="Arial" w:hAnsi="Arial"/>
          <w:sz w:val="17"/>
          <w:szCs w:val="17"/>
          <w:color w:val="auto"/>
        </w:rPr>
      </w:pPr>
      <w:r>
        <w:rPr>
          <w:rFonts w:ascii="Arial" w:cs="Arial" w:eastAsia="Arial" w:hAnsi="Arial"/>
          <w:sz w:val="17"/>
          <w:szCs w:val="17"/>
          <w:color w:val="auto"/>
        </w:rPr>
        <w:t>an amount in cash equal to 0.5 times the Annual Base Salary, payable in the form of salary continuation in regular installments over the six-month period following the date of Executive’s Separation from Service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in accordance with the Company’s normal payroll practices;</w:t>
      </w:r>
    </w:p>
    <w:p>
      <w:pPr>
        <w:spacing w:after="0" w:line="74" w:lineRule="exact"/>
        <w:rPr>
          <w:rFonts w:ascii="Arial" w:cs="Arial" w:eastAsia="Arial" w:hAnsi="Arial"/>
          <w:sz w:val="17"/>
          <w:szCs w:val="17"/>
          <w:color w:val="auto"/>
        </w:rPr>
      </w:pPr>
    </w:p>
    <w:p>
      <w:pPr>
        <w:ind w:left="420" w:firstLine="385"/>
        <w:spacing w:after="0" w:line="298" w:lineRule="auto"/>
        <w:tabs>
          <w:tab w:leader="none" w:pos="1060" w:val="left"/>
        </w:tabs>
        <w:numPr>
          <w:ilvl w:val="2"/>
          <w:numId w:val="431"/>
        </w:numPr>
        <w:rPr>
          <w:rFonts w:ascii="Arial" w:cs="Arial" w:eastAsia="Arial" w:hAnsi="Arial"/>
          <w:sz w:val="15"/>
          <w:szCs w:val="15"/>
          <w:color w:val="auto"/>
        </w:rPr>
      </w:pPr>
      <w:r>
        <w:rPr>
          <w:rFonts w:ascii="Arial" w:cs="Arial" w:eastAsia="Arial" w:hAnsi="Arial"/>
          <w:sz w:val="15"/>
          <w:szCs w:val="15"/>
          <w:color w:val="auto"/>
        </w:rPr>
        <w:t>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47" w:lineRule="exact"/>
        <w:rPr>
          <w:rFonts w:ascii="Arial" w:cs="Arial" w:eastAsia="Arial" w:hAnsi="Arial"/>
          <w:sz w:val="15"/>
          <w:szCs w:val="15"/>
          <w:color w:val="auto"/>
        </w:rPr>
      </w:pPr>
    </w:p>
    <w:p>
      <w:pPr>
        <w:ind w:left="420" w:right="60" w:firstLine="385"/>
        <w:spacing w:after="0" w:line="267" w:lineRule="auto"/>
        <w:tabs>
          <w:tab w:leader="none" w:pos="1106" w:val="left"/>
        </w:tabs>
        <w:numPr>
          <w:ilvl w:val="2"/>
          <w:numId w:val="431"/>
        </w:numPr>
        <w:rPr>
          <w:rFonts w:ascii="Arial" w:cs="Arial" w:eastAsia="Arial" w:hAnsi="Arial"/>
          <w:sz w:val="16"/>
          <w:szCs w:val="16"/>
          <w:color w:val="auto"/>
        </w:rPr>
      </w:pPr>
      <w:r>
        <w:rPr>
          <w:rFonts w:ascii="Arial" w:cs="Arial" w:eastAsia="Arial" w:hAnsi="Arial"/>
          <w:sz w:val="16"/>
          <w:szCs w:val="16"/>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40"/>
          </w:cols>
          <w:pgMar w:left="820" w:top="265" w:right="839" w:bottom="1440" w:gutter="0" w:footer="0" w:header="0"/>
        </w:sectPr>
      </w:pPr>
    </w:p>
    <w:bookmarkStart w:id="489" w:name="page490"/>
    <w:bookmarkEnd w:id="489"/>
    <w:p>
      <w:pPr>
        <w:ind w:left="417"/>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sole discretion that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regardless of whether Executive elects COBRA continuation coverage and shall commence in the month following the month in which the Date of Termination occurs and shall end on the earliest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w:t>
      </w:r>
    </w:p>
    <w:p>
      <w:pPr>
        <w:spacing w:after="0" w:line="61" w:lineRule="exact"/>
        <w:rPr>
          <w:sz w:val="20"/>
          <w:szCs w:val="20"/>
          <w:color w:val="auto"/>
        </w:rPr>
      </w:pPr>
    </w:p>
    <w:p>
      <w:pPr>
        <w:ind w:left="-3" w:right="400" w:firstLine="412"/>
        <w:spacing w:after="0" w:line="287" w:lineRule="auto"/>
        <w:tabs>
          <w:tab w:leader="none" w:pos="634" w:val="left"/>
        </w:tabs>
        <w:numPr>
          <w:ilvl w:val="1"/>
          <w:numId w:val="432"/>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xml:space="preserve">. In lieu of the payments and benefits set forth in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in the event Executive’s employment terminates without Cause pursuant to </w:t>
      </w:r>
      <w:r>
        <w:rPr>
          <w:rFonts w:ascii="Arial" w:cs="Arial" w:eastAsia="Arial" w:hAnsi="Arial"/>
          <w:sz w:val="15"/>
          <w:szCs w:val="15"/>
          <w:u w:val="single" w:color="auto"/>
          <w:color w:val="auto"/>
        </w:rPr>
        <w:t>Section 3(a)(iv)</w:t>
      </w:r>
      <w:r>
        <w:rPr>
          <w:rFonts w:ascii="Arial" w:cs="Arial" w:eastAsia="Arial" w:hAnsi="Arial"/>
          <w:sz w:val="15"/>
          <w:szCs w:val="15"/>
          <w:color w:val="auto"/>
        </w:rPr>
        <w:t xml:space="preserve">, or due to Executive’s resignation with Good Reason pursuant to </w:t>
      </w:r>
      <w:r>
        <w:rPr>
          <w:rFonts w:ascii="Arial" w:cs="Arial" w:eastAsia="Arial" w:hAnsi="Arial"/>
          <w:sz w:val="15"/>
          <w:szCs w:val="15"/>
          <w:u w:val="single" w:color="auto"/>
          <w:color w:val="auto"/>
        </w:rPr>
        <w:t>Section 3(a)(v)</w:t>
      </w:r>
      <w:r>
        <w:rPr>
          <w:rFonts w:ascii="Arial" w:cs="Arial" w:eastAsia="Arial" w:hAnsi="Arial"/>
          <w:sz w:val="15"/>
          <w:szCs w:val="15"/>
          <w:color w:val="auto"/>
        </w:rPr>
        <w:t>, in either case, within three</w:t>
      </w:r>
    </w:p>
    <w:p>
      <w:pPr>
        <w:spacing w:after="0" w:line="1" w:lineRule="exact"/>
        <w:rPr>
          <w:rFonts w:ascii="Arial" w:cs="Arial" w:eastAsia="Arial" w:hAnsi="Arial"/>
          <w:sz w:val="15"/>
          <w:szCs w:val="15"/>
          <w:color w:val="auto"/>
        </w:rPr>
      </w:pPr>
    </w:p>
    <w:p>
      <w:pPr>
        <w:ind w:left="-3" w:right="40" w:firstLine="3"/>
        <w:spacing w:after="0" w:line="248" w:lineRule="auto"/>
        <w:tabs>
          <w:tab w:leader="none" w:pos="234"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months prior or twelve (12) months following the date of a Change in Control, subject to Executive signing on or before the twenty-first (21st) day following Executive’s Separation from Service or in the event that such Separation from Service is “in connection with an exit incentive or other employment termination program” (as such phrase is defined in the Age Discrimination in Employment Act of 1967, as amended) on or before the forty-fifth (45th) day following Executive’s Separation from Service, and not revoking, the Release, Executive shall receive, in addition to the payments and benefits set forth in </w:t>
      </w:r>
      <w:r>
        <w:rPr>
          <w:rFonts w:ascii="Arial" w:cs="Arial" w:eastAsia="Arial" w:hAnsi="Arial"/>
          <w:sz w:val="17"/>
          <w:szCs w:val="17"/>
          <w:u w:val="single" w:color="auto"/>
          <w:color w:val="auto"/>
        </w:rPr>
        <w:t>Section 3(c)</w:t>
      </w:r>
      <w:r>
        <w:rPr>
          <w:rFonts w:ascii="Arial" w:cs="Arial" w:eastAsia="Arial" w:hAnsi="Arial"/>
          <w:sz w:val="17"/>
          <w:szCs w:val="17"/>
          <w:color w:val="auto"/>
        </w:rPr>
        <w:t>, the following:</w:t>
      </w:r>
    </w:p>
    <w:p>
      <w:pPr>
        <w:spacing w:after="0" w:line="82" w:lineRule="exact"/>
        <w:rPr>
          <w:rFonts w:ascii="Arial" w:cs="Arial" w:eastAsia="Arial" w:hAnsi="Arial"/>
          <w:sz w:val="17"/>
          <w:szCs w:val="17"/>
          <w:color w:val="auto"/>
        </w:rPr>
      </w:pPr>
    </w:p>
    <w:p>
      <w:pPr>
        <w:ind w:left="417" w:right="220" w:firstLine="385"/>
        <w:spacing w:after="0" w:line="257" w:lineRule="auto"/>
        <w:tabs>
          <w:tab w:leader="none" w:pos="1010" w:val="left"/>
        </w:tabs>
        <w:numPr>
          <w:ilvl w:val="2"/>
          <w:numId w:val="433"/>
        </w:numPr>
        <w:rPr>
          <w:rFonts w:ascii="Arial" w:cs="Arial" w:eastAsia="Arial" w:hAnsi="Arial"/>
          <w:sz w:val="17"/>
          <w:szCs w:val="17"/>
          <w:color w:val="auto"/>
        </w:rPr>
      </w:pPr>
      <w:r>
        <w:rPr>
          <w:rFonts w:ascii="Arial" w:cs="Arial" w:eastAsia="Arial" w:hAnsi="Arial"/>
          <w:sz w:val="17"/>
          <w:szCs w:val="17"/>
          <w:color w:val="auto"/>
        </w:rPr>
        <w:t>an amount in cash equal to 0.75 times the sum of (A) the Annual Base Salary plus (B) the Target Annual Bonus, payable in equal installments over the nine-month period following the date of Executive’s Separation from Service (the “</w:t>
      </w:r>
      <w:r>
        <w:rPr>
          <w:rFonts w:ascii="Arial" w:cs="Arial" w:eastAsia="Arial" w:hAnsi="Arial"/>
          <w:sz w:val="17"/>
          <w:szCs w:val="17"/>
          <w:u w:val="single" w:color="auto"/>
          <w:color w:val="auto"/>
        </w:rPr>
        <w:t>CIC Severance Period</w:t>
      </w:r>
      <w:r>
        <w:rPr>
          <w:rFonts w:ascii="Arial" w:cs="Arial" w:eastAsia="Arial" w:hAnsi="Arial"/>
          <w:sz w:val="17"/>
          <w:szCs w:val="17"/>
          <w:color w:val="auto"/>
        </w:rPr>
        <w:t>”) in accordance with the Company’s normal payroll practices;</w:t>
      </w:r>
    </w:p>
    <w:p>
      <w:pPr>
        <w:spacing w:after="0" w:line="74" w:lineRule="exact"/>
        <w:rPr>
          <w:rFonts w:ascii="Arial" w:cs="Arial" w:eastAsia="Arial" w:hAnsi="Arial"/>
          <w:sz w:val="17"/>
          <w:szCs w:val="17"/>
          <w:color w:val="auto"/>
        </w:rPr>
      </w:pPr>
    </w:p>
    <w:p>
      <w:pPr>
        <w:ind w:left="1057" w:hanging="255"/>
        <w:spacing w:after="0"/>
        <w:tabs>
          <w:tab w:leader="none" w:pos="1057" w:val="left"/>
        </w:tabs>
        <w:numPr>
          <w:ilvl w:val="2"/>
          <w:numId w:val="433"/>
        </w:numPr>
        <w:rPr>
          <w:rFonts w:ascii="Arial" w:cs="Arial" w:eastAsia="Arial" w:hAnsi="Arial"/>
          <w:sz w:val="17"/>
          <w:szCs w:val="17"/>
          <w:color w:val="auto"/>
        </w:rPr>
      </w:pPr>
      <w:r>
        <w:rPr>
          <w:rFonts w:ascii="Arial" w:cs="Arial" w:eastAsia="Arial" w:hAnsi="Arial"/>
          <w:sz w:val="17"/>
          <w:szCs w:val="17"/>
          <w:color w:val="auto"/>
        </w:rPr>
        <w:t>the payment set forth in Section 4(b)(ii);</w:t>
      </w:r>
    </w:p>
    <w:p>
      <w:pPr>
        <w:spacing w:after="0" w:line="105" w:lineRule="exact"/>
        <w:rPr>
          <w:rFonts w:ascii="Arial" w:cs="Arial" w:eastAsia="Arial" w:hAnsi="Arial"/>
          <w:sz w:val="17"/>
          <w:szCs w:val="17"/>
          <w:color w:val="auto"/>
        </w:rPr>
      </w:pPr>
    </w:p>
    <w:p>
      <w:pPr>
        <w:ind w:left="1097" w:hanging="295"/>
        <w:spacing w:after="0"/>
        <w:tabs>
          <w:tab w:leader="none" w:pos="1097" w:val="left"/>
        </w:tabs>
        <w:numPr>
          <w:ilvl w:val="2"/>
          <w:numId w:val="433"/>
        </w:numPr>
        <w:rPr>
          <w:rFonts w:ascii="Arial" w:cs="Arial" w:eastAsia="Arial" w:hAnsi="Arial"/>
          <w:sz w:val="17"/>
          <w:szCs w:val="17"/>
          <w:color w:val="auto"/>
        </w:rPr>
      </w:pPr>
      <w:r>
        <w:rPr>
          <w:rFonts w:ascii="Arial" w:cs="Arial" w:eastAsia="Arial" w:hAnsi="Arial"/>
          <w:sz w:val="17"/>
          <w:szCs w:val="17"/>
          <w:color w:val="auto"/>
        </w:rPr>
        <w:t>the benefits set forth in Section 4(b)(iii), provided that the “Severance Period” will mean the CIC Severance Period; and</w:t>
      </w:r>
    </w:p>
    <w:p>
      <w:pPr>
        <w:spacing w:after="0" w:line="105" w:lineRule="exact"/>
        <w:rPr>
          <w:rFonts w:ascii="Arial" w:cs="Arial" w:eastAsia="Arial" w:hAnsi="Arial"/>
          <w:sz w:val="17"/>
          <w:szCs w:val="17"/>
          <w:color w:val="auto"/>
        </w:rPr>
      </w:pPr>
    </w:p>
    <w:p>
      <w:pPr>
        <w:jc w:val="both"/>
        <w:ind w:left="417" w:right="140" w:firstLine="385"/>
        <w:spacing w:after="0" w:line="307" w:lineRule="auto"/>
        <w:tabs>
          <w:tab w:leader="none" w:pos="1094" w:val="left"/>
        </w:tabs>
        <w:numPr>
          <w:ilvl w:val="2"/>
          <w:numId w:val="433"/>
        </w:numPr>
        <w:rPr>
          <w:rFonts w:ascii="Arial" w:cs="Arial" w:eastAsia="Arial" w:hAnsi="Arial"/>
          <w:sz w:val="15"/>
          <w:szCs w:val="15"/>
          <w:color w:val="auto"/>
        </w:rPr>
      </w:pPr>
      <w:r>
        <w:rPr>
          <w:rFonts w:ascii="Arial" w:cs="Arial" w:eastAsia="Arial" w:hAnsi="Arial"/>
          <w:sz w:val="15"/>
          <w:szCs w:val="15"/>
          <w:color w:val="auto"/>
        </w:rPr>
        <w:t>all unvested equity or equity-based awards held by Executive under any Company equity compensation plans that vest solely based on the passage of time shall immediately become 100% vested (for the avoidance of doubt, with any such awards that vest in whole or in part based on the attainment of performance-vesting conditions being governed by the terms of the applicable award agreement).</w:t>
      </w:r>
    </w:p>
    <w:p>
      <w:pPr>
        <w:spacing w:after="0" w:line="41" w:lineRule="exact"/>
        <w:rPr>
          <w:rFonts w:ascii="Arial" w:cs="Arial" w:eastAsia="Arial" w:hAnsi="Arial"/>
          <w:sz w:val="15"/>
          <w:szCs w:val="15"/>
          <w:color w:val="auto"/>
        </w:rPr>
      </w:pPr>
    </w:p>
    <w:p>
      <w:pPr>
        <w:ind w:left="-3" w:right="240" w:firstLine="412"/>
        <w:spacing w:after="0" w:line="268" w:lineRule="auto"/>
        <w:tabs>
          <w:tab w:leader="none" w:pos="644" w:val="left"/>
        </w:tabs>
        <w:numPr>
          <w:ilvl w:val="1"/>
          <w:numId w:val="43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Notwithstanding anything to the contrary in this Agreement, the provisions of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5 through 9 will survive the termination of Executive’s employment and the termination of the Term.</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37"/>
          </w:cols>
          <w:pgMar w:left="823" w:top="265" w:right="839" w:bottom="1440" w:gutter="0" w:footer="0" w:header="0"/>
        </w:sectPr>
      </w:pPr>
    </w:p>
    <w:bookmarkStart w:id="490" w:name="page491"/>
    <w:bookmarkEnd w:id="490"/>
    <w:p>
      <w:pPr>
        <w:ind w:right="20" w:firstLine="3"/>
        <w:spacing w:after="0" w:line="253" w:lineRule="auto"/>
        <w:tabs>
          <w:tab w:leader="none" w:pos="167" w:val="left"/>
        </w:tabs>
        <w:numPr>
          <w:ilvl w:val="0"/>
          <w:numId w:val="4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Restrictive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acknowledges that Executive remains bound by the Employee Non-Disclosure and Inventions Agreement dated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May 1, 2019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Restrictive Covenant Agreement</w:t>
      </w:r>
      <w:r>
        <w:rPr>
          <w:rFonts w:ascii="Arial" w:cs="Arial" w:eastAsia="Arial" w:hAnsi="Arial"/>
          <w:sz w:val="17"/>
          <w:szCs w:val="17"/>
          <w:color w:val="auto"/>
        </w:rPr>
        <w:t>”). Executive acknowledges and agrees that the terms of the Restrictive Covenant Agreement are incorporated by reference herein as if re-executed along with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74" w:lineRule="exact"/>
        <w:rPr>
          <w:rFonts w:ascii="Arial" w:cs="Arial" w:eastAsia="Arial" w:hAnsi="Arial"/>
          <w:sz w:val="17"/>
          <w:szCs w:val="17"/>
          <w:b w:val="1"/>
          <w:bCs w:val="1"/>
          <w:color w:val="auto"/>
        </w:rPr>
      </w:pPr>
    </w:p>
    <w:p>
      <w:pPr>
        <w:ind w:left="160" w:hanging="157"/>
        <w:spacing w:after="0"/>
        <w:tabs>
          <w:tab w:leader="none" w:pos="160" w:val="left"/>
        </w:tabs>
        <w:numPr>
          <w:ilvl w:val="0"/>
          <w:numId w:val="4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 and Successors</w:t>
      </w:r>
      <w:r>
        <w:rPr>
          <w:rFonts w:ascii="Arial" w:cs="Arial" w:eastAsia="Arial" w:hAnsi="Arial"/>
          <w:sz w:val="17"/>
          <w:szCs w:val="17"/>
          <w:b w:val="1"/>
          <w:bCs w:val="1"/>
          <w:color w:val="auto"/>
        </w:rPr>
        <w:t>.</w:t>
      </w:r>
    </w:p>
    <w:p>
      <w:pPr>
        <w:spacing w:after="0" w:line="210" w:lineRule="exact"/>
        <w:rPr>
          <w:sz w:val="20"/>
          <w:szCs w:val="20"/>
          <w:color w:val="auto"/>
        </w:rPr>
      </w:pPr>
    </w:p>
    <w:p>
      <w:pPr>
        <w:ind w:right="20" w:firstLine="409"/>
        <w:spacing w:after="0" w:line="267" w:lineRule="auto"/>
        <w:rPr>
          <w:sz w:val="20"/>
          <w:szCs w:val="20"/>
          <w:color w:val="auto"/>
        </w:rPr>
      </w:pPr>
      <w:r>
        <w:rPr>
          <w:rFonts w:ascii="Arial" w:cs="Arial" w:eastAsia="Arial" w:hAnsi="Arial"/>
          <w:sz w:val="16"/>
          <w:szCs w:val="16"/>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66" w:lineRule="exact"/>
        <w:rPr>
          <w:sz w:val="20"/>
          <w:szCs w:val="20"/>
          <w:color w:val="auto"/>
        </w:rPr>
      </w:pPr>
    </w:p>
    <w:p>
      <w:pPr>
        <w:ind w:left="160" w:hanging="157"/>
        <w:spacing w:after="0"/>
        <w:tabs>
          <w:tab w:leader="none" w:pos="160" w:val="left"/>
        </w:tabs>
        <w:numPr>
          <w:ilvl w:val="0"/>
          <w:numId w:val="4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Definitions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left="640" w:hanging="228"/>
        <w:spacing w:after="0"/>
        <w:tabs>
          <w:tab w:leader="none" w:pos="640" w:val="left"/>
        </w:tabs>
        <w:numPr>
          <w:ilvl w:val="1"/>
          <w:numId w:val="435"/>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The Company shall have “Cause” to terminate Executive’s employment hereunder upon:</w:t>
      </w:r>
    </w:p>
    <w:p>
      <w:pPr>
        <w:spacing w:after="0" w:line="105" w:lineRule="exact"/>
        <w:rPr>
          <w:rFonts w:ascii="Arial" w:cs="Arial" w:eastAsia="Arial" w:hAnsi="Arial"/>
          <w:sz w:val="17"/>
          <w:szCs w:val="17"/>
          <w:color w:val="auto"/>
        </w:rPr>
      </w:pPr>
    </w:p>
    <w:p>
      <w:pPr>
        <w:ind w:left="420" w:firstLine="385"/>
        <w:spacing w:after="0" w:line="257" w:lineRule="auto"/>
        <w:tabs>
          <w:tab w:leader="none" w:pos="1013" w:val="left"/>
        </w:tabs>
        <w:numPr>
          <w:ilvl w:val="2"/>
          <w:numId w:val="435"/>
        </w:numPr>
        <w:rPr>
          <w:rFonts w:ascii="Arial" w:cs="Arial" w:eastAsia="Arial" w:hAnsi="Arial"/>
          <w:sz w:val="17"/>
          <w:szCs w:val="17"/>
          <w:color w:val="auto"/>
        </w:rPr>
      </w:pPr>
      <w:r>
        <w:rPr>
          <w:rFonts w:ascii="Arial" w:cs="Arial" w:eastAsia="Arial" w:hAnsi="Arial"/>
          <w:sz w:val="17"/>
          <w:szCs w:val="17"/>
          <w:color w:val="auto"/>
        </w:rPr>
        <w:t>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w:t>
      </w:r>
    </w:p>
    <w:p>
      <w:pPr>
        <w:spacing w:after="0" w:line="74" w:lineRule="exact"/>
        <w:rPr>
          <w:rFonts w:ascii="Arial" w:cs="Arial" w:eastAsia="Arial" w:hAnsi="Arial"/>
          <w:sz w:val="17"/>
          <w:szCs w:val="17"/>
          <w:color w:val="auto"/>
        </w:rPr>
      </w:pPr>
    </w:p>
    <w:p>
      <w:pPr>
        <w:ind w:left="420" w:right="260" w:firstLine="385"/>
        <w:spacing w:after="0" w:line="268" w:lineRule="auto"/>
        <w:tabs>
          <w:tab w:leader="none" w:pos="1060" w:val="left"/>
        </w:tabs>
        <w:numPr>
          <w:ilvl w:val="2"/>
          <w:numId w:val="435"/>
        </w:numPr>
        <w:rPr>
          <w:rFonts w:ascii="Arial" w:cs="Arial" w:eastAsia="Arial" w:hAnsi="Arial"/>
          <w:sz w:val="17"/>
          <w:szCs w:val="17"/>
          <w:color w:val="auto"/>
        </w:rPr>
      </w:pPr>
      <w:r>
        <w:rPr>
          <w:rFonts w:ascii="Arial" w:cs="Arial" w:eastAsia="Arial" w:hAnsi="Arial"/>
          <w:sz w:val="17"/>
          <w:szCs w:val="17"/>
          <w:color w:val="auto"/>
        </w:rPr>
        <w:t>Executive’s breach of a material provision of this Agreement that, to the extent capable of cure, has remained uncured for a period of thirty (30) days following written notice from the Company;</w:t>
      </w:r>
    </w:p>
    <w:p>
      <w:pPr>
        <w:spacing w:after="0" w:line="65" w:lineRule="exact"/>
        <w:rPr>
          <w:rFonts w:ascii="Arial" w:cs="Arial" w:eastAsia="Arial" w:hAnsi="Arial"/>
          <w:sz w:val="17"/>
          <w:szCs w:val="17"/>
          <w:color w:val="auto"/>
        </w:rPr>
      </w:pPr>
    </w:p>
    <w:p>
      <w:pPr>
        <w:ind w:left="420" w:right="240" w:firstLine="385"/>
        <w:spacing w:after="0" w:line="268" w:lineRule="auto"/>
        <w:tabs>
          <w:tab w:leader="none" w:pos="1106" w:val="left"/>
        </w:tabs>
        <w:numPr>
          <w:ilvl w:val="2"/>
          <w:numId w:val="435"/>
        </w:numPr>
        <w:rPr>
          <w:rFonts w:ascii="Arial" w:cs="Arial" w:eastAsia="Arial" w:hAnsi="Arial"/>
          <w:sz w:val="17"/>
          <w:szCs w:val="17"/>
          <w:color w:val="auto"/>
        </w:rPr>
      </w:pPr>
      <w:r>
        <w:rPr>
          <w:rFonts w:ascii="Arial" w:cs="Arial" w:eastAsia="Arial" w:hAnsi="Arial"/>
          <w:sz w:val="17"/>
          <w:szCs w:val="17"/>
          <w:color w:val="auto"/>
        </w:rPr>
        <w:t xml:space="preserve">Executive’s conviction, plea of no contest, plea of </w:t>
      </w:r>
      <w:r>
        <w:rPr>
          <w:rFonts w:ascii="Arial" w:cs="Arial" w:eastAsia="Arial" w:hAnsi="Arial"/>
          <w:sz w:val="17"/>
          <w:szCs w:val="17"/>
          <w:i w:val="1"/>
          <w:iCs w:val="1"/>
          <w:color w:val="auto"/>
        </w:rPr>
        <w:t>nolo contendere</w:t>
      </w:r>
      <w:r>
        <w:rPr>
          <w:rFonts w:ascii="Arial" w:cs="Arial" w:eastAsia="Arial" w:hAnsi="Arial"/>
          <w:sz w:val="17"/>
          <w:szCs w:val="17"/>
          <w:color w:val="auto"/>
        </w:rPr>
        <w:t>, or imposition of unadjudicated probation for any felony or crime involving moral turpitude;</w:t>
      </w:r>
    </w:p>
    <w:p>
      <w:pPr>
        <w:spacing w:after="0" w:line="65" w:lineRule="exact"/>
        <w:rPr>
          <w:rFonts w:ascii="Arial" w:cs="Arial" w:eastAsia="Arial" w:hAnsi="Arial"/>
          <w:sz w:val="17"/>
          <w:szCs w:val="17"/>
          <w:color w:val="auto"/>
        </w:rPr>
      </w:pPr>
    </w:p>
    <w:p>
      <w:pPr>
        <w:ind w:left="420" w:right="40" w:firstLine="385"/>
        <w:spacing w:after="0" w:line="268" w:lineRule="auto"/>
        <w:tabs>
          <w:tab w:leader="none" w:pos="1097" w:val="left"/>
        </w:tabs>
        <w:numPr>
          <w:ilvl w:val="2"/>
          <w:numId w:val="435"/>
        </w:numPr>
        <w:rPr>
          <w:rFonts w:ascii="Arial" w:cs="Arial" w:eastAsia="Arial" w:hAnsi="Arial"/>
          <w:sz w:val="17"/>
          <w:szCs w:val="17"/>
          <w:color w:val="auto"/>
        </w:rPr>
      </w:pPr>
      <w:r>
        <w:rPr>
          <w:rFonts w:ascii="Arial" w:cs="Arial" w:eastAsia="Arial" w:hAnsi="Arial"/>
          <w:sz w:val="17"/>
          <w:szCs w:val="17"/>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65" w:lineRule="exact"/>
        <w:rPr>
          <w:rFonts w:ascii="Arial" w:cs="Arial" w:eastAsia="Arial" w:hAnsi="Arial"/>
          <w:sz w:val="17"/>
          <w:szCs w:val="17"/>
          <w:color w:val="auto"/>
        </w:rPr>
      </w:pPr>
    </w:p>
    <w:p>
      <w:pPr>
        <w:ind w:left="420" w:right="20" w:firstLine="385"/>
        <w:spacing w:after="0" w:line="268" w:lineRule="auto"/>
        <w:tabs>
          <w:tab w:leader="none" w:pos="1050" w:val="left"/>
        </w:tabs>
        <w:numPr>
          <w:ilvl w:val="2"/>
          <w:numId w:val="435"/>
        </w:numPr>
        <w:rPr>
          <w:rFonts w:ascii="Arial" w:cs="Arial" w:eastAsia="Arial" w:hAnsi="Arial"/>
          <w:sz w:val="17"/>
          <w:szCs w:val="17"/>
          <w:color w:val="auto"/>
        </w:rPr>
      </w:pPr>
      <w:r>
        <w:rPr>
          <w:rFonts w:ascii="Arial" w:cs="Arial" w:eastAsia="Arial" w:hAnsi="Arial"/>
          <w:sz w:val="17"/>
          <w:szCs w:val="17"/>
          <w:color w:val="auto"/>
        </w:rPr>
        <w:t>Executive’s commission of any act of fraud, embezzlement, misappropriation, willful misconduct, or breach of fiduciary duty against the Company or any of its affiliates.</w:t>
      </w:r>
    </w:p>
    <w:p>
      <w:pPr>
        <w:spacing w:after="0" w:line="65" w:lineRule="exact"/>
        <w:rPr>
          <w:rFonts w:ascii="Arial" w:cs="Arial" w:eastAsia="Arial" w:hAnsi="Arial"/>
          <w:sz w:val="17"/>
          <w:szCs w:val="17"/>
          <w:color w:val="auto"/>
        </w:rPr>
      </w:pPr>
    </w:p>
    <w:p>
      <w:pPr>
        <w:ind w:left="640" w:hanging="228"/>
        <w:spacing w:after="0"/>
        <w:tabs>
          <w:tab w:leader="none" w:pos="640" w:val="left"/>
        </w:tabs>
        <w:numPr>
          <w:ilvl w:val="1"/>
          <w:numId w:val="43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“Change in Control” shall have the meaning set forth in the Lyra Therapeutics, Inc. 2020 Incentive Award Plan.</w:t>
      </w:r>
    </w:p>
    <w:p>
      <w:pPr>
        <w:spacing w:after="0" w:line="117" w:lineRule="exact"/>
        <w:rPr>
          <w:rFonts w:ascii="Arial" w:cs="Arial" w:eastAsia="Arial" w:hAnsi="Arial"/>
          <w:sz w:val="16"/>
          <w:szCs w:val="16"/>
          <w:color w:val="auto"/>
        </w:rPr>
      </w:pPr>
    </w:p>
    <w:p>
      <w:pPr>
        <w:ind w:left="640" w:hanging="228"/>
        <w:spacing w:after="0"/>
        <w:tabs>
          <w:tab w:leader="none" w:pos="640" w:val="left"/>
        </w:tabs>
        <w:numPr>
          <w:ilvl w:val="1"/>
          <w:numId w:val="435"/>
        </w:numPr>
        <w:rPr>
          <w:rFonts w:ascii="Arial" w:cs="Arial" w:eastAsia="Arial" w:hAnsi="Arial"/>
          <w:sz w:val="16"/>
          <w:szCs w:val="16"/>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“Code” shall mean the Internal Revenue Code of 1986, as amended, and the regulations and guidance promulgated thereunder.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20"/>
          </w:cols>
          <w:pgMar w:left="820" w:top="261" w:right="859" w:bottom="1440" w:gutter="0" w:footer="0" w:header="0"/>
        </w:sectPr>
      </w:pPr>
    </w:p>
    <w:bookmarkStart w:id="491" w:name="page492"/>
    <w:bookmarkEnd w:id="491"/>
    <w:p>
      <w:pPr>
        <w:ind w:left="-3" w:right="700" w:firstLine="412"/>
        <w:spacing w:after="0" w:line="257" w:lineRule="auto"/>
        <w:tabs>
          <w:tab w:leader="none" w:pos="644" w:val="left"/>
        </w:tabs>
        <w:numPr>
          <w:ilvl w:val="1"/>
          <w:numId w:val="4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Date of Termination</w:t>
      </w:r>
      <w:r>
        <w:rPr>
          <w:rFonts w:ascii="Arial" w:cs="Arial" w:eastAsia="Arial" w:hAnsi="Arial"/>
          <w:sz w:val="17"/>
          <w:szCs w:val="17"/>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7"/>
          <w:szCs w:val="17"/>
          <w:u w:val="single" w:color="auto"/>
          <w:color w:val="auto"/>
        </w:rPr>
        <w:t>Section 3(a)(ii) – (vi)</w:t>
      </w:r>
      <w:r>
        <w:rPr>
          <w:rFonts w:ascii="Arial" w:cs="Arial" w:eastAsia="Arial" w:hAnsi="Arial"/>
          <w:sz w:val="17"/>
          <w:szCs w:val="17"/>
          <w:color w:val="auto"/>
        </w:rPr>
        <w:t xml:space="preserve"> either the date indicated in the Notice of Termination or the date specified by the Company pursuant to </w:t>
      </w:r>
      <w:r>
        <w:rPr>
          <w:rFonts w:ascii="Arial" w:cs="Arial" w:eastAsia="Arial" w:hAnsi="Arial"/>
          <w:sz w:val="17"/>
          <w:szCs w:val="17"/>
          <w:u w:val="single" w:color="auto"/>
          <w:color w:val="auto"/>
        </w:rPr>
        <w:t>Section 3(b)</w:t>
      </w:r>
      <w:r>
        <w:rPr>
          <w:rFonts w:ascii="Arial" w:cs="Arial" w:eastAsia="Arial" w:hAnsi="Arial"/>
          <w:sz w:val="17"/>
          <w:szCs w:val="17"/>
          <w:color w:val="auto"/>
        </w:rPr>
        <w:t>, whichever is earlier.</w:t>
      </w:r>
    </w:p>
    <w:p>
      <w:pPr>
        <w:spacing w:after="0" w:line="74" w:lineRule="exact"/>
        <w:rPr>
          <w:rFonts w:ascii="Arial" w:cs="Arial" w:eastAsia="Arial" w:hAnsi="Arial"/>
          <w:sz w:val="17"/>
          <w:szCs w:val="17"/>
          <w:color w:val="auto"/>
        </w:rPr>
      </w:pPr>
    </w:p>
    <w:p>
      <w:pPr>
        <w:ind w:left="-3" w:firstLine="412"/>
        <w:spacing w:after="0" w:line="285" w:lineRule="auto"/>
        <w:tabs>
          <w:tab w:leader="none" w:pos="634" w:val="left"/>
        </w:tabs>
        <w:numPr>
          <w:ilvl w:val="1"/>
          <w:numId w:val="436"/>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if the long-term disability plan contains multiple definitions of disability, “Disability” shall refer to that definition of disability which, if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60" w:lineRule="exact"/>
        <w:rPr>
          <w:rFonts w:ascii="Arial" w:cs="Arial" w:eastAsia="Arial" w:hAnsi="Arial"/>
          <w:sz w:val="15"/>
          <w:szCs w:val="15"/>
          <w:color w:val="auto"/>
        </w:rPr>
      </w:pPr>
    </w:p>
    <w:p>
      <w:pPr>
        <w:ind w:left="-3" w:firstLine="412"/>
        <w:spacing w:after="0" w:line="285" w:lineRule="auto"/>
        <w:tabs>
          <w:tab w:leader="none" w:pos="616" w:val="left"/>
        </w:tabs>
        <w:numPr>
          <w:ilvl w:val="1"/>
          <w:numId w:val="436"/>
        </w:numPr>
        <w:rPr>
          <w:rFonts w:ascii="Arial" w:cs="Arial" w:eastAsia="Arial" w:hAnsi="Arial"/>
          <w:sz w:val="15"/>
          <w:szCs w:val="15"/>
          <w:color w:val="auto"/>
        </w:rPr>
      </w:pPr>
      <w:r>
        <w:rPr>
          <w:rFonts w:ascii="Arial" w:cs="Arial" w:eastAsia="Arial" w:hAnsi="Arial"/>
          <w:sz w:val="15"/>
          <w:szCs w:val="15"/>
          <w:u w:val="single" w:color="auto"/>
          <w:color w:val="auto"/>
        </w:rPr>
        <w:t>Good Reason</w:t>
      </w:r>
      <w:r>
        <w:rPr>
          <w:rFonts w:ascii="Arial" w:cs="Arial" w:eastAsia="Arial" w:hAnsi="Arial"/>
          <w:sz w:val="15"/>
          <w:szCs w:val="15"/>
          <w:color w:val="auto"/>
        </w:rPr>
        <w:t>. For the sole purpose of determining Executive’s right to severance payments and benefits as described above, Executive’s resignation will be with “Good Reason” if Executive resigns within ninety (90) days after any of the following events, unless Executive consents in writing to the applicable event: (i) a reduction in Executive’s Annual Base Salary or Target Annual Bonus, other than a reduction of twenty percent (20%) or less of Executive’s Annual Base Salary implemented as part of an across the board, proportionate reduction of base salaries for other members of the Company’s management team, (ii) a material decrease in Executive’s authority or areas of responsibility as are commensurate with Executive’s title or position with the Company, (iii) the relocation of Executive’s primary office to a location more than fifty (50) miles from the Executive’s primary office as of the date of this Agreement or (iv) the Company’s breach of a material provision of this Agreement. Notwithstanding the foregoing, no Good Reason will have occurred unless and until Executive has: (a) provided the Company, within sixty (60) days of Executive’s knowledge of the occurrence of the facts and circumstances underlying the Good Reason event, written notice stating with specificity the applicable facts and circumstances underlying such finding of Good Reason; (b) provided the Company with an opportunity to cure the same within thirty (30) days after the receipt of such notice; and (c) the Company shall have failed to so cure within such period.</w:t>
      </w:r>
    </w:p>
    <w:p>
      <w:pPr>
        <w:spacing w:after="0" w:line="153" w:lineRule="exact"/>
        <w:rPr>
          <w:rFonts w:ascii="Arial" w:cs="Arial" w:eastAsia="Arial" w:hAnsi="Arial"/>
          <w:sz w:val="15"/>
          <w:szCs w:val="15"/>
          <w:color w:val="auto"/>
        </w:rPr>
      </w:pPr>
    </w:p>
    <w:p>
      <w:pPr>
        <w:ind w:left="157" w:hanging="157"/>
        <w:spacing w:after="0"/>
        <w:tabs>
          <w:tab w:leader="none" w:pos="157" w:val="left"/>
        </w:tabs>
        <w:numPr>
          <w:ilvl w:val="0"/>
          <w:numId w:val="4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Parachute Payments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left="-3" w:firstLine="412"/>
        <w:spacing w:after="0" w:line="269" w:lineRule="auto"/>
        <w:tabs>
          <w:tab w:leader="none" w:pos="634" w:val="left"/>
        </w:tabs>
        <w:numPr>
          <w:ilvl w:val="1"/>
          <w:numId w:val="437"/>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being hereinafter referred to as the “</w:t>
      </w:r>
      <w:r>
        <w:rPr>
          <w:rFonts w:ascii="Arial" w:cs="Arial" w:eastAsia="Arial" w:hAnsi="Arial"/>
          <w:sz w:val="16"/>
          <w:szCs w:val="16"/>
          <w:u w:val="single" w:color="auto"/>
          <w:color w:val="auto"/>
        </w:rPr>
        <w:t>Total Payments</w:t>
      </w:r>
      <w:r>
        <w:rPr>
          <w:rFonts w:ascii="Arial" w:cs="Arial" w:eastAsia="Arial" w:hAnsi="Arial"/>
          <w:sz w:val="16"/>
          <w:szCs w:val="16"/>
          <w:color w:val="auto"/>
        </w:rPr>
        <w:t>”), would be subject (in whole or in part)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then the Total Payments shall be reduced (in the order provided in </w:t>
      </w:r>
      <w:r>
        <w:rPr>
          <w:rFonts w:ascii="Arial" w:cs="Arial" w:eastAsia="Arial" w:hAnsi="Arial"/>
          <w:sz w:val="16"/>
          <w:szCs w:val="16"/>
          <w:u w:val="single" w:color="auto"/>
          <w:color w:val="auto"/>
        </w:rPr>
        <w:t>Section 8(b)</w:t>
      </w:r>
      <w:r>
        <w:rPr>
          <w:rFonts w:ascii="Arial" w:cs="Arial" w:eastAsia="Arial" w:hAnsi="Arial"/>
          <w:sz w:val="16"/>
          <w:szCs w:val="16"/>
          <w:color w:val="auto"/>
        </w:rPr>
        <w:t>) to the minimum extent necessary to avoid the imposition of the Excise Tax on the Total Payments, but only if (i) the net amount of such Total Payments, as so reduced</w:t>
      </w:r>
    </w:p>
    <w:p>
      <w:pPr>
        <w:spacing w:after="0" w:line="106"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37"/>
          </w:cols>
          <w:pgMar w:left="823" w:top="265" w:right="839" w:bottom="1440" w:gutter="0" w:footer="0" w:header="0"/>
        </w:sectPr>
      </w:pPr>
    </w:p>
    <w:bookmarkStart w:id="492" w:name="page493"/>
    <w:bookmarkEnd w:id="492"/>
    <w:p>
      <w:pPr>
        <w:ind w:right="2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52" w:lineRule="exact"/>
        <w:rPr>
          <w:sz w:val="20"/>
          <w:szCs w:val="20"/>
          <w:color w:val="auto"/>
        </w:rPr>
      </w:pPr>
    </w:p>
    <w:p>
      <w:pPr>
        <w:ind w:right="160" w:firstLine="412"/>
        <w:spacing w:after="0" w:line="269" w:lineRule="auto"/>
        <w:tabs>
          <w:tab w:leader="none" w:pos="646" w:val="left"/>
        </w:tabs>
        <w:numPr>
          <w:ilvl w:val="1"/>
          <w:numId w:val="438"/>
        </w:numPr>
        <w:rPr>
          <w:rFonts w:ascii="Arial" w:cs="Arial" w:eastAsia="Arial" w:hAnsi="Arial"/>
          <w:sz w:val="16"/>
          <w:szCs w:val="16"/>
          <w:color w:val="auto"/>
        </w:rPr>
      </w:pPr>
      <w:r>
        <w:rPr>
          <w:rFonts w:ascii="Arial" w:cs="Arial" w:eastAsia="Arial" w:hAnsi="Arial"/>
          <w:sz w:val="16"/>
          <w:szCs w:val="16"/>
          <w:color w:val="auto"/>
        </w:rPr>
        <w:t>The Total Payments shall be reduced in the following order: (i) reduction on a pro-rata basis of any cash severance payments that are exempt from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68" w:lineRule="exact"/>
        <w:rPr>
          <w:rFonts w:ascii="Arial" w:cs="Arial" w:eastAsia="Arial" w:hAnsi="Arial"/>
          <w:sz w:val="16"/>
          <w:szCs w:val="16"/>
          <w:color w:val="auto"/>
        </w:rPr>
      </w:pPr>
    </w:p>
    <w:p>
      <w:pPr>
        <w:ind w:right="80" w:firstLine="412"/>
        <w:spacing w:after="0" w:line="283" w:lineRule="auto"/>
        <w:tabs>
          <w:tab w:leader="none" w:pos="637" w:val="left"/>
        </w:tabs>
        <w:numPr>
          <w:ilvl w:val="1"/>
          <w:numId w:val="438"/>
        </w:numPr>
        <w:rPr>
          <w:rFonts w:ascii="Arial" w:cs="Arial" w:eastAsia="Arial" w:hAnsi="Arial"/>
          <w:sz w:val="15"/>
          <w:szCs w:val="15"/>
          <w:color w:val="auto"/>
        </w:rPr>
      </w:pPr>
      <w:r>
        <w:rPr>
          <w:rFonts w:ascii="Arial" w:cs="Arial" w:eastAsia="Arial" w:hAnsi="Arial"/>
          <w:sz w:val="15"/>
          <w:szCs w:val="15"/>
          <w:color w:val="auto"/>
        </w:rPr>
        <w:t xml:space="preserve">All determinations regarding the application of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15"/>
          <w:szCs w:val="15"/>
          <w:u w:val="single" w:color="auto"/>
          <w:color w:val="auto"/>
        </w:rPr>
        <w:t>Independent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Advisors</w:t>
      </w:r>
      <w:r>
        <w:rPr>
          <w:rFonts w:ascii="Arial" w:cs="Arial" w:eastAsia="Arial" w:hAnsi="Arial"/>
          <w:sz w:val="15"/>
          <w:szCs w:val="15"/>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w:t>
      </w:r>
    </w:p>
    <w:p>
      <w:pPr>
        <w:spacing w:after="0" w:line="2" w:lineRule="exact"/>
        <w:rPr>
          <w:rFonts w:ascii="Arial" w:cs="Arial" w:eastAsia="Arial" w:hAnsi="Arial"/>
          <w:sz w:val="15"/>
          <w:szCs w:val="15"/>
          <w:color w:val="auto"/>
        </w:rPr>
      </w:pPr>
    </w:p>
    <w:p>
      <w:pPr>
        <w:ind w:right="20"/>
        <w:spacing w:after="0" w:line="299" w:lineRule="auto"/>
        <w:rPr>
          <w:rFonts w:ascii="Arial" w:cs="Arial" w:eastAsia="Arial" w:hAnsi="Arial"/>
          <w:sz w:val="15"/>
          <w:szCs w:val="15"/>
          <w:color w:val="auto"/>
        </w:rPr>
      </w:pPr>
      <w:r>
        <w:rPr>
          <w:rFonts w:ascii="Arial" w:cs="Arial" w:eastAsia="Arial" w:hAnsi="Arial"/>
          <w:sz w:val="15"/>
          <w:szCs w:val="15"/>
          <w:color w:val="auto"/>
        </w:rPr>
        <w:t>(4)(A)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46" w:lineRule="exact"/>
        <w:rPr>
          <w:rFonts w:ascii="Arial" w:cs="Arial" w:eastAsia="Arial" w:hAnsi="Arial"/>
          <w:sz w:val="15"/>
          <w:szCs w:val="15"/>
          <w:color w:val="auto"/>
        </w:rPr>
      </w:pPr>
    </w:p>
    <w:p>
      <w:pPr>
        <w:ind w:right="160" w:firstLine="412"/>
        <w:spacing w:after="0" w:line="268" w:lineRule="auto"/>
        <w:tabs>
          <w:tab w:leader="none" w:pos="646" w:val="left"/>
        </w:tabs>
        <w:numPr>
          <w:ilvl w:val="1"/>
          <w:numId w:val="438"/>
        </w:numPr>
        <w:rPr>
          <w:rFonts w:ascii="Arial" w:cs="Arial" w:eastAsia="Arial" w:hAnsi="Arial"/>
          <w:sz w:val="17"/>
          <w:szCs w:val="17"/>
          <w:color w:val="auto"/>
        </w:rPr>
      </w:pPr>
      <w:r>
        <w:rPr>
          <w:rFonts w:ascii="Arial" w:cs="Arial" w:eastAsia="Arial" w:hAnsi="Arial"/>
          <w:sz w:val="17"/>
          <w:szCs w:val="17"/>
          <w:color w:val="auto"/>
        </w:rPr>
        <w:t xml:space="preserve">In the event it is later determined that a greater reduction in the Total Payments should have been made to implement the objective and intent of this </w:t>
      </w:r>
      <w:r>
        <w:rPr>
          <w:rFonts w:ascii="Arial" w:cs="Arial" w:eastAsia="Arial" w:hAnsi="Arial"/>
          <w:sz w:val="17"/>
          <w:szCs w:val="17"/>
          <w:u w:val="single" w:color="auto"/>
          <w:color w:val="auto"/>
        </w:rPr>
        <w:t>Section 8</w:t>
      </w:r>
      <w:r>
        <w:rPr>
          <w:rFonts w:ascii="Arial" w:cs="Arial" w:eastAsia="Arial" w:hAnsi="Arial"/>
          <w:sz w:val="17"/>
          <w:szCs w:val="17"/>
          <w:color w:val="auto"/>
        </w:rPr>
        <w:t>, the excess amount shall be returned promptly by Executive to the Company.</w:t>
      </w:r>
    </w:p>
    <w:p>
      <w:pPr>
        <w:spacing w:after="0" w:line="161" w:lineRule="exact"/>
        <w:rPr>
          <w:rFonts w:ascii="Arial" w:cs="Arial" w:eastAsia="Arial" w:hAnsi="Arial"/>
          <w:sz w:val="17"/>
          <w:szCs w:val="17"/>
          <w:color w:val="auto"/>
        </w:rPr>
      </w:pPr>
    </w:p>
    <w:p>
      <w:pPr>
        <w:ind w:left="160" w:hanging="157"/>
        <w:spacing w:after="0"/>
        <w:tabs>
          <w:tab w:leader="none" w:pos="160"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 Provisions</w:t>
      </w:r>
      <w:r>
        <w:rPr>
          <w:rFonts w:ascii="Arial" w:cs="Arial" w:eastAsia="Arial" w:hAnsi="Arial"/>
          <w:sz w:val="17"/>
          <w:szCs w:val="17"/>
          <w:b w:val="1"/>
          <w:bCs w:val="1"/>
          <w:color w:val="auto"/>
        </w:rPr>
        <w:t>.</w:t>
      </w:r>
    </w:p>
    <w:p>
      <w:pPr>
        <w:spacing w:after="0" w:line="109" w:lineRule="exact"/>
        <w:rPr>
          <w:rFonts w:ascii="Arial" w:cs="Arial" w:eastAsia="Arial" w:hAnsi="Arial"/>
          <w:sz w:val="17"/>
          <w:szCs w:val="17"/>
          <w:b w:val="1"/>
          <w:bCs w:val="1"/>
          <w:color w:val="auto"/>
        </w:rPr>
      </w:pPr>
    </w:p>
    <w:p>
      <w:pPr>
        <w:ind w:firstLine="412"/>
        <w:spacing w:after="0" w:line="253" w:lineRule="auto"/>
        <w:tabs>
          <w:tab w:leader="none" w:pos="637" w:val="left"/>
        </w:tabs>
        <w:numPr>
          <w:ilvl w:val="1"/>
          <w:numId w:val="43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spacing w:after="0" w:line="79" w:lineRule="exact"/>
        <w:rPr>
          <w:rFonts w:ascii="Arial" w:cs="Arial" w:eastAsia="Arial" w:hAnsi="Arial"/>
          <w:sz w:val="17"/>
          <w:szCs w:val="17"/>
          <w:color w:val="auto"/>
        </w:rPr>
      </w:pPr>
    </w:p>
    <w:p>
      <w:pPr>
        <w:ind w:right="240" w:firstLine="412"/>
        <w:spacing w:after="0" w:line="268" w:lineRule="auto"/>
        <w:tabs>
          <w:tab w:leader="none" w:pos="646" w:val="left"/>
        </w:tabs>
        <w:numPr>
          <w:ilvl w:val="1"/>
          <w:numId w:val="439"/>
        </w:numPr>
        <w:rPr>
          <w:rFonts w:ascii="Arial" w:cs="Arial" w:eastAsia="Arial" w:hAnsi="Arial"/>
          <w:sz w:val="17"/>
          <w:szCs w:val="17"/>
          <w:color w:val="auto"/>
        </w:rPr>
      </w:pPr>
      <w:r>
        <w:rPr>
          <w:rFonts w:ascii="Arial" w:cs="Arial" w:eastAsia="Arial" w:hAnsi="Arial"/>
          <w:sz w:val="17"/>
          <w:szCs w:val="17"/>
          <w:u w:val="single" w:color="auto"/>
          <w:color w:val="auto"/>
        </w:rPr>
        <w:t>Validity</w:t>
      </w:r>
      <w:r>
        <w:rPr>
          <w:rFonts w:ascii="Arial" w:cs="Arial" w:eastAsia="Arial" w:hAnsi="Arial"/>
          <w:sz w:val="17"/>
          <w:szCs w:val="17"/>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5" w:lineRule="exact"/>
        <w:rPr>
          <w:rFonts w:ascii="Arial" w:cs="Arial" w:eastAsia="Arial" w:hAnsi="Arial"/>
          <w:sz w:val="17"/>
          <w:szCs w:val="17"/>
          <w:color w:val="auto"/>
        </w:rPr>
      </w:pPr>
    </w:p>
    <w:p>
      <w:pPr>
        <w:ind w:right="300" w:firstLine="412"/>
        <w:spacing w:after="0" w:line="335" w:lineRule="auto"/>
        <w:tabs>
          <w:tab w:leader="none" w:pos="637" w:val="left"/>
        </w:tabs>
        <w:numPr>
          <w:ilvl w:val="1"/>
          <w:numId w:val="43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4" w:right="839" w:bottom="1440" w:gutter="0" w:footer="0" w:header="0"/>
        </w:sectPr>
      </w:pPr>
    </w:p>
    <w:bookmarkStart w:id="493" w:name="page494"/>
    <w:bookmarkEnd w:id="493"/>
    <w:p>
      <w:pPr>
        <w:ind w:left="980" w:hanging="195"/>
        <w:spacing w:after="0"/>
        <w:tabs>
          <w:tab w:leader="none" w:pos="980" w:val="left"/>
        </w:tabs>
        <w:numPr>
          <w:ilvl w:val="1"/>
          <w:numId w:val="4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If to the Company, to the Chief Executive Officer of the Company at the Company’s headquarters,</w:t>
      </w:r>
    </w:p>
    <w:p>
      <w:pPr>
        <w:spacing w:after="0" w:line="105" w:lineRule="exact"/>
        <w:rPr>
          <w:rFonts w:ascii="Arial" w:cs="Arial" w:eastAsia="Arial" w:hAnsi="Arial"/>
          <w:sz w:val="17"/>
          <w:szCs w:val="17"/>
          <w:color w:val="auto"/>
        </w:rPr>
      </w:pPr>
    </w:p>
    <w:p>
      <w:pPr>
        <w:ind w:left="1040" w:hanging="255"/>
        <w:spacing w:after="0"/>
        <w:tabs>
          <w:tab w:leader="none" w:pos="104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If to Executive, to the last address that the Company has in its personnel records for Executive, or</w:t>
      </w:r>
    </w:p>
    <w:p>
      <w:pPr>
        <w:spacing w:after="0" w:line="105" w:lineRule="exact"/>
        <w:rPr>
          <w:rFonts w:ascii="Arial" w:cs="Arial" w:eastAsia="Arial" w:hAnsi="Arial"/>
          <w:sz w:val="17"/>
          <w:szCs w:val="17"/>
          <w:color w:val="auto"/>
        </w:rPr>
      </w:pPr>
    </w:p>
    <w:p>
      <w:pPr>
        <w:ind w:left="1080" w:hanging="295"/>
        <w:spacing w:after="0"/>
        <w:tabs>
          <w:tab w:leader="none" w:pos="108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At any other address as any Party shall have specified by notice in writing to the other Party.</w:t>
      </w:r>
    </w:p>
    <w:p>
      <w:pPr>
        <w:spacing w:after="0" w:line="105" w:lineRule="exact"/>
        <w:rPr>
          <w:rFonts w:ascii="Arial" w:cs="Arial" w:eastAsia="Arial" w:hAnsi="Arial"/>
          <w:sz w:val="17"/>
          <w:szCs w:val="17"/>
          <w:color w:val="auto"/>
        </w:rPr>
      </w:pPr>
    </w:p>
    <w:p>
      <w:pPr>
        <w:ind w:left="-20" w:right="420" w:firstLine="412"/>
        <w:spacing w:after="0" w:line="335" w:lineRule="auto"/>
        <w:tabs>
          <w:tab w:leader="none" w:pos="626" w:val="left"/>
        </w:tabs>
        <w:numPr>
          <w:ilvl w:val="0"/>
          <w:numId w:val="441"/>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20" w:lineRule="exact"/>
        <w:rPr>
          <w:rFonts w:ascii="Arial" w:cs="Arial" w:eastAsia="Arial" w:hAnsi="Arial"/>
          <w:sz w:val="15"/>
          <w:szCs w:val="15"/>
          <w:color w:val="auto"/>
        </w:rPr>
      </w:pPr>
    </w:p>
    <w:p>
      <w:pPr>
        <w:ind w:left="-20" w:right="140" w:firstLine="412"/>
        <w:spacing w:after="0" w:line="293" w:lineRule="auto"/>
        <w:tabs>
          <w:tab w:leader="none" w:pos="617" w:val="left"/>
        </w:tabs>
        <w:numPr>
          <w:ilvl w:val="0"/>
          <w:numId w:val="441"/>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The terms of this Agreement, and the Restrictive Covenant Agreement incorporated herein by reference as set forth in </w:t>
      </w:r>
      <w:r>
        <w:rPr>
          <w:rFonts w:ascii="Arial" w:cs="Arial" w:eastAsia="Arial" w:hAnsi="Arial"/>
          <w:sz w:val="15"/>
          <w:szCs w:val="15"/>
          <w:u w:val="single" w:color="auto"/>
          <w:color w:val="auto"/>
        </w:rPr>
        <w:t>Section 5</w:t>
      </w:r>
      <w:r>
        <w:rPr>
          <w:rFonts w:ascii="Arial" w:cs="Arial" w:eastAsia="Arial" w:hAnsi="Arial"/>
          <w:sz w:val="15"/>
          <w:szCs w:val="15"/>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51" w:lineRule="exact"/>
        <w:rPr>
          <w:rFonts w:ascii="Arial" w:cs="Arial" w:eastAsia="Arial" w:hAnsi="Arial"/>
          <w:sz w:val="15"/>
          <w:szCs w:val="15"/>
          <w:color w:val="auto"/>
        </w:rPr>
      </w:pPr>
    </w:p>
    <w:p>
      <w:pPr>
        <w:ind w:left="-20" w:right="20" w:firstLine="412"/>
        <w:spacing w:after="0" w:line="250" w:lineRule="auto"/>
        <w:tabs>
          <w:tab w:leader="none" w:pos="598"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83" w:lineRule="exact"/>
        <w:rPr>
          <w:rFonts w:ascii="Arial" w:cs="Arial" w:eastAsia="Arial" w:hAnsi="Arial"/>
          <w:sz w:val="17"/>
          <w:szCs w:val="17"/>
          <w:color w:val="auto"/>
        </w:rPr>
      </w:pPr>
    </w:p>
    <w:p>
      <w:pPr>
        <w:ind w:left="-20" w:right="40" w:firstLine="412"/>
        <w:spacing w:after="0" w:line="266" w:lineRule="auto"/>
        <w:tabs>
          <w:tab w:leader="none" w:pos="626" w:val="left"/>
        </w:tabs>
        <w:numPr>
          <w:ilvl w:val="0"/>
          <w:numId w:val="441"/>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72" w:lineRule="exact"/>
        <w:rPr>
          <w:rFonts w:ascii="Arial" w:cs="Arial" w:eastAsia="Arial" w:hAnsi="Arial"/>
          <w:sz w:val="16"/>
          <w:szCs w:val="16"/>
          <w:color w:val="auto"/>
        </w:rPr>
      </w:pPr>
    </w:p>
    <w:p>
      <w:pPr>
        <w:jc w:val="both"/>
        <w:ind w:left="-20" w:firstLine="412"/>
        <w:spacing w:after="0" w:line="253" w:lineRule="auto"/>
        <w:tabs>
          <w:tab w:leader="none" w:pos="626"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20"/>
          </w:cols>
          <w:pgMar w:left="840" w:top="264" w:right="839" w:bottom="1440" w:gutter="0" w:footer="0" w:header="0"/>
        </w:sectPr>
      </w:pPr>
    </w:p>
    <w:bookmarkStart w:id="494" w:name="page495"/>
    <w:bookmarkEnd w:id="494"/>
    <w:p>
      <w:pPr>
        <w:ind w:right="20"/>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Arial" w:cs="Arial" w:eastAsia="Arial" w:hAnsi="Arial"/>
          <w:sz w:val="15"/>
          <w:szCs w:val="15"/>
          <w:u w:val="single" w:color="auto"/>
          <w:color w:val="auto"/>
        </w:rPr>
        <w:t>AAA</w:t>
      </w:r>
      <w:r>
        <w:rPr>
          <w:rFonts w:ascii="Arial" w:cs="Arial" w:eastAsia="Arial" w:hAnsi="Arial"/>
          <w:sz w:val="15"/>
          <w:szCs w:val="15"/>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58" w:lineRule="exact"/>
        <w:rPr>
          <w:sz w:val="20"/>
          <w:szCs w:val="20"/>
          <w:color w:val="auto"/>
        </w:rPr>
      </w:pPr>
    </w:p>
    <w:p>
      <w:pPr>
        <w:ind w:right="60" w:firstLine="412"/>
        <w:spacing w:after="0" w:line="269" w:lineRule="auto"/>
        <w:tabs>
          <w:tab w:leader="none" w:pos="609"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68" w:lineRule="exact"/>
        <w:rPr>
          <w:rFonts w:ascii="Arial" w:cs="Arial" w:eastAsia="Arial" w:hAnsi="Arial"/>
          <w:sz w:val="16"/>
          <w:szCs w:val="16"/>
          <w:color w:val="auto"/>
        </w:rPr>
      </w:pPr>
    </w:p>
    <w:p>
      <w:pPr>
        <w:ind w:right="80" w:firstLine="412"/>
        <w:spacing w:after="0" w:line="257" w:lineRule="auto"/>
        <w:tabs>
          <w:tab w:leader="none" w:pos="609"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74" w:lineRule="exact"/>
        <w:rPr>
          <w:rFonts w:ascii="Arial" w:cs="Arial" w:eastAsia="Arial" w:hAnsi="Arial"/>
          <w:sz w:val="17"/>
          <w:szCs w:val="17"/>
          <w:color w:val="auto"/>
        </w:rPr>
      </w:pPr>
    </w:p>
    <w:p>
      <w:pPr>
        <w:ind w:left="640" w:hanging="228"/>
        <w:spacing w:after="0"/>
        <w:tabs>
          <w:tab w:leader="none" w:pos="640"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420" w:right="160" w:firstLine="385"/>
        <w:spacing w:after="0" w:line="299" w:lineRule="auto"/>
        <w:tabs>
          <w:tab w:leader="none" w:pos="1013" w:val="left"/>
        </w:tabs>
        <w:numPr>
          <w:ilvl w:val="1"/>
          <w:numId w:val="442"/>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intent of the Parties is that the payments and benefits under this Agreement comply with or be exempt from Section 409A</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accordingly, to the maximum extent permitted, this Agreement shall be interpreted to be in compliance therewith.</w:t>
      </w:r>
    </w:p>
    <w:p>
      <w:pPr>
        <w:spacing w:after="0" w:line="43" w:lineRule="exact"/>
        <w:rPr>
          <w:rFonts w:ascii="Arial" w:cs="Arial" w:eastAsia="Arial" w:hAnsi="Arial"/>
          <w:sz w:val="16"/>
          <w:szCs w:val="16"/>
          <w:color w:val="auto"/>
        </w:rPr>
      </w:pPr>
    </w:p>
    <w:p>
      <w:pPr>
        <w:ind w:left="420" w:firstLine="385"/>
        <w:spacing w:after="0" w:line="288" w:lineRule="auto"/>
        <w:tabs>
          <w:tab w:leader="none" w:pos="1059" w:val="left"/>
        </w:tabs>
        <w:numPr>
          <w:ilvl w:val="1"/>
          <w:numId w:val="442"/>
        </w:numPr>
        <w:rPr>
          <w:rFonts w:ascii="Arial" w:cs="Arial" w:eastAsia="Arial" w:hAnsi="Arial"/>
          <w:sz w:val="15"/>
          <w:szCs w:val="15"/>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that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 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40"/>
          </w:cols>
          <w:pgMar w:left="820" w:top="265" w:right="839" w:bottom="1440" w:gutter="0" w:footer="0" w:header="0"/>
        </w:sectPr>
      </w:pPr>
    </w:p>
    <w:bookmarkStart w:id="495" w:name="page496"/>
    <w:bookmarkEnd w:id="495"/>
    <w:p>
      <w:pPr>
        <w:ind w:left="420" w:right="40" w:firstLine="385"/>
        <w:spacing w:after="0" w:line="285" w:lineRule="auto"/>
        <w:tabs>
          <w:tab w:leader="none" w:pos="1106" w:val="left"/>
        </w:tabs>
        <w:numPr>
          <w:ilvl w:val="0"/>
          <w:numId w:val="443"/>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Specified Employee. </w:t>
      </w:r>
      <w:r>
        <w:rPr>
          <w:rFonts w:ascii="Arial" w:cs="Arial" w:eastAsia="Arial" w:hAnsi="Arial"/>
          <w:sz w:val="15"/>
          <w:szCs w:val="15"/>
          <w:color w:val="auto"/>
        </w:rPr>
        <w:t>Notwithstanding anything in this Agreement to the contrary, if Executive is deemed by the Company at the time of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Executive’s Separation from Service to be a “specified employee” for purposes of Section 409A, to the extent delayed commencement of any portion of the benefits to which Executive is entitled under this Agreement is required in order to avoid a prohibited distribution under</w:t>
      </w:r>
    </w:p>
    <w:p>
      <w:pPr>
        <w:ind w:left="420"/>
        <w:spacing w:after="0" w:line="248" w:lineRule="auto"/>
        <w:rPr>
          <w:rFonts w:ascii="Arial" w:cs="Arial" w:eastAsia="Arial" w:hAnsi="Arial"/>
          <w:sz w:val="15"/>
          <w:szCs w:val="15"/>
          <w:color w:val="auto"/>
        </w:rPr>
      </w:pPr>
      <w:r>
        <w:rPr>
          <w:rFonts w:ascii="Arial" w:cs="Arial" w:eastAsia="Arial" w:hAnsi="Arial"/>
          <w:sz w:val="17"/>
          <w:szCs w:val="17"/>
          <w:color w:val="auto"/>
        </w:rPr>
        <w:t>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82" w:lineRule="exact"/>
        <w:rPr>
          <w:rFonts w:ascii="Arial" w:cs="Arial" w:eastAsia="Arial" w:hAnsi="Arial"/>
          <w:sz w:val="15"/>
          <w:szCs w:val="15"/>
          <w:color w:val="auto"/>
        </w:rPr>
      </w:pPr>
    </w:p>
    <w:p>
      <w:pPr>
        <w:ind w:left="420" w:right="80" w:firstLine="385"/>
        <w:spacing w:after="0" w:line="250" w:lineRule="auto"/>
        <w:tabs>
          <w:tab w:leader="none" w:pos="1097" w:val="left"/>
        </w:tabs>
        <w:numPr>
          <w:ilvl w:val="0"/>
          <w:numId w:val="443"/>
        </w:numPr>
        <w:rPr>
          <w:rFonts w:ascii="Arial" w:cs="Arial" w:eastAsia="Arial" w:hAnsi="Arial"/>
          <w:sz w:val="17"/>
          <w:szCs w:val="17"/>
          <w:color w:val="auto"/>
        </w:rPr>
      </w:pPr>
      <w:r>
        <w:rPr>
          <w:rFonts w:ascii="Arial" w:cs="Arial" w:eastAsia="Arial" w:hAnsi="Arial"/>
          <w:sz w:val="17"/>
          <w:szCs w:val="17"/>
          <w:i w:val="1"/>
          <w:iCs w:val="1"/>
          <w:color w:val="auto"/>
        </w:rPr>
        <w:t xml:space="preserve">Expense Reimbursements. </w:t>
      </w:r>
      <w:r>
        <w:rPr>
          <w:rFonts w:ascii="Arial" w:cs="Arial" w:eastAsia="Arial" w:hAnsi="Arial"/>
          <w:sz w:val="17"/>
          <w:szCs w:val="17"/>
          <w:color w:val="auto"/>
        </w:rPr>
        <w:t>To the extent that any reimbursements under this Agreement are subject to Section 409A, any such</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reimbursements payable to Executive shall be paid to Executive no later than December 31 of the year following the year in which the expense was incurred. The Executive will submit Executive’s reimbursement request promptly following the date the expense is incurred, and the amount of expenses reimbursed in one year shall not affect the amount eligible for reimbursement in any subsequent year, other than medical expenses referred to in Section 105(b) of the Code. Executive’s right to reimbursement under this Agreement will not be subject to liquidation or exchange for another benefit.</w:t>
      </w:r>
    </w:p>
    <w:p>
      <w:pPr>
        <w:spacing w:after="0" w:line="83" w:lineRule="exact"/>
        <w:rPr>
          <w:rFonts w:ascii="Arial" w:cs="Arial" w:eastAsia="Arial" w:hAnsi="Arial"/>
          <w:sz w:val="17"/>
          <w:szCs w:val="17"/>
          <w:color w:val="auto"/>
        </w:rPr>
      </w:pPr>
    </w:p>
    <w:p>
      <w:pPr>
        <w:ind w:left="420" w:right="80" w:firstLine="385"/>
        <w:spacing w:after="0" w:line="271" w:lineRule="auto"/>
        <w:tabs>
          <w:tab w:leader="none" w:pos="1050" w:val="left"/>
        </w:tabs>
        <w:numPr>
          <w:ilvl w:val="0"/>
          <w:numId w:val="443"/>
        </w:numPr>
        <w:rPr>
          <w:rFonts w:ascii="Arial" w:cs="Arial" w:eastAsia="Arial" w:hAnsi="Arial"/>
          <w:sz w:val="16"/>
          <w:szCs w:val="16"/>
          <w:color w:val="auto"/>
        </w:rPr>
      </w:pPr>
      <w:r>
        <w:rPr>
          <w:rFonts w:ascii="Arial" w:cs="Arial" w:eastAsia="Arial" w:hAnsi="Arial"/>
          <w:sz w:val="16"/>
          <w:szCs w:val="16"/>
          <w:i w:val="1"/>
          <w:iCs w:val="1"/>
          <w:color w:val="auto"/>
        </w:rPr>
        <w:t xml:space="preserve">Installments. </w:t>
      </w:r>
      <w:r>
        <w:rPr>
          <w:rFonts w:ascii="Arial" w:cs="Arial" w:eastAsia="Arial" w:hAnsi="Arial"/>
          <w:sz w:val="16"/>
          <w:szCs w:val="16"/>
          <w:color w:val="auto"/>
        </w:rPr>
        <w:t>Executive’s right to receive any installment payments under this Agreement, including without limitation any continuation</w:t>
      </w:r>
      <w:r>
        <w:rPr>
          <w:rFonts w:ascii="Arial" w:cs="Arial" w:eastAsia="Arial" w:hAnsi="Arial"/>
          <w:sz w:val="16"/>
          <w:szCs w:val="16"/>
          <w:i w:val="1"/>
          <w:iCs w:val="1"/>
          <w:color w:val="auto"/>
        </w:rPr>
        <w:t xml:space="preserve"> </w:t>
      </w:r>
      <w:r>
        <w:rPr>
          <w:rFonts w:ascii="Arial" w:cs="Arial" w:eastAsia="Arial" w:hAnsi="Arial"/>
          <w:sz w:val="16"/>
          <w:szCs w:val="16"/>
          <w:color w:val="auto"/>
        </w:rPr>
        <w:t>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62" w:lineRule="exact"/>
        <w:rPr>
          <w:sz w:val="20"/>
          <w:szCs w:val="20"/>
          <w:color w:val="auto"/>
        </w:rPr>
      </w:pPr>
    </w:p>
    <w:p>
      <w:pPr>
        <w:ind w:left="260" w:hanging="257"/>
        <w:spacing w:after="0"/>
        <w:tabs>
          <w:tab w:leader="none" w:pos="260" w:val="left"/>
        </w:tabs>
        <w:numPr>
          <w:ilvl w:val="0"/>
          <w:numId w:val="4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Executive Acknowledgement</w:t>
      </w:r>
      <w:r>
        <w:rPr>
          <w:rFonts w:ascii="Arial" w:cs="Arial" w:eastAsia="Arial" w:hAnsi="Arial"/>
          <w:sz w:val="17"/>
          <w:szCs w:val="17"/>
          <w:b w:val="1"/>
          <w:bCs w:val="1"/>
          <w:color w:val="auto"/>
        </w:rPr>
        <w:t>.</w:t>
      </w:r>
    </w:p>
    <w:p>
      <w:pPr>
        <w:spacing w:after="0" w:line="110" w:lineRule="exact"/>
        <w:rPr>
          <w:sz w:val="20"/>
          <w:szCs w:val="20"/>
          <w:color w:val="auto"/>
        </w:rPr>
      </w:pPr>
    </w:p>
    <w:p>
      <w:pPr>
        <w:ind w:right="20" w:firstLine="409"/>
        <w:spacing w:after="0" w:line="257" w:lineRule="auto"/>
        <w:rPr>
          <w:sz w:val="20"/>
          <w:szCs w:val="20"/>
          <w:color w:val="auto"/>
        </w:rPr>
      </w:pPr>
      <w:r>
        <w:rPr>
          <w:rFonts w:ascii="Arial" w:cs="Arial" w:eastAsia="Arial" w:hAnsi="Arial"/>
          <w:sz w:val="17"/>
          <w:szCs w:val="17"/>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20"/>
          </w:cols>
          <w:pgMar w:left="820" w:top="265" w:right="859" w:bottom="1440" w:gutter="0" w:footer="0" w:header="0"/>
        </w:sectPr>
      </w:pPr>
    </w:p>
    <w:bookmarkStart w:id="496" w:name="page497"/>
    <w:bookmarkEnd w:id="49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the Parties have executed this Agreement on the date first written above.</w:t>
      </w: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 /s/ Maria Palasis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wp:posOffset>
            </wp:positionV>
            <wp:extent cx="23831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Name: Maria Palasis</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Title: President and Chief Executive Officer</w:t>
      </w:r>
    </w:p>
    <w:p>
      <w:pPr>
        <w:spacing w:after="0" w:line="213"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EXECUTIVE</w:t>
      </w: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Laura Edgerly-Pflug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11430</wp:posOffset>
            </wp:positionV>
            <wp:extent cx="25984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8">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Laura Edgerly-Pflug</w:t>
      </w: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7"/>
          <w:szCs w:val="17"/>
          <w:i w:val="1"/>
          <w:iCs w:val="1"/>
          <w:color w:val="auto"/>
        </w:rPr>
        <w:t>[Signature Page to Employment Agreement]</w:t>
      </w:r>
    </w:p>
    <w:p>
      <w:pPr>
        <w:sectPr>
          <w:pgSz w:w="11900" w:h="16838" w:orient="portrait"/>
          <w:cols w:equalWidth="0" w:num="1">
            <w:col w:w="9219"/>
          </w:cols>
          <w:pgMar w:left="1240" w:top="264" w:right="1440" w:bottom="1440" w:gutter="0" w:footer="0" w:header="0"/>
        </w:sectPr>
      </w:pPr>
    </w:p>
    <w:bookmarkStart w:id="497" w:name="page498"/>
    <w:bookmarkEnd w:id="497"/>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Separation Agreement and Release</w:t>
      </w:r>
    </w:p>
    <w:p>
      <w:pPr>
        <w:spacing w:after="0" w:line="210" w:lineRule="exact"/>
        <w:rPr>
          <w:sz w:val="20"/>
          <w:szCs w:val="20"/>
          <w:color w:val="auto"/>
        </w:rPr>
      </w:pPr>
    </w:p>
    <w:p>
      <w:pPr>
        <w:jc w:val="both"/>
        <w:ind w:right="40" w:firstLine="409"/>
        <w:spacing w:after="0" w:line="257" w:lineRule="auto"/>
        <w:rPr>
          <w:sz w:val="20"/>
          <w:szCs w:val="20"/>
          <w:color w:val="auto"/>
        </w:rPr>
      </w:pPr>
      <w:r>
        <w:rPr>
          <w:rFonts w:ascii="Arial" w:cs="Arial" w:eastAsia="Arial" w:hAnsi="Arial"/>
          <w:sz w:val="17"/>
          <w:szCs w:val="17"/>
          <w:color w:val="auto"/>
        </w:rPr>
        <w:t>This Separation Agreement and Release ( this “</w:t>
      </w:r>
      <w:r>
        <w:rPr>
          <w:rFonts w:ascii="Arial" w:cs="Arial" w:eastAsia="Arial" w:hAnsi="Arial"/>
          <w:sz w:val="17"/>
          <w:szCs w:val="17"/>
          <w:u w:val="single" w:color="auto"/>
          <w:color w:val="auto"/>
        </w:rPr>
        <w:t>Release</w:t>
      </w:r>
      <w:r>
        <w:rPr>
          <w:rFonts w:ascii="Arial" w:cs="Arial" w:eastAsia="Arial" w:hAnsi="Arial"/>
          <w:sz w:val="17"/>
          <w:szCs w:val="17"/>
          <w:color w:val="auto"/>
        </w:rPr>
        <w:t>”) is made by and between Laura Edgerly-Pflug (“</w:t>
      </w:r>
      <w:r>
        <w:rPr>
          <w:rFonts w:ascii="Arial" w:cs="Arial" w:eastAsia="Arial" w:hAnsi="Arial"/>
          <w:sz w:val="17"/>
          <w:szCs w:val="17"/>
          <w:u w:val="single" w:color="auto"/>
          <w:color w:val="auto"/>
        </w:rPr>
        <w:t>Executive</w:t>
      </w:r>
      <w:r>
        <w:rPr>
          <w:rFonts w:ascii="Arial" w:cs="Arial" w:eastAsia="Arial" w:hAnsi="Arial"/>
          <w:sz w:val="17"/>
          <w:szCs w:val="17"/>
          <w:color w:val="auto"/>
        </w:rPr>
        <w:t>”) and Lyra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(collectively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or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 Capitalized terms used but not defined in this Release shall have the meanings set forth in the Employment Agreement (as defined below).</w:t>
      </w:r>
    </w:p>
    <w:p>
      <w:pPr>
        <w:spacing w:after="0" w:line="175" w:lineRule="exact"/>
        <w:rPr>
          <w:sz w:val="20"/>
          <w:szCs w:val="20"/>
          <w:color w:val="auto"/>
        </w:rPr>
      </w:pPr>
    </w:p>
    <w:p>
      <w:pPr>
        <w:ind w:right="160" w:firstLine="409"/>
        <w:spacing w:after="0" w:line="257" w:lineRule="auto"/>
        <w:rPr>
          <w:sz w:val="20"/>
          <w:szCs w:val="20"/>
          <w:color w:val="auto"/>
        </w:rPr>
      </w:pPr>
      <w:r>
        <w:rPr>
          <w:rFonts w:ascii="Arial" w:cs="Arial" w:eastAsia="Arial" w:hAnsi="Arial"/>
          <w:sz w:val="17"/>
          <w:szCs w:val="17"/>
          <w:color w:val="auto"/>
        </w:rPr>
        <w:t>WHEREAS, the Parties have previously entered into that certain Employment Agreement, dated as of April 27, 2020 (the “</w:t>
      </w:r>
      <w:r>
        <w:rPr>
          <w:rFonts w:ascii="Arial" w:cs="Arial" w:eastAsia="Arial" w:hAnsi="Arial"/>
          <w:sz w:val="17"/>
          <w:szCs w:val="17"/>
          <w:u w:val="single" w:color="auto"/>
          <w:color w:val="auto"/>
        </w:rPr>
        <w:t>Employment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that certain Employee Non-Disclosure and Inventions Agreement, dated as of May 1, 2019 (the “</w:t>
      </w:r>
      <w:r>
        <w:rPr>
          <w:rFonts w:ascii="Arial" w:cs="Arial" w:eastAsia="Arial" w:hAnsi="Arial"/>
          <w:sz w:val="17"/>
          <w:szCs w:val="17"/>
          <w:u w:val="single" w:color="auto"/>
          <w:color w:val="auto"/>
        </w:rPr>
        <w:t>Restrictive Covenant Agreement</w:t>
      </w:r>
      <w:r>
        <w:rPr>
          <w:rFonts w:ascii="Arial" w:cs="Arial" w:eastAsia="Arial" w:hAnsi="Arial"/>
          <w:sz w:val="17"/>
          <w:szCs w:val="17"/>
          <w:color w:val="auto"/>
        </w:rPr>
        <w:t>”); and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WHEREAS, in connection with Executive’s termination of employment with the Company or a subsidiary or affiliate of the Company effective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________, 20__, the Parties wish to resolve any and all disputes, claims, complaints, grievances, charges, actions, petitions and demands that Executive</w:t>
      </w:r>
    </w:p>
    <w:p>
      <w:pPr>
        <w:spacing w:after="0" w:line="28"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Arial" w:cs="Arial" w:eastAsia="Arial" w:hAnsi="Arial"/>
          <w:sz w:val="15"/>
          <w:szCs w:val="15"/>
          <w:u w:val="single" w:color="auto"/>
          <w:color w:val="auto"/>
        </w:rPr>
        <w:t>Retained Claims</w:t>
      </w:r>
      <w:r>
        <w:rPr>
          <w:rFonts w:ascii="Arial" w:cs="Arial" w:eastAsia="Arial" w:hAnsi="Arial"/>
          <w:sz w:val="15"/>
          <w:szCs w:val="15"/>
          <w:color w:val="auto"/>
        </w:rPr>
        <w:t>”).</w:t>
      </w:r>
    </w:p>
    <w:p>
      <w:pPr>
        <w:spacing w:after="0" w:line="153" w:lineRule="exact"/>
        <w:rPr>
          <w:sz w:val="20"/>
          <w:szCs w:val="20"/>
          <w:color w:val="auto"/>
        </w:rPr>
      </w:pPr>
    </w:p>
    <w:p>
      <w:pPr>
        <w:jc w:val="both"/>
        <w:ind w:right="400" w:firstLine="409"/>
        <w:spacing w:after="0" w:line="257" w:lineRule="auto"/>
        <w:rPr>
          <w:sz w:val="20"/>
          <w:szCs w:val="20"/>
          <w:color w:val="auto"/>
        </w:rPr>
      </w:pPr>
      <w:r>
        <w:rPr>
          <w:rFonts w:ascii="Arial" w:cs="Arial" w:eastAsia="Arial" w:hAnsi="Arial"/>
          <w:sz w:val="17"/>
          <w:szCs w:val="17"/>
          <w:color w:val="auto"/>
        </w:rPr>
        <w:t>NOW, THEREFORE, in consideration of the severance payments and benefits described in Section 4 of the Employment Agreement, which, pursuant to the Employment Agreement, are conditioned on Executive’s execution and non-revocation of this Release, and in consideration of the mutual promises made herein, the Company and Executive hereby agree as follows:</w:t>
      </w:r>
    </w:p>
    <w:p>
      <w:pPr>
        <w:spacing w:after="0" w:line="75" w:lineRule="exact"/>
        <w:rPr>
          <w:sz w:val="20"/>
          <w:szCs w:val="20"/>
          <w:color w:val="auto"/>
        </w:rPr>
      </w:pPr>
    </w:p>
    <w:p>
      <w:pPr>
        <w:ind w:right="240" w:firstLine="412"/>
        <w:spacing w:after="0" w:line="250" w:lineRule="auto"/>
        <w:tabs>
          <w:tab w:leader="none" w:pos="577"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Severance Payments and Benefits; Salary and Benefits</w:t>
      </w:r>
      <w:r>
        <w:rPr>
          <w:rFonts w:ascii="Arial" w:cs="Arial" w:eastAsia="Arial" w:hAnsi="Arial"/>
          <w:sz w:val="17"/>
          <w:szCs w:val="17"/>
          <w:color w:val="auto"/>
        </w:rPr>
        <w:t>.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 The severance payments and benefits described in Section [4(b)][4(c)] of the Employment Agreement shall be provided in lieu of any Garden Leave payment (as such term is used in the Restrictive Covenants Agreement) and Executive will not be eligible to receive any Garden Leave payment.</w:t>
      </w:r>
    </w:p>
    <w:p>
      <w:pPr>
        <w:spacing w:after="0" w:line="80" w:lineRule="exact"/>
        <w:rPr>
          <w:rFonts w:ascii="Arial" w:cs="Arial" w:eastAsia="Arial" w:hAnsi="Arial"/>
          <w:sz w:val="17"/>
          <w:szCs w:val="17"/>
          <w:color w:val="auto"/>
        </w:rPr>
      </w:pPr>
    </w:p>
    <w:p>
      <w:pPr>
        <w:ind w:right="20" w:firstLine="412"/>
        <w:spacing w:after="0" w:line="286" w:lineRule="auto"/>
        <w:tabs>
          <w:tab w:leader="none" w:pos="577" w:val="left"/>
        </w:tabs>
        <w:numPr>
          <w:ilvl w:val="0"/>
          <w:numId w:val="445"/>
        </w:numPr>
        <w:rPr>
          <w:rFonts w:ascii="Arial" w:cs="Arial" w:eastAsia="Arial" w:hAnsi="Arial"/>
          <w:sz w:val="15"/>
          <w:szCs w:val="15"/>
          <w:color w:val="auto"/>
        </w:rPr>
      </w:pPr>
      <w:r>
        <w:rPr>
          <w:rFonts w:ascii="Arial" w:cs="Arial" w:eastAsia="Arial" w:hAnsi="Arial"/>
          <w:sz w:val="15"/>
          <w:szCs w:val="15"/>
          <w:u w:val="single" w:color="auto"/>
          <w:color w:val="auto"/>
        </w:rPr>
        <w:t>Release of Claims</w:t>
      </w:r>
      <w:r>
        <w:rPr>
          <w:rFonts w:ascii="Arial" w:cs="Arial" w:eastAsia="Arial" w:hAnsi="Arial"/>
          <w:sz w:val="15"/>
          <w:szCs w:val="15"/>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subsidiaries, predecessor and successor corporations and assigns (collectively, the “</w:t>
      </w:r>
      <w:r>
        <w:rPr>
          <w:rFonts w:ascii="Arial" w:cs="Arial" w:eastAsia="Arial" w:hAnsi="Arial"/>
          <w:sz w:val="15"/>
          <w:szCs w:val="15"/>
          <w:u w:val="single" w:color="auto"/>
          <w:color w:val="auto"/>
        </w:rPr>
        <w:t>Releasees</w:t>
      </w:r>
      <w:r>
        <w:rPr>
          <w:rFonts w:ascii="Arial" w:cs="Arial" w:eastAsia="Arial" w:hAnsi="Arial"/>
          <w:sz w:val="15"/>
          <w:szCs w:val="15"/>
          <w:color w:val="auto"/>
        </w:rPr>
        <w:t>”).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Release, including, without limitation:</w:t>
      </w:r>
    </w:p>
    <w:p>
      <w:pPr>
        <w:sectPr>
          <w:pgSz w:w="11900" w:h="16838" w:orient="portrait"/>
          <w:cols w:equalWidth="0" w:num="1">
            <w:col w:w="10240"/>
          </w:cols>
          <w:pgMar w:left="820" w:top="260" w:right="839" w:bottom="1440" w:gutter="0" w:footer="0" w:header="0"/>
        </w:sectPr>
      </w:pPr>
    </w:p>
    <w:bookmarkStart w:id="498" w:name="page499"/>
    <w:bookmarkEnd w:id="498"/>
    <w:p>
      <w:pPr>
        <w:ind w:right="100" w:firstLine="412"/>
        <w:spacing w:after="0" w:line="268" w:lineRule="auto"/>
        <w:tabs>
          <w:tab w:leader="none" w:pos="637" w:val="left"/>
        </w:tabs>
        <w:numPr>
          <w:ilvl w:val="0"/>
          <w:numId w:val="4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any and all claims relating to or arising from Executive’s employment or service relationship with the Company or any of its direct or indirect subsidiaries or affiliates and the termination of that relationship;</w:t>
      </w:r>
    </w:p>
    <w:p>
      <w:pPr>
        <w:spacing w:after="0" w:line="65" w:lineRule="exact"/>
        <w:rPr>
          <w:rFonts w:ascii="Arial" w:cs="Arial" w:eastAsia="Arial" w:hAnsi="Arial"/>
          <w:sz w:val="17"/>
          <w:szCs w:val="17"/>
          <w:color w:val="auto"/>
        </w:rPr>
      </w:pPr>
    </w:p>
    <w:p>
      <w:pPr>
        <w:ind w:right="100" w:firstLine="412"/>
        <w:spacing w:after="0" w:line="257" w:lineRule="auto"/>
        <w:tabs>
          <w:tab w:leader="none" w:pos="646"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74" w:lineRule="exact"/>
        <w:rPr>
          <w:rFonts w:ascii="Arial" w:cs="Arial" w:eastAsia="Arial" w:hAnsi="Arial"/>
          <w:sz w:val="17"/>
          <w:szCs w:val="17"/>
          <w:color w:val="auto"/>
        </w:rPr>
      </w:pPr>
    </w:p>
    <w:p>
      <w:pPr>
        <w:ind w:firstLine="412"/>
        <w:spacing w:after="0" w:line="251" w:lineRule="auto"/>
        <w:tabs>
          <w:tab w:leader="none" w:pos="637"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82" w:lineRule="exact"/>
        <w:rPr>
          <w:rFonts w:ascii="Arial" w:cs="Arial" w:eastAsia="Arial" w:hAnsi="Arial"/>
          <w:sz w:val="17"/>
          <w:szCs w:val="17"/>
          <w:color w:val="auto"/>
        </w:rPr>
      </w:pPr>
    </w:p>
    <w:p>
      <w:pPr>
        <w:ind w:firstLine="412"/>
        <w:spacing w:after="0" w:line="288" w:lineRule="auto"/>
        <w:tabs>
          <w:tab w:leader="none" w:pos="646" w:val="left"/>
        </w:tabs>
        <w:numPr>
          <w:ilvl w:val="0"/>
          <w:numId w:val="446"/>
        </w:numPr>
        <w:rPr>
          <w:rFonts w:ascii="Arial" w:cs="Arial" w:eastAsia="Arial" w:hAnsi="Arial"/>
          <w:sz w:val="15"/>
          <w:szCs w:val="15"/>
          <w:color w:val="auto"/>
        </w:rPr>
      </w:pPr>
      <w:r>
        <w:rPr>
          <w:rFonts w:ascii="Arial" w:cs="Arial" w:eastAsia="Arial" w:hAnsi="Arial"/>
          <w:sz w:val="15"/>
          <w:szCs w:val="15"/>
          <w:color w:val="auto"/>
        </w:rPr>
        <w:t xml:space="preserv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Massachusetts Fair Employment Practices Act, M.G.L. c. 151B, § 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Massachusetts Civil Rights Act, M.G.L. c. 12, §§ IIH and 111; the Massachusetts Equal Rights Act, M.G.L. c. 93, § 102 and M.G.L. c. 214, § IC; the Massachusetts Labor and Industries Act, M.G.L. c. 149, § 1 </w:t>
      </w:r>
      <w:r>
        <w:rPr>
          <w:rFonts w:ascii="Arial" w:cs="Arial" w:eastAsia="Arial" w:hAnsi="Arial"/>
          <w:sz w:val="15"/>
          <w:szCs w:val="15"/>
          <w:u w:val="single" w:color="auto"/>
          <w:color w:val="auto"/>
        </w:rPr>
        <w:t>et seq</w:t>
      </w:r>
      <w:r>
        <w:rPr>
          <w:rFonts w:ascii="Arial" w:cs="Arial" w:eastAsia="Arial" w:hAnsi="Arial"/>
          <w:sz w:val="15"/>
          <w:szCs w:val="15"/>
          <w:color w:val="auto"/>
        </w:rPr>
        <w:t>.; the Massachusetts Privacy Act, M.G.L. c. 214, § 1B; and the Massachusetts Maternity Leave Act, M.G.L. c. 49, § 105D;</w:t>
      </w:r>
    </w:p>
    <w:p>
      <w:pPr>
        <w:spacing w:after="0" w:line="57" w:lineRule="exact"/>
        <w:rPr>
          <w:rFonts w:ascii="Arial" w:cs="Arial" w:eastAsia="Arial" w:hAnsi="Arial"/>
          <w:sz w:val="15"/>
          <w:szCs w:val="15"/>
          <w:color w:val="auto"/>
        </w:rPr>
      </w:pPr>
    </w:p>
    <w:p>
      <w:pPr>
        <w:ind w:left="640" w:hanging="228"/>
        <w:spacing w:after="0"/>
        <w:tabs>
          <w:tab w:leader="none" w:pos="64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105" w:lineRule="exact"/>
        <w:rPr>
          <w:rFonts w:ascii="Arial" w:cs="Arial" w:eastAsia="Arial" w:hAnsi="Arial"/>
          <w:sz w:val="17"/>
          <w:szCs w:val="17"/>
          <w:color w:val="auto"/>
        </w:rPr>
      </w:pPr>
    </w:p>
    <w:p>
      <w:pPr>
        <w:ind w:left="620" w:hanging="208"/>
        <w:spacing w:after="0"/>
        <w:tabs>
          <w:tab w:leader="none" w:pos="6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105" w:lineRule="exact"/>
        <w:rPr>
          <w:rFonts w:ascii="Arial" w:cs="Arial" w:eastAsia="Arial" w:hAnsi="Arial"/>
          <w:sz w:val="17"/>
          <w:szCs w:val="17"/>
          <w:color w:val="auto"/>
        </w:rPr>
      </w:pPr>
    </w:p>
    <w:p>
      <w:pPr>
        <w:ind w:right="540" w:firstLine="412"/>
        <w:spacing w:after="0" w:line="268" w:lineRule="auto"/>
        <w:tabs>
          <w:tab w:leader="none" w:pos="646"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Release;</w:t>
      </w:r>
    </w:p>
    <w:p>
      <w:pPr>
        <w:spacing w:after="0" w:line="65" w:lineRule="exact"/>
        <w:rPr>
          <w:rFonts w:ascii="Arial" w:cs="Arial" w:eastAsia="Arial" w:hAnsi="Arial"/>
          <w:sz w:val="17"/>
          <w:szCs w:val="17"/>
          <w:color w:val="auto"/>
        </w:rPr>
      </w:pPr>
    </w:p>
    <w:p>
      <w:pPr>
        <w:ind w:right="420" w:firstLine="412"/>
        <w:spacing w:after="0" w:line="335" w:lineRule="auto"/>
        <w:tabs>
          <w:tab w:leader="none" w:pos="646" w:val="left"/>
        </w:tabs>
        <w:numPr>
          <w:ilvl w:val="0"/>
          <w:numId w:val="446"/>
        </w:numPr>
        <w:rPr>
          <w:rFonts w:ascii="Arial" w:cs="Arial" w:eastAsia="Arial" w:hAnsi="Arial"/>
          <w:sz w:val="15"/>
          <w:szCs w:val="15"/>
          <w:color w:val="auto"/>
        </w:rPr>
      </w:pPr>
      <w:r>
        <w:rPr>
          <w:rFonts w:ascii="Arial" w:cs="Arial" w:eastAsia="Arial" w:hAnsi="Arial"/>
          <w:sz w:val="15"/>
          <w:szCs w:val="15"/>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20" w:lineRule="exact"/>
        <w:rPr>
          <w:rFonts w:ascii="Arial" w:cs="Arial" w:eastAsia="Arial" w:hAnsi="Arial"/>
          <w:sz w:val="15"/>
          <w:szCs w:val="15"/>
          <w:color w:val="auto"/>
        </w:rPr>
      </w:pPr>
    </w:p>
    <w:p>
      <w:pPr>
        <w:ind w:left="620" w:hanging="208"/>
        <w:spacing w:after="0"/>
        <w:tabs>
          <w:tab w:leader="none" w:pos="6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240"/>
          </w:cols>
          <w:pgMar w:left="820" w:top="264" w:right="839" w:bottom="1440" w:gutter="0" w:footer="0" w:header="0"/>
        </w:sectPr>
      </w:pPr>
    </w:p>
    <w:bookmarkStart w:id="499" w:name="page500"/>
    <w:bookmarkEnd w:id="499"/>
    <w:p>
      <w:pPr>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the Consolidated Omnibus Budget Reconciliation Act of 1985, as amended,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spacing w:after="0" w:line="58" w:lineRule="exact"/>
        <w:rPr>
          <w:sz w:val="20"/>
          <w:szCs w:val="20"/>
          <w:color w:val="auto"/>
        </w:rPr>
      </w:pPr>
    </w:p>
    <w:p>
      <w:pPr>
        <w:ind w:right="100" w:firstLine="412"/>
        <w:spacing w:after="0" w:line="284" w:lineRule="auto"/>
        <w:tabs>
          <w:tab w:leader="none" w:pos="577" w:val="left"/>
        </w:tabs>
        <w:numPr>
          <w:ilvl w:val="0"/>
          <w:numId w:val="447"/>
        </w:numPr>
        <w:rPr>
          <w:rFonts w:ascii="Arial" w:cs="Arial" w:eastAsia="Arial" w:hAnsi="Arial"/>
          <w:sz w:val="15"/>
          <w:szCs w:val="15"/>
          <w:color w:val="auto"/>
        </w:rPr>
      </w:pP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Executive understands and acknowledges that Executive is waiving and releasing any rights Executive may have under the Age Discrimination in Employment Act of 1967 (“</w:t>
      </w:r>
      <w:r>
        <w:rPr>
          <w:rFonts w:ascii="Arial" w:cs="Arial" w:eastAsia="Arial" w:hAnsi="Arial"/>
          <w:sz w:val="15"/>
          <w:szCs w:val="15"/>
          <w:u w:val="single" w:color="auto"/>
          <w:color w:val="auto"/>
        </w:rPr>
        <w:t>ADEA</w:t>
      </w:r>
      <w:r>
        <w:rPr>
          <w:rFonts w:ascii="Arial" w:cs="Arial" w:eastAsia="Arial" w:hAnsi="Arial"/>
          <w:sz w:val="15"/>
          <w:szCs w:val="15"/>
          <w:color w:val="auto"/>
        </w:rPr>
        <w:t>”), and that this waiver and release is knowing and voluntary. Executive understands and agrees that this waiver and release does not apply to any rights or claims that may arise under the ADEA after the date Executive signs this Release.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Release; (b) Executive has [twenty-one (21)][forty-five (45)] days within which to consider this Release, and the Parties agree that such time period to review this Release shall not be extended upon any material or immaterial changes to this Release; (c) Executive has seven (7) business days following Executive’s execution of this Release to revoke this Release pursuant to written notice to the General Counsel of the Company; (d) this Release shall not be effective until after the revocation period has expired;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[twenty-one (21)][forty-five (45)] day period identified above, Executive hereby acknowledges that Executive has freely and voluntarily chosen to waive the time period allotted for considering this Release.</w:t>
      </w:r>
    </w:p>
    <w:p>
      <w:pPr>
        <w:spacing w:after="0" w:line="58" w:lineRule="exact"/>
        <w:rPr>
          <w:rFonts w:ascii="Arial" w:cs="Arial" w:eastAsia="Arial" w:hAnsi="Arial"/>
          <w:sz w:val="15"/>
          <w:szCs w:val="15"/>
          <w:color w:val="auto"/>
        </w:rPr>
      </w:pPr>
    </w:p>
    <w:p>
      <w:pPr>
        <w:ind w:right="120" w:firstLine="412"/>
        <w:spacing w:after="0" w:line="268" w:lineRule="auto"/>
        <w:tabs>
          <w:tab w:leader="none" w:pos="577"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Executive acknowledges that Executive remains bound by the Restrictive Covenants Agreement, which is incorporated by reference herein as if re-executed along with this Release.</w:t>
      </w:r>
    </w:p>
    <w:p>
      <w:pPr>
        <w:spacing w:after="0" w:line="65" w:lineRule="exact"/>
        <w:rPr>
          <w:rFonts w:ascii="Arial" w:cs="Arial" w:eastAsia="Arial" w:hAnsi="Arial"/>
          <w:sz w:val="17"/>
          <w:szCs w:val="17"/>
          <w:color w:val="auto"/>
        </w:rPr>
      </w:pPr>
    </w:p>
    <w:p>
      <w:pPr>
        <w:jc w:val="both"/>
        <w:ind w:firstLine="412"/>
        <w:spacing w:after="0" w:line="257" w:lineRule="auto"/>
        <w:tabs>
          <w:tab w:leader="none" w:pos="577"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Release shall continue in full force and effect without said provision or portion of provision.</w:t>
      </w:r>
    </w:p>
    <w:p>
      <w:pPr>
        <w:spacing w:after="0" w:line="74" w:lineRule="exact"/>
        <w:rPr>
          <w:rFonts w:ascii="Arial" w:cs="Arial" w:eastAsia="Arial" w:hAnsi="Arial"/>
          <w:sz w:val="17"/>
          <w:szCs w:val="17"/>
          <w:color w:val="auto"/>
        </w:rPr>
      </w:pPr>
    </w:p>
    <w:p>
      <w:pPr>
        <w:ind w:left="580" w:hanging="168"/>
        <w:spacing w:after="0"/>
        <w:tabs>
          <w:tab w:leader="none" w:pos="580" w:val="left"/>
        </w:tabs>
        <w:numPr>
          <w:ilvl w:val="0"/>
          <w:numId w:val="447"/>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Release may only be amended in a writing signed by Executive and a duly authorized officer of the Company.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240"/>
          </w:cols>
          <w:pgMar w:left="820" w:top="264" w:right="839" w:bottom="1440" w:gutter="0" w:footer="0" w:header="0"/>
        </w:sectPr>
      </w:pPr>
    </w:p>
    <w:bookmarkStart w:id="500" w:name="page501"/>
    <w:bookmarkEnd w:id="500"/>
    <w:p>
      <w:pPr>
        <w:ind w:right="640" w:firstLine="412"/>
        <w:spacing w:after="0" w:line="268" w:lineRule="auto"/>
        <w:tabs>
          <w:tab w:leader="none" w:pos="577" w:val="left"/>
        </w:tabs>
        <w:numPr>
          <w:ilvl w:val="0"/>
          <w:numId w:val="44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28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2">
                      <a:extLst>
                        <a:ext uri="{28A0092B-C50C-407E-A947-70E740481C1C}"/>
                      </a:extLst>
                    </a:blip>
                    <a:srcRect/>
                    <a:stretch>
                      <a:fillRect/>
                    </a:stretch>
                  </pic:blipFill>
                  <pic:spPr bwMode="auto">
                    <a:xfrm>
                      <a:off x="0" y="0"/>
                      <a:ext cx="7157720" cy="22860"/>
                    </a:xfrm>
                    <a:prstGeom prst="rect">
                      <a:avLst/>
                    </a:prstGeom>
                    <a:noFill/>
                  </pic:spPr>
                </pic:pic>
              </a:graphicData>
            </a:graphic>
          </wp:anchor>
        </w:drawing>
        <w:t>Governing Law; Dispute Resolution</w:t>
      </w:r>
      <w:r>
        <w:rPr>
          <w:rFonts w:ascii="Arial" w:cs="Arial" w:eastAsia="Arial" w:hAnsi="Arial"/>
          <w:sz w:val="17"/>
          <w:szCs w:val="17"/>
          <w:color w:val="auto"/>
        </w:rPr>
        <w:t>. This Release shall be subject to the provisions of Sections 9(a), 9(c) and 9(h) of the Employment Agreement.</w:t>
      </w:r>
    </w:p>
    <w:p>
      <w:pPr>
        <w:spacing w:after="0" w:line="65" w:lineRule="exact"/>
        <w:rPr>
          <w:rFonts w:ascii="Arial" w:cs="Arial" w:eastAsia="Arial" w:hAnsi="Arial"/>
          <w:sz w:val="17"/>
          <w:szCs w:val="17"/>
          <w:color w:val="auto"/>
        </w:rPr>
      </w:pPr>
    </w:p>
    <w:p>
      <w:pPr>
        <w:ind w:firstLine="412"/>
        <w:spacing w:after="0" w:line="253" w:lineRule="auto"/>
        <w:tabs>
          <w:tab w:leader="none" w:pos="577" w:val="left"/>
        </w:tabs>
        <w:numPr>
          <w:ilvl w:val="0"/>
          <w:numId w:val="448"/>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Release shall become effective, irrevocable, and binding upon Executive on the day following the seventh (7th) business day from the date upon which Executive signs this Release, so long as Executive has not revoked it within the time period and in the manner specified in Section 3 above. Executive further understands that Executive will not be given any severance benefits under the Agreement unless this Release becomes effective pursuant to its terms.</w:t>
      </w:r>
    </w:p>
    <w:p>
      <w:pPr>
        <w:spacing w:after="0" w:line="79" w:lineRule="exact"/>
        <w:rPr>
          <w:rFonts w:ascii="Arial" w:cs="Arial" w:eastAsia="Arial" w:hAnsi="Arial"/>
          <w:sz w:val="17"/>
          <w:szCs w:val="17"/>
          <w:color w:val="auto"/>
        </w:rPr>
      </w:pPr>
    </w:p>
    <w:p>
      <w:pPr>
        <w:jc w:val="both"/>
        <w:ind w:right="60" w:firstLine="412"/>
        <w:spacing w:after="0" w:line="290" w:lineRule="auto"/>
        <w:tabs>
          <w:tab w:leader="none" w:pos="577" w:val="left"/>
        </w:tabs>
        <w:numPr>
          <w:ilvl w:val="0"/>
          <w:numId w:val="448"/>
        </w:numPr>
        <w:rPr>
          <w:rFonts w:ascii="Arial" w:cs="Arial" w:eastAsia="Arial" w:hAnsi="Arial"/>
          <w:sz w:val="15"/>
          <w:szCs w:val="15"/>
          <w:color w:val="auto"/>
        </w:rPr>
      </w:pPr>
      <w:r>
        <w:rPr>
          <w:rFonts w:ascii="Arial" w:cs="Arial" w:eastAsia="Arial" w:hAnsi="Arial"/>
          <w:sz w:val="15"/>
          <w:szCs w:val="15"/>
          <w:u w:val="single" w:color="auto"/>
          <w:color w:val="auto"/>
        </w:rPr>
        <w:t>Voluntary Execution of Agreement</w:t>
      </w:r>
      <w:r>
        <w:rPr>
          <w:rFonts w:ascii="Arial" w:cs="Arial" w:eastAsia="Arial" w:hAnsi="Arial"/>
          <w:sz w:val="15"/>
          <w:szCs w:val="15"/>
          <w:color w:val="auto"/>
        </w:rPr>
        <w:t>. Executive understands and agrees that Executive executed this Release voluntarily, without any duress or undue influence on the part or behalf of the Company or any third party, with the full intent of releasing all of Executive’s claims against the Company and any of the other Releasees. Executive acknowledges that: (a) Executive has read this Release; (b) Executive has not relied upon any representations or statements made by the Company that are not specifically set forth in this Release; (c) Executive has been represented in the preparation, negotiation and execution of this Release by legal counsel of Executive’s own choice or has elected not to retain legal counsel; (d) Executive understands the terms and consequences of this Release and of the releases it contains; and (e) Executive is fully aware of the legal and binding effect of this Release.</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WITNESS WHEREOF, the Parties have executed this Release on the respective dates set forth below.</w:t>
      </w: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EXECUTIVE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11430</wp:posOffset>
            </wp:positionV>
            <wp:extent cx="31800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-12065</wp:posOffset>
            </wp:positionV>
            <wp:extent cx="84963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1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Laura Edgerly-Pflug</w:t>
      </w: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LYRA THERAPEUTICS, INC.</w:t>
      </w:r>
    </w:p>
    <w:p>
      <w:pPr>
        <w:spacing w:after="0" w:line="210" w:lineRule="exact"/>
        <w:rPr>
          <w:sz w:val="20"/>
          <w:szCs w:val="20"/>
          <w:color w:val="auto"/>
        </w:rPr>
      </w:pPr>
    </w:p>
    <w:p>
      <w:pPr>
        <w:spacing w:after="0"/>
        <w:tabs>
          <w:tab w:leader="none" w:pos="52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11430</wp:posOffset>
            </wp:positionV>
            <wp:extent cx="292544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29254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-12065</wp:posOffset>
            </wp:positionV>
            <wp:extent cx="84963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0220"/>
          </w:cols>
          <w:pgMar w:left="820" w:top="264" w:right="859" w:bottom="1440" w:gutter="0" w:footer="0" w:header="0"/>
        </w:sectPr>
      </w:pPr>
    </w:p>
    <w:bookmarkStart w:id="501" w:name="page502"/>
    <w:bookmarkEnd w:id="501"/>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Restrictive Covenant Agreement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[attached]</w:t>
      </w:r>
    </w:p>
    <w:p>
      <w:pPr>
        <w:sectPr>
          <w:pgSz w:w="11900" w:h="16838" w:orient="portrait"/>
          <w:cols w:equalWidth="0" w:num="1">
            <w:col w:w="9019"/>
          </w:cols>
          <w:pgMar w:left="1440" w:top="261" w:right="1440" w:bottom="1440" w:gutter="0" w:footer="0" w:header="0"/>
        </w:sectPr>
      </w:pPr>
    </w:p>
    <w:bookmarkStart w:id="502" w:name="page503"/>
    <w:bookmarkEnd w:id="50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EMPLOYEE NON-DISCLOSURE AND INVENTIONS AGREEMENT</w:t>
      </w:r>
    </w:p>
    <w:p>
      <w:pPr>
        <w:spacing w:after="0" w:line="206"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auto"/>
        </w:rPr>
        <w:t xml:space="preserve">In consideration of my employment or continued employment by </w:t>
      </w:r>
      <w:r>
        <w:rPr>
          <w:rFonts w:ascii="Arial" w:cs="Arial" w:eastAsia="Arial" w:hAnsi="Arial"/>
          <w:sz w:val="16"/>
          <w:szCs w:val="16"/>
          <w:b w:val="1"/>
          <w:bCs w:val="1"/>
          <w:color w:val="auto"/>
        </w:rPr>
        <w:t>Lyra Therapeutics, Inc.</w:t>
      </w:r>
      <w:r>
        <w:rPr>
          <w:rFonts w:ascii="Arial" w:cs="Arial" w:eastAsia="Arial" w:hAnsi="Arial"/>
          <w:sz w:val="16"/>
          <w:szCs w:val="16"/>
          <w:color w:val="auto"/>
        </w:rPr>
        <w:t xml:space="preserve"> (f/k/a 480 Biomedical, Inc.), a Delaware corporation, or any of its predecessors, successors, subsidiaries or affiliates (collectively, the “Company”) I, </w:t>
      </w:r>
      <w:r>
        <w:rPr>
          <w:rFonts w:ascii="Arial" w:cs="Arial" w:eastAsia="Arial" w:hAnsi="Arial"/>
          <w:sz w:val="16"/>
          <w:szCs w:val="16"/>
          <w:u w:val="single" w:color="auto"/>
          <w:color w:val="auto"/>
        </w:rPr>
        <w:t>Laura Edgerly Pflug</w:t>
      </w:r>
      <w:r>
        <w:rPr>
          <w:rFonts w:ascii="Arial" w:cs="Arial" w:eastAsia="Arial" w:hAnsi="Arial"/>
          <w:sz w:val="16"/>
          <w:szCs w:val="16"/>
          <w:color w:val="auto"/>
        </w:rPr>
        <w:t xml:space="preserve"> agree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w:t>
      </w:r>
    </w:p>
    <w:p>
      <w:pPr>
        <w:spacing w:after="0" w:line="11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I understand that the Company continually obtains and develops valuable proprietary and confidential information concerning its business, business relationships and financial affairs (the “Confidential Information”) and valuable Biological Materials (as defined below) which may become known to me in connection with my employment with the Company.</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I acknowledge that all Biological Materials and all Confidential Information, whether or not in writing and whether or not labeled or identified as confidential or proprietary, are and shall remain the exclusive property of the Company or the third party providing such Biological Materials or Confidential Information to myself or the Company. By way of illustration, but not limitation, Confidential Information may include Inventions (as hereafter defined), trade secrets, technical information, know-how, research and development activities of the Company, product and marketing plans, customer and supplier information, apparatus, equipment, processes, systems, formulas, designs, non-public information about FDA proceedings, reports, tangible research materials, technology, business plans, forecasts and information disclosed to the Company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As used herein “Biological Materials” shall include, without limitation, any and all reagents, substances, chemical compounds, subcellular constituents, cells or cell lines, organisms and progeny, mutants, derivatives or replications thereof or therefrom.</w:t>
      </w:r>
    </w:p>
    <w:p>
      <w:pPr>
        <w:spacing w:after="0" w:line="157"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I agree that I shall not, during the term of my employment and thereafter, publish, disclose or otherwise make available to any third party, other than employees of the Company, any Confidential Information or Biological Materials which become known to me in connection with my employment by the Company except as expressly authorized in writing by the Company. I agree that I shall use such Confidential Information and Biological Materials which become known to me in connection with my employment by the Company only in the performance of my duties for the Company and in accordance with any Company policies with respect to the protection of Confidential Information and Biological Materials. I agree not to use such Confidential Information or Biological Materials which become known to me in connection with my employment by the Company for my own benefit or for the benefit of any other person or business entity.</w:t>
      </w:r>
    </w:p>
    <w:p>
      <w:pPr>
        <w:sectPr>
          <w:pgSz w:w="11900" w:h="16838" w:orient="portrait"/>
          <w:cols w:equalWidth="0" w:num="1">
            <w:col w:w="10240"/>
          </w:cols>
          <w:pgMar w:left="820" w:top="261" w:right="839" w:bottom="1440" w:gutter="0" w:footer="0" w:header="0"/>
        </w:sectPr>
      </w:pPr>
    </w:p>
    <w:bookmarkStart w:id="503" w:name="page504"/>
    <w:bookmarkEnd w:id="503"/>
    <w:p>
      <w:pPr>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 agree to exercise all reasonable precautions to protect the integrity and confidentiality of Confidential Information and Biological Materials in my possession and not to remove any materials containing Confidential Information or Biological Materials which become known to me in connection with my employment by the Company from the Company’s premises except to the extent necessary to perform duties for and authorized by the Company in connection with my employment. Upon the termination of my employment, or at any time upon the Company’s request, I shall return immediately to the Company any and all Biological Materials and any materials containing any Confidential Information then in my possession or under my control.</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Confidential Information shall not include information which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and who imposes no obligation of confidence on me;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Assignment of Inventions</w:t>
      </w:r>
    </w:p>
    <w:p>
      <w:pPr>
        <w:spacing w:after="0" w:line="110"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I agree promptly to disclose to the Company any and all ideas, concepts, discoveries, inventions, developments, original works of authorship, software programs, software and systems documentation, trade secrets, technical data, know-how and Biological Materials that are conceived, devised, invented, developed or reduced to practice or tangible medium by me, under my direction or jointly with others during any period that I am employed or engaged by the Company, whether or not during normal working hours or on the premises of the Company, which relate, directly or indirectly, to the business of the Company and arise out of my employment with the Company (hereinafter “Inventions”).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 hereby assign to the Company all of my right, title and interest to the Inventions and any and all related patent rights, copyrights and applications and registrations therefor. During and after my employment, I shall cooperate with the Company, at the Company’s expense, in obtaining proprietary protection for the Inventions and I shall execute all documents which the Company shall reasonably request in order to perfect the Company’s rights in the Inventions. I hereby appoint the Company my attorney to execute and deliver any such documents on my behalf in the event I should fail or refuse to do so within a reasonable period following the Company’s request. I understand that, to the extent this Agreement shall be construed in accordance with the laws of any state which limits the assignability to the Company of certain employee inventions, this Agreement shall be interpreted not to apply to any such invention which a court rules or the Company agrees is subject to such state limitation.</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 further represent that the attached Schedule A contains a complete list of all inventions made, conceived or first reduced to practice by me, under my direction or jointly with others prior to my employment with the Company (“Prior Inventions”) and which are not assigned to the Company hereunder. If there is no such Schedule A attached hereto, I represent that there are no such Prior Inventions.</w:t>
      </w:r>
    </w:p>
    <w:p>
      <w:pPr>
        <w:sectPr>
          <w:pgSz w:w="11900" w:h="16838" w:orient="portrait"/>
          <w:cols w:equalWidth="0" w:num="1">
            <w:col w:w="10240"/>
          </w:cols>
          <w:pgMar w:left="820" w:top="265" w:right="839" w:bottom="1440" w:gutter="0" w:footer="0" w:header="0"/>
        </w:sectPr>
      </w:pPr>
    </w:p>
    <w:bookmarkStart w:id="504" w:name="page505"/>
    <w:bookmarkEnd w:id="50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Other Agreements</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 hereby represent to the Company that, except as identified on Schedule B, I am not bound by any agreement or any other previous or existing business relationship which conflicts with or prevents the full performance of my duties and obligations to the Company (including my duties and obligations under this or any other agreement with the Company) during my employment.</w:t>
      </w:r>
    </w:p>
    <w:p>
      <w:pPr>
        <w:spacing w:after="0" w:line="175"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I understand that the Company does not desire to acquire from me any trade secrets, know-how or confidential business information I may have acquired from others. Therefore, I agree during my employment with the Company, I will not improperly use or disclose any proprietary information or trade secrets of any former or concurrent employer, or any other person or entity with whom I have an agreement or to whom I owe a duty to keep such information in confidence. Those persons or entities with whom I have such agreements or to whom I owe such a duty are identified on Schedule B.</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Commitment</w:t>
      </w:r>
    </w:p>
    <w:p>
      <w:pPr>
        <w:spacing w:after="0" w:line="110"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I agree that during the term of my employment with the Company and for a period of one year thereafter, I shall not, without the Company’s prior written consent, engage in any business or enterprise (whether as founder, owner, partner, officer, director, employee, consultant, investor, lender or otherwise, except as the holder of not more than 5% of the outstanding capital stock of a publicly-held company) whose primary area of business involves the field of biomaterials, materials delivery systems and technologies, drug-delivery systems and technologies and access devices related to products or technologies actively developed by 480 Biomedical, Inc. (the “Field”).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Non-solicitation</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 agree that during my employment with the Company and for a period of two years after the termination or cessation of such employment for any reason, I shall not solicit, divert or take away, or attempt to divert or take away, the business or patronage of any of the clients, customers or accounts, or prospective clients, customers or accounts, of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Non-solicitation of Employees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 agree that during my employment and for a period of two years after the termination or cessation of my employment for any reason, I shall not directly or indirectly recruit or solicit any employee of the Company, or induce or attempt to induce any employee of the Company to discontinue his or her employment relationship with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Obligation of Continued Employment</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 understand that this Agreement does not constitute a contract of employment or create an obligation on the part of the Company to continue my employment with the Company. I understand that my employment is “at will” and that my obligations under this Agreement shall not be affected by any change in my position, title or function with, or compensation, by the Company.</w:t>
      </w:r>
    </w:p>
    <w:p>
      <w:pPr>
        <w:sectPr>
          <w:pgSz w:w="11900" w:h="16838" w:orient="portrait"/>
          <w:cols w:equalWidth="0" w:num="1">
            <w:col w:w="10200"/>
          </w:cols>
          <w:pgMar w:left="820" w:top="260" w:right="879" w:bottom="1440" w:gutter="0" w:footer="0" w:header="0"/>
        </w:sectPr>
      </w:pPr>
    </w:p>
    <w:bookmarkStart w:id="505" w:name="page506"/>
    <w:bookmarkEnd w:id="50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General</w:t>
      </w:r>
    </w:p>
    <w:p>
      <w:pPr>
        <w:spacing w:after="0" w:line="110"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This Agreement may not be assigned by either party except that the Company may assign this Agreement in connection with the merger, consolidation or sale of all or substantially all of its business or assets. This Agreement shall be binding upon and shall inure to the benefit of the parties hereto and their respective successors and other legal representatives and, to the extent that any assignment hereof is permitted hereunder, their assignees.</w:t>
      </w:r>
    </w:p>
    <w:p>
      <w:pPr>
        <w:spacing w:after="0" w:line="14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This Agreement supersedes all prior agreements, written or oral, with respect to the subject matter of this Agreement. This Agreement may be changed only by a written instrument signed by both parties hereto.</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the event that any one or more of the provisions contained herein shall, for any reason, be held to be invalid, illegal, or unenforceable in any respect, such invalidity, illegality, or unenforceability shall not affect any other provisions of this Agreement, and all other provisions shall remain in full force and effect. If any of the provisions of this Agreement is held to be excessively broad, it shall be reformed and construed by limiting and reducing it so as to be enforceable to the maximum extent permitted by law.</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17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 acknowledge that the restrictions contained in this Agreement are necessary for the protection of the business and goodwill of the Company and are reasonable for such purpose. I agree that any breach of this Agreement by me will cause irreparable damage to the Company and that in the in the event of such breach, the Company shall be entitled, in addition to monetary damages and to any other remedies available to the Company under this Agreement and at law, to equitable relief, including injunctive relief, and to payment by myself of all costs incurred by the Company in enforcing the provisions of this Agreement, including reasonable attorneys’ fees, in such event without the necessity of first proving actual damages. I agree that should I violate any obligation imposed on me in this Agreement, I shall continue to be bound by the obligation until a period equal to the term of such obligation has expired without violation of such obligation.</w:t>
      </w:r>
    </w:p>
    <w:p>
      <w:pPr>
        <w:spacing w:after="0" w:line="16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This Agreement shall be construed as a sealed instrument and shall in all events and for all purposes be governed by, and construed in accordance with, the laws of the Commonwealth of Massachusetts without regard to any choice of law principle that would dictate the application of the laws of another jurisdiction. Any action, suit or other legal proceeding which I may commence to resolve any matter arising under or relating to any provision of this Agreement shall be commenced only in a court of the Commonwealth of Massachusetts (or, if appropriate, a federal court located within Massachusetts), and I hereby consent to the jurisdiction of such court with respect to any action, suit or proceeding commenced in such court by the Company.</w:t>
      </w:r>
    </w:p>
    <w:p>
      <w:pPr>
        <w:sectPr>
          <w:pgSz w:w="11900" w:h="16838" w:orient="portrait"/>
          <w:cols w:equalWidth="0" w:num="1">
            <w:col w:w="10220"/>
          </w:cols>
          <w:pgMar w:left="820" w:top="261" w:right="859" w:bottom="1440" w:gutter="0" w:footer="0" w:header="0"/>
        </w:sectPr>
      </w:pPr>
    </w:p>
    <w:bookmarkStart w:id="506" w:name="page507"/>
    <w:bookmarkEnd w:id="506"/>
    <w:p>
      <w:pPr>
        <w:ind w:right="7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 HAVE READ ALL OF THE PROVISIONS OF THIS AGREEMENT AND I UNDERSTAND, AND AGREE TO, EACH OF SUCH PROVISIONS.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gridSpan w:val="2"/>
          </w:tcPr>
          <w:p>
            <w:pPr>
              <w:spacing w:after="0"/>
              <w:rPr>
                <w:sz w:val="20"/>
                <w:szCs w:val="20"/>
                <w:color w:val="auto"/>
              </w:rPr>
            </w:pPr>
            <w:r>
              <w:rPr>
                <w:rFonts w:ascii="Arial" w:cs="Arial" w:eastAsia="Arial" w:hAnsi="Arial"/>
                <w:sz w:val="17"/>
                <w:szCs w:val="17"/>
                <w:color w:val="auto"/>
              </w:rPr>
              <w:t>May 1, 2019</w:t>
            </w:r>
          </w:p>
        </w:tc>
        <w:tc>
          <w:tcPr>
            <w:tcW w:w="6040" w:type="dxa"/>
            <w:vAlign w:val="bottom"/>
            <w:gridSpan w:val="2"/>
          </w:tcPr>
          <w:p>
            <w:pPr>
              <w:ind w:left="1760"/>
              <w:spacing w:after="0"/>
              <w:rPr>
                <w:sz w:val="20"/>
                <w:szCs w:val="20"/>
                <w:color w:val="auto"/>
              </w:rPr>
            </w:pPr>
            <w:r>
              <w:rPr>
                <w:rFonts w:ascii="Arial" w:cs="Arial" w:eastAsia="Arial" w:hAnsi="Arial"/>
                <w:sz w:val="17"/>
                <w:szCs w:val="17"/>
                <w:color w:val="auto"/>
              </w:rPr>
              <w:t>/s/ Laura Edgerly Pflug</w:t>
            </w:r>
          </w:p>
        </w:tc>
      </w:tr>
      <w:tr>
        <w:trPr>
          <w:trHeight w:val="20"/>
        </w:trPr>
        <w:tc>
          <w:tcPr>
            <w:tcW w:w="4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r>
      <w:tr>
        <w:trPr>
          <w:trHeight w:val="206"/>
        </w:trPr>
        <w:tc>
          <w:tcPr>
            <w:tcW w:w="4200" w:type="dxa"/>
            <w:vAlign w:val="bottom"/>
            <w:gridSpan w:val="2"/>
          </w:tcPr>
          <w:p>
            <w:pPr>
              <w:spacing w:after="0"/>
              <w:rPr>
                <w:sz w:val="20"/>
                <w:szCs w:val="20"/>
                <w:color w:val="auto"/>
              </w:rPr>
            </w:pPr>
            <w:r>
              <w:rPr>
                <w:rFonts w:ascii="Arial" w:cs="Arial" w:eastAsia="Arial" w:hAnsi="Arial"/>
                <w:sz w:val="17"/>
                <w:szCs w:val="17"/>
                <w:color w:val="auto"/>
              </w:rPr>
              <w:t>Date:</w:t>
            </w:r>
          </w:p>
        </w:tc>
        <w:tc>
          <w:tcPr>
            <w:tcW w:w="6040" w:type="dxa"/>
            <w:vAlign w:val="bottom"/>
            <w:gridSpan w:val="2"/>
          </w:tcPr>
          <w:p>
            <w:pPr>
              <w:ind w:left="1760"/>
              <w:spacing w:after="0"/>
              <w:rPr>
                <w:sz w:val="20"/>
                <w:szCs w:val="20"/>
                <w:color w:val="auto"/>
              </w:rPr>
            </w:pPr>
            <w:r>
              <w:rPr>
                <w:rFonts w:ascii="Arial" w:cs="Arial" w:eastAsia="Arial" w:hAnsi="Arial"/>
                <w:sz w:val="17"/>
                <w:szCs w:val="17"/>
                <w:color w:val="auto"/>
              </w:rPr>
              <w:t>Name:</w:t>
            </w:r>
          </w:p>
        </w:tc>
      </w:tr>
      <w:tr>
        <w:trPr>
          <w:trHeight w:val="389"/>
        </w:trPr>
        <w:tc>
          <w:tcPr>
            <w:tcW w:w="4200" w:type="dxa"/>
            <w:vAlign w:val="bottom"/>
            <w:gridSpan w:val="2"/>
          </w:tcPr>
          <w:p>
            <w:pPr>
              <w:spacing w:after="0"/>
              <w:rPr>
                <w:sz w:val="20"/>
                <w:szCs w:val="20"/>
                <w:color w:val="auto"/>
              </w:rPr>
            </w:pPr>
            <w:r>
              <w:rPr>
                <w:rFonts w:ascii="Arial" w:cs="Arial" w:eastAsia="Arial" w:hAnsi="Arial"/>
                <w:sz w:val="17"/>
                <w:szCs w:val="17"/>
                <w:color w:val="auto"/>
              </w:rPr>
              <w:t>Acknowledged and</w:t>
            </w:r>
          </w:p>
        </w:tc>
        <w:tc>
          <w:tcPr>
            <w:tcW w:w="17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13"/>
        </w:trPr>
        <w:tc>
          <w:tcPr>
            <w:tcW w:w="4200" w:type="dxa"/>
            <w:vAlign w:val="bottom"/>
            <w:gridSpan w:val="2"/>
          </w:tcPr>
          <w:p>
            <w:pPr>
              <w:spacing w:after="0"/>
              <w:rPr>
                <w:sz w:val="20"/>
                <w:szCs w:val="20"/>
                <w:color w:val="auto"/>
              </w:rPr>
            </w:pPr>
            <w:r>
              <w:rPr>
                <w:rFonts w:ascii="Arial" w:cs="Arial" w:eastAsia="Arial" w:hAnsi="Arial"/>
                <w:sz w:val="17"/>
                <w:szCs w:val="17"/>
                <w:color w:val="auto"/>
              </w:rPr>
              <w:t>agreed to by: Lyra Therapeutics, Inc.</w:t>
            </w:r>
          </w:p>
        </w:tc>
        <w:tc>
          <w:tcPr>
            <w:tcW w:w="176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427"/>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Maria Palasis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06"/>
        </w:trPr>
        <w:tc>
          <w:tcPr>
            <w:tcW w:w="4200" w:type="dxa"/>
            <w:vAlign w:val="bottom"/>
            <w:gridSpan w:val="2"/>
          </w:tcPr>
          <w:p>
            <w:pPr>
              <w:spacing w:after="0"/>
              <w:rPr>
                <w:sz w:val="20"/>
                <w:szCs w:val="20"/>
                <w:color w:val="auto"/>
              </w:rPr>
            </w:pPr>
            <w:r>
              <w:rPr>
                <w:rFonts w:ascii="Arial" w:cs="Arial" w:eastAsia="Arial" w:hAnsi="Arial"/>
                <w:sz w:val="17"/>
                <w:szCs w:val="17"/>
                <w:color w:val="auto"/>
              </w:rPr>
              <w:t>By:</w:t>
            </w:r>
          </w:p>
        </w:tc>
        <w:tc>
          <w:tcPr>
            <w:tcW w:w="176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402"/>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Maria Palasis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06"/>
        </w:trPr>
        <w:tc>
          <w:tcPr>
            <w:tcW w:w="4200" w:type="dxa"/>
            <w:vAlign w:val="bottom"/>
            <w:gridSpan w:val="2"/>
          </w:tcPr>
          <w:p>
            <w:pPr>
              <w:spacing w:after="0"/>
              <w:rPr>
                <w:sz w:val="20"/>
                <w:szCs w:val="20"/>
                <w:color w:val="auto"/>
              </w:rPr>
            </w:pPr>
            <w:r>
              <w:rPr>
                <w:rFonts w:ascii="Arial" w:cs="Arial" w:eastAsia="Arial" w:hAnsi="Arial"/>
                <w:sz w:val="17"/>
                <w:szCs w:val="17"/>
                <w:color w:val="auto"/>
              </w:rPr>
              <w:t>Printed Name:</w:t>
            </w:r>
          </w:p>
        </w:tc>
        <w:tc>
          <w:tcPr>
            <w:tcW w:w="176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402"/>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06"/>
        </w:trPr>
        <w:tc>
          <w:tcPr>
            <w:tcW w:w="4200" w:type="dxa"/>
            <w:vAlign w:val="bottom"/>
            <w:gridSpan w:val="2"/>
          </w:tcPr>
          <w:p>
            <w:pPr>
              <w:spacing w:after="0"/>
              <w:rPr>
                <w:sz w:val="20"/>
                <w:szCs w:val="20"/>
                <w:color w:val="auto"/>
              </w:rPr>
            </w:pPr>
            <w:r>
              <w:rPr>
                <w:rFonts w:ascii="Arial" w:cs="Arial" w:eastAsia="Arial" w:hAnsi="Arial"/>
                <w:sz w:val="17"/>
                <w:szCs w:val="17"/>
                <w:color w:val="auto"/>
              </w:rPr>
              <w:t>Title:</w:t>
            </w:r>
          </w:p>
        </w:tc>
        <w:tc>
          <w:tcPr>
            <w:tcW w:w="1760" w:type="dxa"/>
            <w:vAlign w:val="bottom"/>
          </w:tcPr>
          <w:p>
            <w:pPr>
              <w:spacing w:after="0"/>
              <w:rPr>
                <w:sz w:val="17"/>
                <w:szCs w:val="17"/>
                <w:color w:val="auto"/>
              </w:rPr>
            </w:pPr>
          </w:p>
        </w:tc>
        <w:tc>
          <w:tcPr>
            <w:tcW w:w="4280" w:type="dxa"/>
            <w:vAlign w:val="bottom"/>
          </w:tcPr>
          <w:p>
            <w:pPr>
              <w:spacing w:after="0"/>
              <w:rPr>
                <w:sz w:val="17"/>
                <w:szCs w:val="17"/>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TO EMPLOYEE NON-DISCLOSURE AND INVENTIONS AGREEMENT]</w:t>
      </w:r>
    </w:p>
    <w:p>
      <w:pPr>
        <w:sectPr>
          <w:pgSz w:w="11900" w:h="16838" w:orient="portrait"/>
          <w:cols w:equalWidth="0" w:num="1">
            <w:col w:w="10240"/>
          </w:cols>
          <w:pgMar w:left="820" w:top="261" w:right="839" w:bottom="1440" w:gutter="0" w:footer="0" w:header="0"/>
        </w:sectPr>
      </w:pPr>
    </w:p>
    <w:bookmarkStart w:id="507" w:name="page508"/>
    <w:bookmarkEnd w:id="507"/>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413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A</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PRIOR INVENTIONS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complete list of all Prior Inventions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3149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See below for description of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3149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3149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 agree that, if in the course of my employment with the Company, and without first notifying the Company in writing of my intention to do so, I incorporate into a Company product, process or machine a Prior Invention owned by me or in which I have an interest, the Company shall automatically be granted and shall have a non-exclusive, royalty-free, irrevocable, transferable, perpetual world-wide license to make, have made, modify, use and sell such Prior Invention as part of, or in connection with, such product, process or machine.</w:t>
      </w:r>
    </w:p>
    <w:p>
      <w:pPr>
        <w:sectPr>
          <w:pgSz w:w="11900" w:h="16838" w:orient="portrait"/>
          <w:cols w:equalWidth="0" w:num="1">
            <w:col w:w="10200"/>
          </w:cols>
          <w:pgMar w:left="820" w:top="265" w:right="879" w:bottom="1440" w:gutter="0" w:footer="0" w:header="0"/>
        </w:sectPr>
      </w:pPr>
    </w:p>
    <w:bookmarkStart w:id="508" w:name="page509"/>
    <w:bookmarkEnd w:id="508"/>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57720" cy="2349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SCHEDULE B</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PRIOR COMMITMENTS</w:t>
      </w:r>
    </w:p>
    <w:p>
      <w:pPr>
        <w:sectPr>
          <w:pgSz w:w="11900" w:h="16838" w:orient="portrait"/>
          <w:cols w:equalWidth="0" w:num="1">
            <w:col w:w="9019"/>
          </w:cols>
          <w:pgMar w:left="1440" w:top="265" w:right="1440" w:bottom="1440" w:gutter="0" w:footer="0" w:header="0"/>
        </w:sectPr>
      </w:pPr>
    </w:p>
    <w:bookmarkStart w:id="509" w:name="page510"/>
    <w:bookmarkEnd w:id="509"/>
    <w:p>
      <w:pPr>
        <w:jc w:val="right"/>
        <w:spacing w:after="0"/>
        <w:rPr>
          <w:sz w:val="20"/>
          <w:szCs w:val="20"/>
          <w:color w:val="auto"/>
        </w:rPr>
      </w:pPr>
      <w:r>
        <w:rPr>
          <w:rFonts w:ascii="Arial" w:cs="Arial" w:eastAsia="Arial" w:hAnsi="Arial"/>
          <w:sz w:val="17"/>
          <w:szCs w:val="17"/>
          <w:u w:val="single" w:color="auto"/>
          <w:color w:val="auto"/>
        </w:rPr>
        <w:t>Exhibit 23.1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Lyra Therapeutics,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Watertown, Massachusetts</w:t>
      </w:r>
    </w:p>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hereby consent to the use in the Prospectus constituting a part of this Registration Statement of our report dated February 14, 2020, except for Note 13 b and c, which are as of April 27, 2020, relating to the consolidated financial statements of Lyra Therapeutics, Inc. and subsidiary, which is contained in that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us under the caption “Experts” in the Prospectus.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April 27, 2020</w:t>
      </w:r>
    </w:p>
    <w:sectPr>
      <w:pgSz w:w="11900" w:h="16838" w:orient="portrait"/>
      <w:cols w:equalWidth="0" w:num="1">
        <w:col w:w="10240"/>
      </w:cols>
      <w:pgMar w:left="820" w:top="12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344C22"/>
    <w:multiLevelType w:val="hybridMultilevel"/>
    <w:lvl w:ilvl="0">
      <w:lvlJc w:val="left"/>
      <w:lvlText w:val="(%1)"/>
      <w:numFmt w:val="decimal"/>
      <w:start w:val="1"/>
    </w:lvl>
  </w:abstractNum>
  <w:abstractNum w:abstractNumId="1">
    <w:nsid w:val="13CDFCFC"/>
    <w:multiLevelType w:val="hybridMultilevel"/>
    <w:lvl w:ilvl="0">
      <w:lvlJc w:val="left"/>
      <w:lvlText w:val="(%1)"/>
      <w:numFmt w:val="decimal"/>
      <w:start w:val="1"/>
    </w:lvl>
  </w:abstractNum>
  <w:abstractNum w:abstractNumId="2">
    <w:nsid w:val="471745E4"/>
    <w:multiLevelType w:val="hybridMultilevel"/>
    <w:lvl w:ilvl="0">
      <w:lvlJc w:val="left"/>
      <w:lvlText w:val="•"/>
      <w:numFmt w:val="bullet"/>
      <w:start w:val="1"/>
    </w:lvl>
  </w:abstractNum>
  <w:abstractNum w:abstractNumId="3">
    <w:nsid w:val="1DDBC66"/>
    <w:multiLevelType w:val="hybridMultilevel"/>
    <w:lvl w:ilvl="0">
      <w:lvlJc w:val="left"/>
      <w:lvlText w:val="(%1)"/>
      <w:numFmt w:val="decimal"/>
      <w:start w:val="1"/>
    </w:lvl>
  </w:abstractNum>
  <w:abstractNum w:abstractNumId="4">
    <w:nsid w:val="30AADFDA"/>
    <w:multiLevelType w:val="hybridMultilevel"/>
    <w:lvl w:ilvl="0">
      <w:lvlJc w:val="left"/>
      <w:lvlText w:val="•"/>
      <w:numFmt w:val="bullet"/>
      <w:start w:val="1"/>
    </w:lvl>
  </w:abstractNum>
  <w:abstractNum w:abstractNumId="5">
    <w:nsid w:val="30EADA61"/>
    <w:multiLevelType w:val="hybridMultilevel"/>
    <w:lvl w:ilvl="0">
      <w:lvlJc w:val="left"/>
      <w:lvlText w:val="•"/>
      <w:numFmt w:val="bullet"/>
      <w:start w:val="1"/>
    </w:lvl>
  </w:abstractNum>
  <w:abstractNum w:abstractNumId="6">
    <w:nsid w:val="27179C0B"/>
    <w:multiLevelType w:val="hybridMultilevel"/>
    <w:lvl w:ilvl="0">
      <w:lvlJc w:val="left"/>
      <w:lvlText w:val="•"/>
      <w:numFmt w:val="bullet"/>
      <w:start w:val="1"/>
    </w:lvl>
  </w:abstractNum>
  <w:abstractNum w:abstractNumId="7">
    <w:nsid w:val="5E636063"/>
    <w:multiLevelType w:val="hybridMultilevel"/>
    <w:lvl w:ilvl="0">
      <w:lvlJc w:val="left"/>
      <w:lvlText w:val="•"/>
      <w:numFmt w:val="bullet"/>
      <w:start w:val="1"/>
    </w:lvl>
  </w:abstractNum>
  <w:abstractNum w:abstractNumId="8">
    <w:nsid w:val="215641AF"/>
    <w:multiLevelType w:val="hybridMultilevel"/>
    <w:lvl w:ilvl="0">
      <w:lvlJc w:val="left"/>
      <w:lvlText w:val="•"/>
      <w:numFmt w:val="bullet"/>
      <w:start w:val="1"/>
    </w:lvl>
  </w:abstractNum>
  <w:abstractNum w:abstractNumId="9">
    <w:nsid w:val="53280662"/>
    <w:multiLevelType w:val="hybridMultilevel"/>
    <w:lvl w:ilvl="0">
      <w:lvlJc w:val="left"/>
      <w:lvlText w:val="•"/>
      <w:numFmt w:val="bullet"/>
      <w:start w:val="1"/>
    </w:lvl>
  </w:abstractNum>
  <w:abstractNum w:abstractNumId="10">
    <w:nsid w:val="46B24DBC"/>
    <w:multiLevelType w:val="hybridMultilevel"/>
    <w:lvl w:ilvl="0">
      <w:lvlJc w:val="left"/>
      <w:lvlText w:val="•"/>
      <w:numFmt w:val="bullet"/>
      <w:start w:val="1"/>
    </w:lvl>
  </w:abstractNum>
  <w:abstractNum w:abstractNumId="11">
    <w:nsid w:val="75B52783"/>
    <w:multiLevelType w:val="hybridMultilevel"/>
    <w:lvl w:ilvl="0">
      <w:lvlJc w:val="left"/>
      <w:lvlText w:val="(%1)"/>
      <w:numFmt w:val="decimal"/>
      <w:start w:val="1"/>
    </w:lvl>
  </w:abstractNum>
  <w:abstractNum w:abstractNumId="12">
    <w:nsid w:val="57CE66B4"/>
    <w:multiLevelType w:val="hybridMultilevel"/>
    <w:lvl w:ilvl="0">
      <w:lvlJc w:val="left"/>
      <w:lvlText w:val="(%1)"/>
      <w:numFmt w:val="decimal"/>
      <w:start w:val="1"/>
    </w:lvl>
  </w:abstractNum>
  <w:abstractNum w:abstractNumId="13">
    <w:nsid w:val="67A70B69"/>
    <w:multiLevelType w:val="hybridMultilevel"/>
    <w:lvl w:ilvl="0">
      <w:lvlJc w:val="left"/>
      <w:lvlText w:val="(%1)"/>
      <w:numFmt w:val="decimal"/>
      <w:start w:val="4"/>
    </w:lvl>
  </w:abstractNum>
  <w:abstractNum w:abstractNumId="14">
    <w:nsid w:val="5953172F"/>
    <w:multiLevelType w:val="hybridMultilevel"/>
    <w:lvl w:ilvl="0">
      <w:lvlJc w:val="left"/>
      <w:lvlText w:val="•"/>
      <w:numFmt w:val="bullet"/>
      <w:start w:val="1"/>
    </w:lvl>
  </w:abstractNum>
  <w:abstractNum w:abstractNumId="15">
    <w:nsid w:val="27EDFE3A"/>
    <w:multiLevelType w:val="hybridMultilevel"/>
    <w:lvl w:ilvl="0">
      <w:lvlJc w:val="left"/>
      <w:lvlText w:val="•"/>
      <w:numFmt w:val="bullet"/>
      <w:start w:val="1"/>
    </w:lvl>
  </w:abstractNum>
  <w:abstractNum w:abstractNumId="16">
    <w:nsid w:val="52AC7DFF"/>
    <w:multiLevelType w:val="hybridMultilevel"/>
    <w:lvl w:ilvl="0">
      <w:lvlJc w:val="left"/>
      <w:lvlText w:val="•"/>
      <w:numFmt w:val="bullet"/>
      <w:start w:val="1"/>
    </w:lvl>
  </w:abstractNum>
  <w:abstractNum w:abstractNumId="17">
    <w:nsid w:val="C4C3AF"/>
    <w:multiLevelType w:val="hybridMultilevel"/>
    <w:lvl w:ilvl="0">
      <w:lvlJc w:val="left"/>
      <w:lvlText w:val="•"/>
      <w:numFmt w:val="bullet"/>
      <w:start w:val="1"/>
    </w:lvl>
  </w:abstractNum>
  <w:abstractNum w:abstractNumId="18">
    <w:nsid w:val="44380727"/>
    <w:multiLevelType w:val="hybridMultilevel"/>
    <w:lvl w:ilvl="0">
      <w:lvlJc w:val="left"/>
      <w:lvlText w:val="•"/>
      <w:numFmt w:val="bullet"/>
      <w:start w:val="1"/>
    </w:lvl>
  </w:abstractNum>
  <w:abstractNum w:abstractNumId="19">
    <w:nsid w:val="6C053B16"/>
    <w:multiLevelType w:val="hybridMultilevel"/>
    <w:lvl w:ilvl="0">
      <w:lvlJc w:val="left"/>
      <w:lvlText w:val="•"/>
      <w:numFmt w:val="bullet"/>
      <w:start w:val="1"/>
    </w:lvl>
  </w:abstractNum>
  <w:abstractNum w:abstractNumId="20">
    <w:nsid w:val="4F294393"/>
    <w:multiLevelType w:val="hybridMultilevel"/>
    <w:lvl w:ilvl="0">
      <w:lvlJc w:val="left"/>
      <w:lvlText w:val="•"/>
      <w:numFmt w:val="bullet"/>
      <w:start w:val="1"/>
    </w:lvl>
  </w:abstractNum>
  <w:abstractNum w:abstractNumId="21">
    <w:nsid w:val="5243BFAC"/>
    <w:multiLevelType w:val="hybridMultilevel"/>
    <w:lvl w:ilvl="0">
      <w:lvlJc w:val="left"/>
      <w:lvlText w:val="•"/>
      <w:numFmt w:val="bullet"/>
      <w:start w:val="1"/>
    </w:lvl>
  </w:abstractNum>
  <w:abstractNum w:abstractNumId="22">
    <w:nsid w:val="425EB207"/>
    <w:multiLevelType w:val="hybridMultilevel"/>
    <w:lvl w:ilvl="0">
      <w:lvlJc w:val="left"/>
      <w:lvlText w:val="•"/>
      <w:numFmt w:val="bullet"/>
      <w:start w:val="1"/>
    </w:lvl>
  </w:abstractNum>
  <w:abstractNum w:abstractNumId="23">
    <w:nsid w:val="334A6F1F"/>
    <w:multiLevelType w:val="hybridMultilevel"/>
    <w:lvl w:ilvl="0">
      <w:lvlJc w:val="left"/>
      <w:lvlText w:val="•"/>
      <w:numFmt w:val="bullet"/>
      <w:start w:val="1"/>
    </w:lvl>
  </w:abstractNum>
  <w:abstractNum w:abstractNumId="24">
    <w:nsid w:val="2E5B12B8"/>
    <w:multiLevelType w:val="hybridMultilevel"/>
    <w:lvl w:ilvl="0">
      <w:lvlJc w:val="left"/>
      <w:lvlText w:val="•"/>
      <w:numFmt w:val="bullet"/>
      <w:start w:val="1"/>
    </w:lvl>
  </w:abstractNum>
  <w:abstractNum w:abstractNumId="25">
    <w:nsid w:val="5C03D76D"/>
    <w:multiLevelType w:val="hybridMultilevel"/>
    <w:lvl w:ilvl="0">
      <w:lvlJc w:val="left"/>
      <w:lvlText w:val="•"/>
      <w:numFmt w:val="bullet"/>
      <w:start w:val="1"/>
    </w:lvl>
  </w:abstractNum>
  <w:abstractNum w:abstractNumId="26">
    <w:nsid w:val="66A48D11"/>
    <w:multiLevelType w:val="hybridMultilevel"/>
    <w:lvl w:ilvl="0">
      <w:lvlJc w:val="left"/>
      <w:lvlText w:val="•"/>
      <w:numFmt w:val="bullet"/>
      <w:start w:val="1"/>
    </w:lvl>
  </w:abstractNum>
  <w:abstractNum w:abstractNumId="27">
    <w:nsid w:val="56C28E34"/>
    <w:multiLevelType w:val="hybridMultilevel"/>
    <w:lvl w:ilvl="0">
      <w:lvlJc w:val="left"/>
      <w:lvlText w:val="•"/>
      <w:numFmt w:val="bullet"/>
      <w:start w:val="1"/>
    </w:lvl>
  </w:abstractNum>
  <w:abstractNum w:abstractNumId="28">
    <w:nsid w:val="13916F2D"/>
    <w:multiLevelType w:val="hybridMultilevel"/>
    <w:lvl w:ilvl="0">
      <w:lvlJc w:val="left"/>
      <w:lvlText w:val="•"/>
      <w:numFmt w:val="bullet"/>
      <w:start w:val="1"/>
    </w:lvl>
  </w:abstractNum>
  <w:abstractNum w:abstractNumId="29">
    <w:nsid w:val="435D38D"/>
    <w:multiLevelType w:val="hybridMultilevel"/>
    <w:lvl w:ilvl="0">
      <w:lvlJc w:val="left"/>
      <w:lvlText w:val="•"/>
      <w:numFmt w:val="bullet"/>
      <w:start w:val="1"/>
    </w:lvl>
  </w:abstractNum>
  <w:abstractNum w:abstractNumId="30">
    <w:nsid w:val="822C0EF"/>
    <w:multiLevelType w:val="hybridMultilevel"/>
    <w:lvl w:ilvl="0">
      <w:lvlJc w:val="left"/>
      <w:lvlText w:val="•"/>
      <w:numFmt w:val="bullet"/>
      <w:start w:val="1"/>
    </w:lvl>
  </w:abstractNum>
  <w:abstractNum w:abstractNumId="31">
    <w:nsid w:val="57C5BB4F"/>
    <w:multiLevelType w:val="hybridMultilevel"/>
    <w:lvl w:ilvl="0">
      <w:lvlJc w:val="left"/>
      <w:lvlText w:val="•"/>
      <w:numFmt w:val="bullet"/>
      <w:start w:val="1"/>
    </w:lvl>
  </w:abstractNum>
  <w:abstractNum w:abstractNumId="32">
    <w:nsid w:val="1803D089"/>
    <w:multiLevelType w:val="hybridMultilevel"/>
    <w:lvl w:ilvl="0">
      <w:lvlJc w:val="left"/>
      <w:lvlText w:val="•"/>
      <w:numFmt w:val="bullet"/>
      <w:start w:val="1"/>
    </w:lvl>
  </w:abstractNum>
  <w:abstractNum w:abstractNumId="33">
    <w:nsid w:val="4F3A06D4"/>
    <w:multiLevelType w:val="hybridMultilevel"/>
    <w:lvl w:ilvl="0">
      <w:lvlJc w:val="left"/>
      <w:lvlText w:val="•"/>
      <w:numFmt w:val="bullet"/>
      <w:start w:val="1"/>
    </w:lvl>
  </w:abstractNum>
  <w:abstractNum w:abstractNumId="34">
    <w:nsid w:val="59A377B6"/>
    <w:multiLevelType w:val="hybridMultilevel"/>
    <w:lvl w:ilvl="0">
      <w:lvlJc w:val="left"/>
      <w:lvlText w:val="•"/>
      <w:numFmt w:val="bullet"/>
      <w:start w:val="1"/>
    </w:lvl>
  </w:abstractNum>
  <w:abstractNum w:abstractNumId="35">
    <w:nsid w:val="48AEB063"/>
    <w:multiLevelType w:val="hybridMultilevel"/>
    <w:lvl w:ilvl="0">
      <w:lvlJc w:val="left"/>
      <w:lvlText w:val="•"/>
      <w:numFmt w:val="bullet"/>
      <w:start w:val="1"/>
    </w:lvl>
  </w:abstractNum>
  <w:abstractNum w:abstractNumId="36">
    <w:nsid w:val="24E135"/>
    <w:multiLevelType w:val="hybridMultilevel"/>
    <w:lvl w:ilvl="0">
      <w:lvlJc w:val="left"/>
      <w:lvlText w:val="•"/>
      <w:numFmt w:val="bullet"/>
      <w:start w:val="1"/>
    </w:lvl>
  </w:abstractNum>
  <w:abstractNum w:abstractNumId="37">
    <w:nsid w:val="BB13C1"/>
    <w:multiLevelType w:val="hybridMultilevel"/>
    <w:lvl w:ilvl="0">
      <w:lvlJc w:val="left"/>
      <w:lvlText w:val="•"/>
      <w:numFmt w:val="bullet"/>
      <w:start w:val="1"/>
    </w:lvl>
  </w:abstractNum>
  <w:abstractNum w:abstractNumId="38">
    <w:nsid w:val="271210C7"/>
    <w:multiLevelType w:val="hybridMultilevel"/>
    <w:lvl w:ilvl="0">
      <w:lvlJc w:val="left"/>
      <w:lvlText w:val="•"/>
      <w:numFmt w:val="bullet"/>
      <w:start w:val="1"/>
    </w:lvl>
  </w:abstractNum>
  <w:abstractNum w:abstractNumId="39">
    <w:nsid w:val="217B22E4"/>
    <w:multiLevelType w:val="hybridMultilevel"/>
    <w:lvl w:ilvl="0">
      <w:lvlJc w:val="left"/>
      <w:lvlText w:val="•"/>
      <w:numFmt w:val="bullet"/>
      <w:start w:val="1"/>
    </w:lvl>
  </w:abstractNum>
  <w:abstractNum w:abstractNumId="40">
    <w:nsid w:val="53E31A24"/>
    <w:multiLevelType w:val="hybridMultilevel"/>
    <w:lvl w:ilvl="0">
      <w:lvlJc w:val="left"/>
      <w:lvlText w:val="•"/>
      <w:numFmt w:val="bullet"/>
      <w:start w:val="1"/>
    </w:lvl>
  </w:abstractNum>
  <w:abstractNum w:abstractNumId="41">
    <w:nsid w:val="6DC45E83"/>
    <w:multiLevelType w:val="hybridMultilevel"/>
    <w:lvl w:ilvl="0">
      <w:lvlJc w:val="left"/>
      <w:lvlText w:val="•"/>
      <w:numFmt w:val="bullet"/>
      <w:start w:val="1"/>
    </w:lvl>
  </w:abstractNum>
  <w:abstractNum w:abstractNumId="42">
    <w:nsid w:val="17304A67"/>
    <w:multiLevelType w:val="hybridMultilevel"/>
    <w:lvl w:ilvl="0">
      <w:lvlJc w:val="left"/>
      <w:lvlText w:val="•"/>
      <w:numFmt w:val="bullet"/>
      <w:start w:val="1"/>
    </w:lvl>
  </w:abstractNum>
  <w:abstractNum w:abstractNumId="43">
    <w:nsid w:val="2BB180D8"/>
    <w:multiLevelType w:val="hybridMultilevel"/>
    <w:lvl w:ilvl="0">
      <w:lvlJc w:val="left"/>
      <w:lvlText w:val="•"/>
      <w:numFmt w:val="bullet"/>
      <w:start w:val="1"/>
    </w:lvl>
  </w:abstractNum>
  <w:abstractNum w:abstractNumId="44">
    <w:nsid w:val="556B69ED"/>
    <w:multiLevelType w:val="hybridMultilevel"/>
    <w:lvl w:ilvl="0">
      <w:lvlJc w:val="left"/>
      <w:lvlText w:val="•"/>
      <w:numFmt w:val="bullet"/>
      <w:start w:val="1"/>
    </w:lvl>
  </w:abstractNum>
  <w:abstractNum w:abstractNumId="45">
    <w:nsid w:val="70836196"/>
    <w:multiLevelType w:val="hybridMultilevel"/>
    <w:lvl w:ilvl="0">
      <w:lvlJc w:val="left"/>
      <w:lvlText w:val="•"/>
      <w:numFmt w:val="bullet"/>
      <w:start w:val="1"/>
    </w:lvl>
  </w:abstractNum>
  <w:abstractNum w:abstractNumId="46">
    <w:nsid w:val="539F7F12"/>
    <w:multiLevelType w:val="hybridMultilevel"/>
    <w:lvl w:ilvl="0">
      <w:lvlJc w:val="left"/>
      <w:lvlText w:val="•"/>
      <w:numFmt w:val="bullet"/>
      <w:start w:val="1"/>
    </w:lvl>
  </w:abstractNum>
  <w:abstractNum w:abstractNumId="47">
    <w:nsid w:val="2817E7EC"/>
    <w:multiLevelType w:val="hybridMultilevel"/>
    <w:lvl w:ilvl="0">
      <w:lvlJc w:val="left"/>
      <w:lvlText w:val="•"/>
      <w:numFmt w:val="bullet"/>
      <w:start w:val="1"/>
    </w:lvl>
  </w:abstractNum>
  <w:abstractNum w:abstractNumId="48">
    <w:nsid w:val="71482545"/>
    <w:multiLevelType w:val="hybridMultilevel"/>
    <w:lvl w:ilvl="0">
      <w:lvlJc w:val="left"/>
      <w:lvlText w:val="•"/>
      <w:numFmt w:val="bullet"/>
      <w:start w:val="1"/>
    </w:lvl>
  </w:abstractNum>
  <w:abstractNum w:abstractNumId="49">
    <w:nsid w:val="17D78639"/>
    <w:multiLevelType w:val="hybridMultilevel"/>
    <w:lvl w:ilvl="0">
      <w:lvlJc w:val="left"/>
      <w:lvlText w:val="•"/>
      <w:numFmt w:val="bullet"/>
      <w:start w:val="1"/>
    </w:lvl>
  </w:abstractNum>
  <w:abstractNum w:abstractNumId="50">
    <w:nsid w:val="141D2302"/>
    <w:multiLevelType w:val="hybridMultilevel"/>
    <w:lvl w:ilvl="0">
      <w:lvlJc w:val="left"/>
      <w:lvlText w:val="•"/>
      <w:numFmt w:val="bullet"/>
      <w:start w:val="1"/>
    </w:lvl>
  </w:abstractNum>
  <w:abstractNum w:abstractNumId="51">
    <w:nsid w:val="407168D8"/>
    <w:multiLevelType w:val="hybridMultilevel"/>
    <w:lvl w:ilvl="0">
      <w:lvlJc w:val="left"/>
      <w:lvlText w:val="•"/>
      <w:numFmt w:val="bullet"/>
      <w:start w:val="1"/>
    </w:lvl>
  </w:abstractNum>
  <w:abstractNum w:abstractNumId="52">
    <w:nsid w:val="6A1B45E5"/>
    <w:multiLevelType w:val="hybridMultilevel"/>
    <w:lvl w:ilvl="0">
      <w:lvlJc w:val="left"/>
      <w:lvlText w:val="•"/>
      <w:numFmt w:val="bullet"/>
      <w:start w:val="1"/>
    </w:lvl>
  </w:abstractNum>
  <w:abstractNum w:abstractNumId="53">
    <w:nsid w:val="567BD50A"/>
    <w:multiLevelType w:val="hybridMultilevel"/>
    <w:lvl w:ilvl="0">
      <w:lvlJc w:val="left"/>
      <w:lvlText w:val="•"/>
      <w:numFmt w:val="bullet"/>
      <w:start w:val="1"/>
    </w:lvl>
  </w:abstractNum>
  <w:abstractNum w:abstractNumId="54">
    <w:nsid w:val="73BBD7F8"/>
    <w:multiLevelType w:val="hybridMultilevel"/>
    <w:lvl w:ilvl="0">
      <w:lvlJc w:val="left"/>
      <w:lvlText w:val="•"/>
      <w:numFmt w:val="bullet"/>
      <w:start w:val="1"/>
    </w:lvl>
  </w:abstractNum>
  <w:abstractNum w:abstractNumId="55">
    <w:nsid w:val="1876589D"/>
    <w:multiLevelType w:val="hybridMultilevel"/>
    <w:lvl w:ilvl="0">
      <w:lvlJc w:val="left"/>
      <w:lvlText w:val="•"/>
      <w:numFmt w:val="bullet"/>
      <w:start w:val="1"/>
    </w:lvl>
  </w:abstractNum>
  <w:abstractNum w:abstractNumId="56">
    <w:nsid w:val="327FAC77"/>
    <w:multiLevelType w:val="hybridMultilevel"/>
    <w:lvl w:ilvl="0">
      <w:lvlJc w:val="left"/>
      <w:lvlText w:val="•"/>
      <w:numFmt w:val="bullet"/>
      <w:start w:val="1"/>
    </w:lvl>
  </w:abstractNum>
  <w:abstractNum w:abstractNumId="57">
    <w:nsid w:val="5A606509"/>
    <w:multiLevelType w:val="hybridMultilevel"/>
    <w:lvl w:ilvl="0">
      <w:lvlJc w:val="left"/>
      <w:lvlText w:val="•"/>
      <w:numFmt w:val="bullet"/>
      <w:start w:val="1"/>
    </w:lvl>
  </w:abstractNum>
  <w:abstractNum w:abstractNumId="58">
    <w:nsid w:val="6F38E6D1"/>
    <w:multiLevelType w:val="hybridMultilevel"/>
    <w:lvl w:ilvl="0">
      <w:lvlJc w:val="left"/>
      <w:lvlText w:val="•"/>
      <w:numFmt w:val="bullet"/>
      <w:start w:val="1"/>
    </w:lvl>
  </w:abstractNum>
  <w:abstractNum w:abstractNumId="59">
    <w:nsid w:val="46111BA5"/>
    <w:multiLevelType w:val="hybridMultilevel"/>
    <w:lvl w:ilvl="0">
      <w:lvlJc w:val="left"/>
      <w:lvlText w:val="•"/>
      <w:numFmt w:val="bullet"/>
      <w:start w:val="1"/>
    </w:lvl>
  </w:abstractNum>
  <w:abstractNum w:abstractNumId="60">
    <w:nsid w:val="5E963896"/>
    <w:multiLevelType w:val="hybridMultilevel"/>
    <w:lvl w:ilvl="0">
      <w:lvlJc w:val="left"/>
      <w:lvlText w:val="(%1)"/>
      <w:numFmt w:val="decimal"/>
      <w:start w:val="1"/>
    </w:lvl>
  </w:abstractNum>
  <w:abstractNum w:abstractNumId="61">
    <w:nsid w:val="775BA7C1"/>
    <w:multiLevelType w:val="hybridMultilevel"/>
    <w:lvl w:ilvl="0">
      <w:lvlJc w:val="left"/>
      <w:lvlText w:val="•"/>
      <w:numFmt w:val="bullet"/>
      <w:start w:val="1"/>
    </w:lvl>
  </w:abstractNum>
  <w:abstractNum w:abstractNumId="62">
    <w:nsid w:val="1DD6D6F4"/>
    <w:multiLevelType w:val="hybridMultilevel"/>
    <w:lvl w:ilvl="0">
      <w:lvlJc w:val="left"/>
      <w:lvlText w:val="•"/>
      <w:numFmt w:val="bullet"/>
      <w:start w:val="1"/>
    </w:lvl>
  </w:abstractNum>
  <w:abstractNum w:abstractNumId="63">
    <w:nsid w:val="769A091F"/>
    <w:multiLevelType w:val="hybridMultilevel"/>
    <w:lvl w:ilvl="0">
      <w:lvlJc w:val="left"/>
      <w:lvlText w:val="(%1)"/>
      <w:numFmt w:val="decimal"/>
      <w:start w:val="3"/>
    </w:lvl>
  </w:abstractNum>
  <w:abstractNum w:abstractNumId="64">
    <w:nsid w:val="4695AE95"/>
    <w:multiLevelType w:val="hybridMultilevel"/>
    <w:lvl w:ilvl="0">
      <w:lvlJc w:val="left"/>
      <w:lvlText w:val="•"/>
      <w:numFmt w:val="bullet"/>
      <w:start w:val="1"/>
    </w:lvl>
  </w:abstractNum>
  <w:abstractNum w:abstractNumId="65">
    <w:nsid w:val="777A4EAA"/>
    <w:multiLevelType w:val="hybridMultilevel"/>
    <w:lvl w:ilvl="0">
      <w:lvlJc w:val="left"/>
      <w:lvlText w:val="•"/>
      <w:numFmt w:val="bullet"/>
      <w:start w:val="1"/>
    </w:lvl>
  </w:abstractNum>
  <w:abstractNum w:abstractNumId="66">
    <w:nsid w:val="3F48B982"/>
    <w:multiLevelType w:val="hybridMultilevel"/>
    <w:lvl w:ilvl="0">
      <w:lvlJc w:val="left"/>
      <w:lvlText w:val="•"/>
      <w:numFmt w:val="bullet"/>
      <w:start w:val="1"/>
    </w:lvl>
  </w:abstractNum>
  <w:abstractNum w:abstractNumId="67">
    <w:nsid w:val="46BA8FCA"/>
    <w:multiLevelType w:val="hybridMultilevel"/>
    <w:lvl w:ilvl="0">
      <w:lvlJc w:val="left"/>
      <w:lvlText w:val="(%1)"/>
      <w:numFmt w:val="decimal"/>
      <w:start w:val="1"/>
    </w:lvl>
  </w:abstractNum>
  <w:abstractNum w:abstractNumId="68">
    <w:nsid w:val="7835626C"/>
    <w:multiLevelType w:val="hybridMultilevel"/>
    <w:lvl w:ilvl="0">
      <w:lvlJc w:val="left"/>
      <w:lvlText w:val="(%1)"/>
      <w:numFmt w:val="decimal"/>
      <w:start w:val="1"/>
    </w:lvl>
  </w:abstractNum>
  <w:abstractNum w:abstractNumId="69">
    <w:nsid w:val="665ACA49"/>
    <w:multiLevelType w:val="hybridMultilevel"/>
    <w:lvl w:ilvl="0">
      <w:lvlJc w:val="left"/>
      <w:lvlText w:val="•"/>
      <w:numFmt w:val="bullet"/>
      <w:start w:val="1"/>
    </w:lvl>
  </w:abstractNum>
  <w:abstractNum w:abstractNumId="70">
    <w:nsid w:val="6835B2AE"/>
    <w:multiLevelType w:val="hybridMultilevel"/>
    <w:lvl w:ilvl="0">
      <w:lvlJc w:val="left"/>
      <w:lvlText w:val="•"/>
      <w:numFmt w:val="bullet"/>
      <w:start w:val="1"/>
    </w:lvl>
  </w:abstractNum>
  <w:abstractNum w:abstractNumId="71">
    <w:nsid w:val="4C187C90"/>
    <w:multiLevelType w:val="hybridMultilevel"/>
    <w:lvl w:ilvl="0">
      <w:lvlJc w:val="left"/>
      <w:lvlText w:val="•"/>
      <w:numFmt w:val="bullet"/>
      <w:start w:val="1"/>
    </w:lvl>
  </w:abstractNum>
  <w:abstractNum w:abstractNumId="72">
    <w:nsid w:val="541F28CD"/>
    <w:multiLevelType w:val="hybridMultilevel"/>
    <w:lvl w:ilvl="0">
      <w:lvlJc w:val="left"/>
      <w:lvlText w:val="•"/>
      <w:numFmt w:val="bullet"/>
      <w:start w:val="1"/>
    </w:lvl>
  </w:abstractNum>
  <w:abstractNum w:abstractNumId="73">
    <w:nsid w:val="7F65FD16"/>
    <w:multiLevelType w:val="hybridMultilevel"/>
    <w:lvl w:ilvl="0">
      <w:lvlJc w:val="left"/>
      <w:lvlText w:val="•"/>
      <w:numFmt w:val="bullet"/>
      <w:start w:val="1"/>
    </w:lvl>
  </w:abstractNum>
  <w:abstractNum w:abstractNumId="74">
    <w:nsid w:val="77C9FD68"/>
    <w:multiLevelType w:val="hybridMultilevel"/>
    <w:lvl w:ilvl="0">
      <w:lvlJc w:val="left"/>
      <w:lvlText w:val="(%1)"/>
      <w:numFmt w:val="decimal"/>
      <w:start w:val="1"/>
    </w:lvl>
  </w:abstractNum>
  <w:abstractNum w:abstractNumId="75">
    <w:nsid w:val="298A92BA"/>
    <w:multiLevelType w:val="hybridMultilevel"/>
    <w:lvl w:ilvl="0">
      <w:lvlJc w:val="left"/>
      <w:lvlText w:val="(%1)"/>
      <w:numFmt w:val="decimal"/>
      <w:start w:val="3"/>
    </w:lvl>
  </w:abstractNum>
  <w:abstractNum w:abstractNumId="76">
    <w:nsid w:val="6FE95EAC"/>
    <w:multiLevelType w:val="hybridMultilevel"/>
    <w:lvl w:ilvl="0">
      <w:lvlJc w:val="left"/>
      <w:lvlText w:val="•"/>
      <w:numFmt w:val="bullet"/>
      <w:start w:val="1"/>
    </w:lvl>
  </w:abstractNum>
  <w:abstractNum w:abstractNumId="77">
    <w:nsid w:val="4B697C7A"/>
    <w:multiLevelType w:val="hybridMultilevel"/>
    <w:lvl w:ilvl="0">
      <w:lvlJc w:val="left"/>
      <w:lvlText w:val="(%1)"/>
      <w:numFmt w:val="lowerRoman"/>
      <w:start w:val="1"/>
    </w:lvl>
  </w:abstractNum>
  <w:abstractNum w:abstractNumId="78">
    <w:nsid w:val="51A27AA6"/>
    <w:multiLevelType w:val="hybridMultilevel"/>
    <w:lvl w:ilvl="0">
      <w:lvlJc w:val="left"/>
      <w:lvlText w:val="•"/>
      <w:numFmt w:val="bullet"/>
      <w:start w:val="1"/>
    </w:lvl>
  </w:abstractNum>
  <w:abstractNum w:abstractNumId="79">
    <w:nsid w:val="613183F2"/>
    <w:multiLevelType w:val="hybridMultilevel"/>
    <w:lvl w:ilvl="0">
      <w:lvlJc w:val="left"/>
      <w:lvlText w:val="•"/>
      <w:numFmt w:val="bullet"/>
      <w:start w:val="1"/>
    </w:lvl>
  </w:abstractNum>
  <w:abstractNum w:abstractNumId="80">
    <w:nsid w:val="634102B4"/>
    <w:multiLevelType w:val="hybridMultilevel"/>
    <w:lvl w:ilvl="0">
      <w:lvlJc w:val="left"/>
      <w:lvlText w:val="•"/>
      <w:numFmt w:val="bullet"/>
      <w:start w:val="1"/>
    </w:lvl>
  </w:abstractNum>
  <w:abstractNum w:abstractNumId="81">
    <w:nsid w:val="65BF9DA8"/>
    <w:multiLevelType w:val="hybridMultilevel"/>
    <w:lvl w:ilvl="0">
      <w:lvlJc w:val="left"/>
      <w:lvlText w:val="•"/>
      <w:numFmt w:val="bullet"/>
      <w:start w:val="1"/>
    </w:lvl>
  </w:abstractNum>
  <w:abstractNum w:abstractNumId="82">
    <w:nsid w:val="21A2ECCA"/>
    <w:multiLevelType w:val="hybridMultilevel"/>
    <w:lvl w:ilvl="0">
      <w:lvlJc w:val="left"/>
      <w:lvlText w:val="(%1)"/>
      <w:numFmt w:val="decimal"/>
      <w:start w:val="1"/>
    </w:lvl>
  </w:abstractNum>
  <w:abstractNum w:abstractNumId="83">
    <w:nsid w:val="4D5C4899"/>
    <w:multiLevelType w:val="hybridMultilevel"/>
    <w:lvl w:ilvl="0">
      <w:lvlJc w:val="left"/>
      <w:lvlText w:val="•"/>
      <w:numFmt w:val="bullet"/>
      <w:start w:val="1"/>
    </w:lvl>
  </w:abstractNum>
  <w:abstractNum w:abstractNumId="84">
    <w:nsid w:val="3C3B72B2"/>
    <w:multiLevelType w:val="hybridMultilevel"/>
    <w:lvl w:ilvl="0">
      <w:lvlJc w:val="left"/>
      <w:lvlText w:val="•"/>
      <w:numFmt w:val="bullet"/>
      <w:start w:val="1"/>
    </w:lvl>
  </w:abstractNum>
  <w:abstractNum w:abstractNumId="85">
    <w:nsid w:val="155EC4C2"/>
    <w:multiLevelType w:val="hybridMultilevel"/>
    <w:lvl w:ilvl="0">
      <w:lvlJc w:val="left"/>
      <w:lvlText w:val="•"/>
      <w:numFmt w:val="bullet"/>
      <w:start w:val="1"/>
    </w:lvl>
  </w:abstractNum>
  <w:abstractNum w:abstractNumId="86">
    <w:nsid w:val="65D2A137"/>
    <w:multiLevelType w:val="hybridMultilevel"/>
    <w:lvl w:ilvl="0">
      <w:lvlJc w:val="left"/>
      <w:lvlText w:val="(%1)"/>
      <w:numFmt w:val="decimal"/>
      <w:start w:val="1"/>
    </w:lvl>
  </w:abstractNum>
  <w:abstractNum w:abstractNumId="87">
    <w:nsid w:val="6EBB1F2A"/>
    <w:multiLevelType w:val="hybridMultilevel"/>
    <w:lvl w:ilvl="0">
      <w:lvlJc w:val="left"/>
      <w:lvlText w:val="•"/>
      <w:numFmt w:val="bullet"/>
      <w:start w:val="1"/>
    </w:lvl>
  </w:abstractNum>
  <w:abstractNum w:abstractNumId="88">
    <w:nsid w:val="6FBF29CB"/>
    <w:multiLevelType w:val="hybridMultilevel"/>
    <w:lvl w:ilvl="0">
      <w:lvlJc w:val="left"/>
      <w:lvlText w:val="•"/>
      <w:numFmt w:val="bullet"/>
      <w:start w:val="1"/>
    </w:lvl>
  </w:abstractNum>
  <w:abstractNum w:abstractNumId="89">
    <w:nsid w:val="550B8808"/>
    <w:multiLevelType w:val="hybridMultilevel"/>
    <w:lvl w:ilvl="0">
      <w:lvlJc w:val="left"/>
      <w:lvlText w:val="•"/>
      <w:numFmt w:val="bullet"/>
      <w:start w:val="1"/>
    </w:lvl>
  </w:abstractNum>
  <w:abstractNum w:abstractNumId="90">
    <w:nsid w:val="34CC3ACF"/>
    <w:multiLevelType w:val="hybridMultilevel"/>
    <w:lvl w:ilvl="0">
      <w:lvlJc w:val="left"/>
      <w:lvlText w:val="•"/>
      <w:numFmt w:val="bullet"/>
      <w:start w:val="1"/>
    </w:lvl>
  </w:abstractNum>
  <w:abstractNum w:abstractNumId="91">
    <w:nsid w:val="4E556261"/>
    <w:multiLevelType w:val="hybridMultilevel"/>
    <w:lvl w:ilvl="0">
      <w:lvlJc w:val="left"/>
      <w:lvlText w:val="•"/>
      <w:numFmt w:val="bullet"/>
      <w:start w:val="1"/>
    </w:lvl>
  </w:abstractNum>
  <w:abstractNum w:abstractNumId="92">
    <w:nsid w:val="4C672FC9"/>
    <w:multiLevelType w:val="hybridMultilevel"/>
    <w:lvl w:ilvl="0">
      <w:lvlJc w:val="left"/>
      <w:lvlText w:val="•"/>
      <w:numFmt w:val="bullet"/>
      <w:start w:val="1"/>
    </w:lvl>
  </w:abstractNum>
  <w:abstractNum w:abstractNumId="93">
    <w:nsid w:val="52A311C3"/>
    <w:multiLevelType w:val="hybridMultilevel"/>
    <w:lvl w:ilvl="0">
      <w:lvlJc w:val="left"/>
      <w:lvlText w:val="(%1)"/>
      <w:numFmt w:val="decimal"/>
      <w:start w:val="2"/>
    </w:lvl>
  </w:abstractNum>
  <w:abstractNum w:abstractNumId="94">
    <w:nsid w:val="44EF6B80"/>
    <w:multiLevelType w:val="hybridMultilevel"/>
    <w:lvl w:ilvl="0">
      <w:lvlJc w:val="left"/>
      <w:lvlText w:val="%1."/>
      <w:numFmt w:val="decimal"/>
      <w:start w:val="4"/>
    </w:lvl>
  </w:abstractNum>
  <w:abstractNum w:abstractNumId="95">
    <w:nsid w:val="12FCDE5E"/>
    <w:multiLevelType w:val="hybridMultilevel"/>
    <w:lvl w:ilvl="0">
      <w:lvlJc w:val="left"/>
      <w:lvlText w:val="(%1)"/>
      <w:numFmt w:val="decimal"/>
      <w:start w:val="1"/>
    </w:lvl>
  </w:abstractNum>
  <w:abstractNum w:abstractNumId="96">
    <w:nsid w:val="4A1D606E"/>
    <w:multiLevelType w:val="hybridMultilevel"/>
    <w:lvl w:ilvl="0">
      <w:lvlJc w:val="left"/>
      <w:lvlText w:val="*"/>
      <w:numFmt w:val="bullet"/>
      <w:start w:val="1"/>
    </w:lvl>
  </w:abstractNum>
  <w:abstractNum w:abstractNumId="97">
    <w:nsid w:val="4382503"/>
    <w:multiLevelType w:val="hybridMultilevel"/>
    <w:lvl w:ilvl="0">
      <w:lvlJc w:val="left"/>
      <w:lvlText w:val="•"/>
      <w:numFmt w:val="bullet"/>
      <w:start w:val="1"/>
    </w:lvl>
  </w:abstractNum>
  <w:abstractNum w:abstractNumId="98">
    <w:nsid w:val="59B76E28"/>
    <w:multiLevelType w:val="hybridMultilevel"/>
    <w:lvl w:ilvl="0">
      <w:lvlJc w:val="left"/>
      <w:lvlText w:val="•"/>
      <w:numFmt w:val="bullet"/>
      <w:start w:val="1"/>
    </w:lvl>
  </w:abstractNum>
  <w:abstractNum w:abstractNumId="99">
    <w:nsid w:val="4252C2DA"/>
    <w:multiLevelType w:val="hybridMultilevel"/>
    <w:lvl w:ilvl="0">
      <w:lvlJc w:val="left"/>
      <w:lvlText w:val="•"/>
      <w:numFmt w:val="bullet"/>
      <w:start w:val="1"/>
    </w:lvl>
  </w:abstractNum>
  <w:abstractNum w:abstractNumId="100">
    <w:nsid w:val="6A92EF4C"/>
    <w:multiLevelType w:val="hybridMultilevel"/>
    <w:lvl w:ilvl="0">
      <w:lvlJc w:val="left"/>
      <w:lvlText w:val="•"/>
      <w:numFmt w:val="bullet"/>
      <w:start w:val="1"/>
    </w:lvl>
  </w:abstractNum>
  <w:abstractNum w:abstractNumId="101">
    <w:nsid w:val="41ED20D7"/>
    <w:multiLevelType w:val="hybridMultilevel"/>
    <w:lvl w:ilvl="0">
      <w:lvlJc w:val="left"/>
      <w:lvlText w:val="(%1)"/>
      <w:numFmt w:val="decimal"/>
      <w:start w:val="1"/>
    </w:lvl>
  </w:abstractNum>
  <w:abstractNum w:abstractNumId="102">
    <w:nsid w:val="E6B3F6A"/>
    <w:multiLevelType w:val="hybridMultilevel"/>
    <w:lvl w:ilvl="0">
      <w:lvlJc w:val="left"/>
      <w:lvlText w:val="•"/>
      <w:numFmt w:val="bullet"/>
      <w:start w:val="1"/>
    </w:lvl>
  </w:abstractNum>
  <w:abstractNum w:abstractNumId="103">
    <w:nsid w:val="3EB21819"/>
    <w:multiLevelType w:val="hybridMultilevel"/>
    <w:lvl w:ilvl="0">
      <w:lvlJc w:val="left"/>
      <w:lvlText w:val="•"/>
      <w:numFmt w:val="bullet"/>
      <w:start w:val="1"/>
    </w:lvl>
  </w:abstractNum>
  <w:abstractNum w:abstractNumId="104">
    <w:nsid w:val="41531DED"/>
    <w:multiLevelType w:val="hybridMultilevel"/>
    <w:lvl w:ilvl="0">
      <w:lvlJc w:val="left"/>
      <w:lvlText w:val="•"/>
      <w:numFmt w:val="bullet"/>
      <w:start w:val="1"/>
    </w:lvl>
  </w:abstractNum>
  <w:abstractNum w:abstractNumId="105">
    <w:nsid w:val="6353CD2"/>
    <w:multiLevelType w:val="hybridMultilevel"/>
    <w:lvl w:ilvl="0">
      <w:lvlJc w:val="left"/>
      <w:lvlText w:val="•"/>
      <w:numFmt w:val="bullet"/>
      <w:start w:val="1"/>
    </w:lvl>
  </w:abstractNum>
  <w:abstractNum w:abstractNumId="106">
    <w:nsid w:val="683CAAD3"/>
    <w:multiLevelType w:val="hybridMultilevel"/>
    <w:lvl w:ilvl="0">
      <w:lvlJc w:val="left"/>
      <w:lvlText w:val="•"/>
      <w:numFmt w:val="bullet"/>
      <w:start w:val="1"/>
    </w:lvl>
  </w:abstractNum>
  <w:abstractNum w:abstractNumId="107">
    <w:nsid w:val="313C7C99"/>
    <w:multiLevelType w:val="hybridMultilevel"/>
    <w:lvl w:ilvl="0">
      <w:lvlJc w:val="left"/>
      <w:lvlText w:val="•"/>
      <w:numFmt w:val="bullet"/>
      <w:start w:val="1"/>
    </w:lvl>
  </w:abstractNum>
  <w:abstractNum w:abstractNumId="108">
    <w:nsid w:val="519EB94C"/>
    <w:multiLevelType w:val="hybridMultilevel"/>
    <w:lvl w:ilvl="0">
      <w:lvlJc w:val="left"/>
      <w:lvlText w:val="(%1)"/>
      <w:numFmt w:val="decimal"/>
      <w:start w:val="1"/>
    </w:lvl>
  </w:abstractNum>
  <w:abstractNum w:abstractNumId="109">
    <w:nsid w:val="39DF2579"/>
    <w:multiLevelType w:val="hybridMultilevel"/>
    <w:lvl w:ilvl="0">
      <w:lvlJc w:val="left"/>
      <w:lvlText w:val="(%1)"/>
      <w:numFmt w:val="decimal"/>
      <w:start w:val="1"/>
    </w:lvl>
  </w:abstractNum>
  <w:abstractNum w:abstractNumId="110">
    <w:nsid w:val="126E008B"/>
    <w:multiLevelType w:val="hybridMultilevel"/>
    <w:lvl w:ilvl="0">
      <w:lvlJc w:val="left"/>
      <w:lvlText w:val="(%1)"/>
      <w:numFmt w:val="decimal"/>
      <w:start w:val="3"/>
    </w:lvl>
  </w:abstractNum>
  <w:abstractNum w:abstractNumId="111">
    <w:nsid w:val="34DFBC00"/>
    <w:multiLevelType w:val="hybridMultilevel"/>
    <w:lvl w:ilvl="0">
      <w:lvlJc w:val="left"/>
      <w:lvlText w:val="(%1)"/>
      <w:numFmt w:val="decimal"/>
      <w:start w:val="1"/>
    </w:lvl>
  </w:abstractNum>
  <w:abstractNum w:abstractNumId="112">
    <w:nsid w:val="1F9EC322"/>
    <w:multiLevelType w:val="hybridMultilevel"/>
    <w:lvl w:ilvl="0">
      <w:lvlJc w:val="left"/>
      <w:lvlText w:val="•"/>
      <w:numFmt w:val="bullet"/>
      <w:start w:val="1"/>
    </w:lvl>
  </w:abstractNum>
  <w:abstractNum w:abstractNumId="113">
    <w:nsid w:val="3410ED56"/>
    <w:multiLevelType w:val="hybridMultilevel"/>
    <w:lvl w:ilvl="0">
      <w:lvlJc w:val="left"/>
      <w:lvlText w:val="•"/>
      <w:numFmt w:val="bullet"/>
      <w:start w:val="1"/>
    </w:lvl>
    <w:lvl w:ilvl="1">
      <w:lvlJc w:val="left"/>
      <w:lvlText w:val="•"/>
      <w:numFmt w:val="bullet"/>
      <w:start w:val="1"/>
    </w:lvl>
  </w:abstractNum>
  <w:abstractNum w:abstractNumId="114">
    <w:nsid w:val="23C049A"/>
    <w:multiLevelType w:val="hybridMultilevel"/>
    <w:lvl w:ilvl="0">
      <w:lvlJc w:val="left"/>
      <w:lvlText w:val="•"/>
      <w:numFmt w:val="bullet"/>
      <w:start w:val="1"/>
    </w:lvl>
  </w:abstractNum>
  <w:abstractNum w:abstractNumId="115">
    <w:nsid w:val="5BDA35D4"/>
    <w:multiLevelType w:val="hybridMultilevel"/>
    <w:lvl w:ilvl="0">
      <w:lvlJc w:val="left"/>
      <w:lvlText w:val="•"/>
      <w:numFmt w:val="bullet"/>
      <w:start w:val="1"/>
    </w:lvl>
  </w:abstractNum>
  <w:abstractNum w:abstractNumId="116">
    <w:nsid w:val="496FB218"/>
    <w:multiLevelType w:val="hybridMultilevel"/>
    <w:lvl w:ilvl="0">
      <w:lvlJc w:val="left"/>
      <w:lvlText w:val="(%1)"/>
      <w:numFmt w:val="upperLetter"/>
      <w:start w:val="2"/>
    </w:lvl>
  </w:abstractNum>
  <w:abstractNum w:abstractNumId="117">
    <w:nsid w:val="680EA5D1"/>
    <w:multiLevelType w:val="hybridMultilevel"/>
    <w:lvl w:ilvl="0">
      <w:lvlJc w:val="left"/>
      <w:lvlText w:val="•"/>
      <w:numFmt w:val="bullet"/>
      <w:start w:val="1"/>
    </w:lvl>
  </w:abstractNum>
  <w:abstractNum w:abstractNumId="118">
    <w:nsid w:val="4A9554FE"/>
    <w:multiLevelType w:val="hybridMultilevel"/>
    <w:lvl w:ilvl="0">
      <w:lvlJc w:val="left"/>
      <w:lvlText w:val="(%1)"/>
      <w:numFmt w:val="decimal"/>
      <w:start w:val="1"/>
    </w:lvl>
  </w:abstractNum>
  <w:abstractNum w:abstractNumId="119">
    <w:nsid w:val="392EDBE4"/>
    <w:multiLevelType w:val="hybridMultilevel"/>
    <w:lvl w:ilvl="0">
      <w:lvlJc w:val="left"/>
      <w:lvlText w:val="•"/>
      <w:numFmt w:val="bullet"/>
      <w:start w:val="1"/>
    </w:lvl>
  </w:abstractNum>
  <w:abstractNum w:abstractNumId="120">
    <w:nsid w:val="3D1A2DD9"/>
    <w:multiLevelType w:val="hybridMultilevel"/>
    <w:lvl w:ilvl="0">
      <w:lvlJc w:val="left"/>
      <w:lvlText w:val="*"/>
      <w:numFmt w:val="bullet"/>
      <w:start w:val="1"/>
    </w:lvl>
  </w:abstractNum>
  <w:abstractNum w:abstractNumId="121">
    <w:nsid w:val="7F618FCD"/>
    <w:multiLevelType w:val="hybridMultilevel"/>
    <w:lvl w:ilvl="0">
      <w:lvlJc w:val="left"/>
      <w:lvlText w:val="(%1)"/>
      <w:numFmt w:val="decimal"/>
      <w:start w:val="1"/>
    </w:lvl>
  </w:abstractNum>
  <w:abstractNum w:abstractNumId="122">
    <w:nsid w:val="7843E45"/>
    <w:multiLevelType w:val="hybridMultilevel"/>
    <w:lvl w:ilvl="0">
      <w:lvlJc w:val="left"/>
      <w:lvlText w:val="(%1)"/>
      <w:numFmt w:val="decimal"/>
      <w:start w:val="3"/>
    </w:lvl>
  </w:abstractNum>
  <w:abstractNum w:abstractNumId="123">
    <w:nsid w:val="9815DA3"/>
    <w:multiLevelType w:val="hybridMultilevel"/>
    <w:lvl w:ilvl="0">
      <w:lvlJc w:val="left"/>
      <w:lvlText w:val="(%1)"/>
      <w:numFmt w:val="decimal"/>
      <w:start w:val="7"/>
    </w:lvl>
  </w:abstractNum>
  <w:abstractNum w:abstractNumId="124">
    <w:nsid w:val="5204A191"/>
    <w:multiLevelType w:val="hybridMultilevel"/>
    <w:lvl w:ilvl="0">
      <w:lvlJc w:val="left"/>
      <w:lvlText w:val="(%1)"/>
      <w:numFmt w:val="decimal"/>
      <w:start w:val="3"/>
    </w:lvl>
  </w:abstractNum>
  <w:abstractNum w:abstractNumId="125">
    <w:nsid w:val="4C73A9C6"/>
    <w:multiLevelType w:val="hybridMultilevel"/>
    <w:lvl w:ilvl="0">
      <w:lvlJc w:val="left"/>
      <w:lvlText w:val="•"/>
      <w:numFmt w:val="bullet"/>
      <w:start w:val="1"/>
    </w:lvl>
  </w:abstractNum>
  <w:abstractNum w:abstractNumId="126">
    <w:nsid w:val="1C7E3C01"/>
    <w:multiLevelType w:val="hybridMultilevel"/>
    <w:lvl w:ilvl="0">
      <w:lvlJc w:val="left"/>
      <w:lvlText w:val="•"/>
      <w:numFmt w:val="bullet"/>
      <w:start w:val="1"/>
    </w:lvl>
  </w:abstractNum>
  <w:abstractNum w:abstractNumId="127">
    <w:nsid w:val="1C2201FF"/>
    <w:multiLevelType w:val="hybridMultilevel"/>
    <w:lvl w:ilvl="0">
      <w:lvlJc w:val="left"/>
      <w:lvlText w:val="•"/>
      <w:numFmt w:val="bullet"/>
      <w:start w:val="1"/>
    </w:lvl>
  </w:abstractNum>
  <w:abstractNum w:abstractNumId="128">
    <w:nsid w:val="50ABCEC9"/>
    <w:multiLevelType w:val="hybridMultilevel"/>
    <w:lvl w:ilvl="0">
      <w:lvlJc w:val="left"/>
      <w:lvlText w:val="•"/>
      <w:numFmt w:val="bullet"/>
      <w:start w:val="1"/>
    </w:lvl>
  </w:abstractNum>
  <w:abstractNum w:abstractNumId="129">
    <w:nsid w:val="7635AA2A"/>
    <w:multiLevelType w:val="hybridMultilevel"/>
    <w:lvl w:ilvl="0">
      <w:lvlJc w:val="left"/>
      <w:lvlText w:val="•"/>
      <w:numFmt w:val="bullet"/>
      <w:start w:val="1"/>
    </w:lvl>
  </w:abstractNum>
  <w:abstractNum w:abstractNumId="130">
    <w:nsid w:val="5E74C4D9"/>
    <w:multiLevelType w:val="hybridMultilevel"/>
    <w:lvl w:ilvl="0">
      <w:lvlJc w:val="left"/>
      <w:lvlText w:val="•"/>
      <w:numFmt w:val="bullet"/>
      <w:start w:val="1"/>
    </w:lvl>
  </w:abstractNum>
  <w:abstractNum w:abstractNumId="131">
    <w:nsid w:val="3B3EBE15"/>
    <w:multiLevelType w:val="hybridMultilevel"/>
    <w:lvl w:ilvl="0">
      <w:lvlJc w:val="left"/>
      <w:lvlText w:val="•"/>
      <w:numFmt w:val="bullet"/>
      <w:start w:val="1"/>
    </w:lvl>
  </w:abstractNum>
  <w:abstractNum w:abstractNumId="132">
    <w:nsid w:val="3822CB01"/>
    <w:multiLevelType w:val="hybridMultilevel"/>
    <w:lvl w:ilvl="0">
      <w:lvlJc w:val="left"/>
      <w:lvlText w:val="%1."/>
      <w:numFmt w:val="lowerLetter"/>
      <w:start w:val="1"/>
    </w:lvl>
  </w:abstractNum>
  <w:abstractNum w:abstractNumId="133">
    <w:nsid w:val="6CE00443"/>
    <w:multiLevelType w:val="hybridMultilevel"/>
    <w:lvl w:ilvl="0">
      <w:lvlJc w:val="left"/>
      <w:lvlText w:val="(%1)"/>
      <w:numFmt w:val="lowerLetter"/>
      <w:start w:val="1"/>
    </w:lvl>
  </w:abstractNum>
  <w:abstractNum w:abstractNumId="134">
    <w:nsid w:val="79F0D62F"/>
    <w:multiLevelType w:val="hybridMultilevel"/>
    <w:lvl w:ilvl="0">
      <w:lvlJc w:val="left"/>
      <w:lvlText w:val="(%1)"/>
      <w:numFmt w:val="lowerLetter"/>
      <w:start w:val="1"/>
    </w:lvl>
  </w:abstractNum>
  <w:abstractNum w:abstractNumId="135">
    <w:nsid w:val="7975E8EE"/>
    <w:multiLevelType w:val="hybridMultilevel"/>
    <w:lvl w:ilvl="0">
      <w:lvlJc w:val="left"/>
      <w:lvlText w:val="%1."/>
      <w:numFmt w:val="decimal"/>
      <w:start w:val="842"/>
    </w:lvl>
  </w:abstractNum>
  <w:abstractNum w:abstractNumId="136">
    <w:nsid w:val="73154115"/>
    <w:multiLevelType w:val="hybridMultilevel"/>
    <w:lvl w:ilvl="0">
      <w:lvlJc w:val="left"/>
      <w:lvlText w:val="%1."/>
      <w:numFmt w:val="decimal"/>
      <w:start w:val="13"/>
    </w:lvl>
  </w:abstractNum>
  <w:abstractNum w:abstractNumId="137">
    <w:nsid w:val="622D8102"/>
    <w:multiLevelType w:val="hybridMultilevel"/>
    <w:lvl w:ilvl="0">
      <w:lvlJc w:val="left"/>
      <w:lvlText w:val="(%1)"/>
      <w:numFmt w:val="lowerLetter"/>
      <w:start w:val="1"/>
    </w:lvl>
  </w:abstractNum>
  <w:abstractNum w:abstractNumId="138">
    <w:nsid w:val="2AB26587"/>
    <w:multiLevelType w:val="hybridMultilevel"/>
    <w:lvl w:ilvl="0">
      <w:lvlJc w:val="left"/>
      <w:lvlText w:val="(%1)"/>
      <w:numFmt w:val="lowerLetter"/>
      <w:start w:val="2"/>
    </w:lvl>
  </w:abstractNum>
  <w:abstractNum w:abstractNumId="139">
    <w:nsid w:val="44B3FA61"/>
    <w:multiLevelType w:val="hybridMultilevel"/>
    <w:lvl w:ilvl="0">
      <w:lvlJc w:val="left"/>
      <w:lvlText w:val="(%1)"/>
      <w:numFmt w:val="lowerLetter"/>
      <w:start w:val="4"/>
    </w:lvl>
  </w:abstractNum>
  <w:abstractNum w:abstractNumId="140">
    <w:nsid w:val="1C0CA67C"/>
    <w:multiLevelType w:val="hybridMultilevel"/>
    <w:lvl w:ilvl="0">
      <w:lvlJc w:val="left"/>
      <w:lvlText w:val="(%1)"/>
      <w:numFmt w:val="lowerLetter"/>
      <w:start w:val="1"/>
    </w:lvl>
  </w:abstractNum>
  <w:abstractNum w:abstractNumId="141">
    <w:nsid w:val="3D206613"/>
    <w:multiLevelType w:val="hybridMultilevel"/>
    <w:lvl w:ilvl="0">
      <w:lvlJc w:val="left"/>
      <w:lvlText w:val="*"/>
      <w:numFmt w:val="bullet"/>
      <w:start w:val="1"/>
    </w:lvl>
  </w:abstractNum>
  <w:abstractNum w:abstractNumId="142">
    <w:nsid w:val="7993B662"/>
    <w:multiLevelType w:val="hybridMultilevel"/>
    <w:lvl w:ilvl="0">
      <w:lvlJc w:val="left"/>
      <w:lvlText w:val="#"/>
      <w:numFmt w:val="bullet"/>
      <w:start w:val="1"/>
    </w:lvl>
    <w:lvl w:ilvl="1">
      <w:lvlJc w:val="left"/>
      <w:lvlText w:val="(%2)"/>
      <w:numFmt w:val="lowerLetter"/>
      <w:start w:val="2"/>
    </w:lvl>
  </w:abstractNum>
  <w:abstractNum w:abstractNumId="143">
    <w:nsid w:val="3BAB699E"/>
    <w:multiLevelType w:val="hybridMultilevel"/>
    <w:lvl w:ilvl="0">
      <w:lvlJc w:val="left"/>
      <w:lvlText w:val="(%1)"/>
      <w:numFmt w:val="decimal"/>
      <w:start w:val="1"/>
    </w:lvl>
  </w:abstractNum>
  <w:abstractNum w:abstractNumId="144">
    <w:nsid w:val="71315369"/>
    <w:multiLevelType w:val="hybridMultilevel"/>
    <w:lvl w:ilvl="0">
      <w:lvlJc w:val="left"/>
      <w:lvlText w:val="[●]"/>
      <w:numFmt w:val="bullet"/>
      <w:start w:val="1"/>
    </w:lvl>
  </w:abstractNum>
  <w:abstractNum w:abstractNumId="145">
    <w:nsid w:val="7BCFBAFC"/>
    <w:multiLevelType w:val="hybridMultilevel"/>
    <w:lvl w:ilvl="0">
      <w:lvlJc w:val="left"/>
      <w:lvlText w:val="(%1)"/>
      <w:numFmt w:val="lowerLetter"/>
      <w:start w:val="1"/>
    </w:lvl>
    <w:lvl w:ilvl="1">
      <w:lvlJc w:val="left"/>
      <w:lvlText w:val="(%2)"/>
      <w:numFmt w:val="lowerLetter"/>
      <w:start w:val="9"/>
    </w:lvl>
  </w:abstractNum>
  <w:abstractNum w:abstractNumId="146">
    <w:nsid w:val="17859F72"/>
    <w:multiLevelType w:val="hybridMultilevel"/>
    <w:lvl w:ilvl="0">
      <w:lvlJc w:val="left"/>
      <w:lvlText w:val="(%1)"/>
      <w:numFmt w:val="lowerRoman"/>
      <w:start w:val="2"/>
    </w:lvl>
  </w:abstractNum>
  <w:abstractNum w:abstractNumId="147">
    <w:nsid w:val="3AA10581"/>
    <w:multiLevelType w:val="hybridMultilevel"/>
    <w:lvl w:ilvl="0">
      <w:lvlJc w:val="left"/>
      <w:lvlText w:val="(%1)"/>
      <w:numFmt w:val="lowerRoman"/>
      <w:start w:val="3"/>
    </w:lvl>
  </w:abstractNum>
  <w:abstractNum w:abstractNumId="148">
    <w:nsid w:val="63DE60CD"/>
    <w:multiLevelType w:val="hybridMultilevel"/>
    <w:lvl w:ilvl="0">
      <w:lvlJc w:val="left"/>
      <w:lvlText w:val="(%1)"/>
      <w:numFmt w:val="lowerRoman"/>
      <w:start w:val="5"/>
    </w:lvl>
  </w:abstractNum>
  <w:abstractNum w:abstractNumId="149">
    <w:nsid w:val="621AF471"/>
    <w:multiLevelType w:val="hybridMultilevel"/>
    <w:lvl w:ilvl="0">
      <w:lvlJc w:val="left"/>
      <w:lvlText w:val="(%1)"/>
      <w:numFmt w:val="lowerRoman"/>
      <w:start w:val="9"/>
    </w:lvl>
  </w:abstractNum>
  <w:abstractNum w:abstractNumId="150">
    <w:nsid w:val="73CFE165"/>
    <w:multiLevelType w:val="hybridMultilevel"/>
    <w:lvl w:ilvl="0">
      <w:lvlJc w:val="left"/>
      <w:lvlText w:val="(%1)"/>
      <w:numFmt w:val="lowerRoman"/>
      <w:start w:val="12"/>
    </w:lvl>
  </w:abstractNum>
  <w:abstractNum w:abstractNumId="151">
    <w:nsid w:val="20F88EA6"/>
    <w:multiLevelType w:val="hybridMultilevel"/>
    <w:lvl w:ilvl="0">
      <w:lvlJc w:val="left"/>
      <w:lvlText w:val="(%1)"/>
      <w:numFmt w:val="lowerLetter"/>
      <w:start w:val="25"/>
    </w:lvl>
    <w:lvl w:ilvl="1">
      <w:lvlJc w:val="left"/>
      <w:lvlText w:val="(%2)"/>
      <w:numFmt w:val="lowerRoman"/>
      <w:start w:val="17"/>
    </w:lvl>
  </w:abstractNum>
  <w:abstractNum w:abstractNumId="152">
    <w:nsid w:val="617C843E"/>
    <w:multiLevelType w:val="hybridMultilevel"/>
    <w:lvl w:ilvl="0">
      <w:lvlJc w:val="left"/>
      <w:lvlText w:val="%1"/>
      <w:numFmt w:val="lowerRoman"/>
      <w:start w:val="1"/>
    </w:lvl>
    <w:lvl w:ilvl="1">
      <w:lvlJc w:val="left"/>
      <w:lvlText w:val="(%2)"/>
      <w:numFmt w:val="lowerRoman"/>
      <w:start w:val="21"/>
    </w:lvl>
  </w:abstractNum>
  <w:abstractNum w:abstractNumId="153">
    <w:nsid w:val="7B541FAB"/>
    <w:multiLevelType w:val="hybridMultilevel"/>
    <w:lvl w:ilvl="0">
      <w:lvlJc w:val="left"/>
      <w:lvlText w:val="(%1)"/>
      <w:numFmt w:val="lowerRoman"/>
      <w:start w:val="10"/>
    </w:lvl>
    <w:lvl w:ilvl="1">
      <w:lvlJc w:val="left"/>
      <w:lvlText w:val="(%2)"/>
      <w:numFmt w:val="lowerRoman"/>
      <w:start w:val="22"/>
    </w:lvl>
  </w:abstractNum>
  <w:abstractNum w:abstractNumId="154">
    <w:nsid w:val="2A79EC49"/>
    <w:multiLevelType w:val="hybridMultilevel"/>
    <w:lvl w:ilvl="0">
      <w:lvlJc w:val="left"/>
      <w:lvlText w:val="%1"/>
      <w:numFmt w:val="decimal"/>
      <w:start w:val="1"/>
    </w:lvl>
    <w:lvl w:ilvl="1">
      <w:lvlJc w:val="left"/>
      <w:lvlText w:val="(%2)"/>
      <w:numFmt w:val="lowerRoman"/>
      <w:start w:val="23"/>
    </w:lvl>
  </w:abstractNum>
  <w:abstractNum w:abstractNumId="155">
    <w:nsid w:val="338125CF"/>
    <w:multiLevelType w:val="hybridMultilevel"/>
    <w:lvl w:ilvl="0">
      <w:lvlJc w:val="left"/>
      <w:lvlText w:val="(%1)"/>
      <w:numFmt w:val="decimal"/>
      <w:start w:val="2"/>
    </w:lvl>
    <w:lvl w:ilvl="1">
      <w:lvlJc w:val="left"/>
      <w:lvlText w:val="%2"/>
      <w:numFmt w:val="lowerRoman"/>
      <w:start w:val="1"/>
    </w:lvl>
  </w:abstractNum>
  <w:abstractNum w:abstractNumId="156">
    <w:nsid w:val="47C7C971"/>
    <w:multiLevelType w:val="hybridMultilevel"/>
    <w:lvl w:ilvl="0">
      <w:lvlJc w:val="left"/>
      <w:lvlText w:val="%1"/>
      <w:numFmt w:val="upperLetter"/>
      <w:start w:val="1"/>
    </w:lvl>
    <w:lvl w:ilvl="1">
      <w:lvlJc w:val="left"/>
      <w:lvlText w:val="(%2)"/>
      <w:numFmt w:val="lowerRoman"/>
      <w:start w:val="24"/>
    </w:lvl>
  </w:abstractNum>
  <w:abstractNum w:abstractNumId="157">
    <w:nsid w:val="46F8284B"/>
    <w:multiLevelType w:val="hybridMultilevel"/>
    <w:lvl w:ilvl="0">
      <w:lvlJc w:val="left"/>
      <w:lvlText w:val="(%1)"/>
      <w:numFmt w:val="upperLetter"/>
      <w:start w:val="1"/>
    </w:lvl>
    <w:lvl w:ilvl="1">
      <w:lvlJc w:val="left"/>
      <w:lvlText w:val="(%2)"/>
      <w:numFmt w:val="lowerRoman"/>
      <w:start w:val="26"/>
    </w:lvl>
  </w:abstractNum>
  <w:abstractNum w:abstractNumId="158">
    <w:nsid w:val="4FA327CE"/>
    <w:multiLevelType w:val="hybridMultilevel"/>
    <w:lvl w:ilvl="0">
      <w:lvlJc w:val="left"/>
      <w:lvlText w:val="(%1)"/>
      <w:numFmt w:val="lowerRoman"/>
      <w:start w:val="27"/>
    </w:lvl>
  </w:abstractNum>
  <w:abstractNum w:abstractNumId="159">
    <w:nsid w:val="1873983A"/>
    <w:multiLevelType w:val="hybridMultilevel"/>
    <w:lvl w:ilvl="0">
      <w:lvlJc w:val="left"/>
      <w:lvlText w:val="(%1)"/>
      <w:numFmt w:val="lowerRoman"/>
      <w:start w:val="32"/>
    </w:lvl>
  </w:abstractNum>
  <w:abstractNum w:abstractNumId="160">
    <w:nsid w:val="3D2DD275"/>
    <w:multiLevelType w:val="hybridMultilevel"/>
    <w:lvl w:ilvl="0">
      <w:lvlJc w:val="left"/>
      <w:lvlText w:val="%1"/>
      <w:numFmt w:val="lowerLetter"/>
      <w:start w:val="1"/>
    </w:lvl>
    <w:lvl w:ilvl="1">
      <w:lvlJc w:val="left"/>
      <w:lvlText w:val="(%2)"/>
      <w:numFmt w:val="lowerRoman"/>
      <w:start w:val="37"/>
    </w:lvl>
  </w:abstractNum>
  <w:abstractNum w:abstractNumId="161">
    <w:nsid w:val="2E17ECA7"/>
    <w:multiLevelType w:val="hybridMultilevel"/>
    <w:lvl w:ilvl="0">
      <w:lvlJc w:val="left"/>
      <w:lvlText w:val="(%1)"/>
      <w:numFmt w:val="lowerLetter"/>
      <w:start w:val="4"/>
    </w:lvl>
    <w:lvl w:ilvl="1">
      <w:lvlJc w:val="left"/>
      <w:lvlText w:val="%2"/>
      <w:numFmt w:val="lowerRoman"/>
      <w:start w:val="1"/>
    </w:lvl>
  </w:abstractNum>
  <w:abstractNum w:abstractNumId="162">
    <w:nsid w:val="53B2564F"/>
    <w:multiLevelType w:val="hybridMultilevel"/>
    <w:lvl w:ilvl="0">
      <w:lvlJc w:val="left"/>
      <w:lvlText w:val="%1"/>
      <w:numFmt w:val="lowerRoman"/>
      <w:start w:val="1"/>
    </w:lvl>
    <w:lvl w:ilvl="1">
      <w:lvlJc w:val="left"/>
      <w:lvlText w:val="(%2)"/>
      <w:numFmt w:val="lowerRoman"/>
      <w:start w:val="39"/>
    </w:lvl>
  </w:abstractNum>
  <w:abstractNum w:abstractNumId="163">
    <w:nsid w:val="75509D76"/>
    <w:multiLevelType w:val="hybridMultilevel"/>
    <w:lvl w:ilvl="0">
      <w:lvlJc w:val="left"/>
      <w:lvlText w:val="(%1)"/>
      <w:numFmt w:val="lowerRoman"/>
      <w:start w:val="2"/>
    </w:lvl>
    <w:lvl w:ilvl="1">
      <w:lvlJc w:val="left"/>
      <w:lvlText w:val="%2"/>
      <w:numFmt w:val="lowerRoman"/>
      <w:start w:val="1"/>
    </w:lvl>
  </w:abstractNum>
  <w:abstractNum w:abstractNumId="164">
    <w:nsid w:val="1AF7F0EA"/>
    <w:multiLevelType w:val="hybridMultilevel"/>
    <w:lvl w:ilvl="0">
      <w:lvlJc w:val="left"/>
      <w:lvlText w:val="(%1)"/>
      <w:numFmt w:val="lowerRoman"/>
      <w:start w:val="5"/>
    </w:lvl>
    <w:lvl w:ilvl="1">
      <w:lvlJc w:val="left"/>
      <w:lvlText w:val="%2"/>
      <w:numFmt w:val="lowerRoman"/>
      <w:start w:val="1"/>
    </w:lvl>
  </w:abstractNum>
  <w:abstractNum w:abstractNumId="165">
    <w:nsid w:val="4DA32C7E"/>
    <w:multiLevelType w:val="hybridMultilevel"/>
    <w:lvl w:ilvl="0">
      <w:lvlJc w:val="left"/>
      <w:lvlText w:val="(%1)"/>
      <w:numFmt w:val="lowerRoman"/>
      <w:start w:val="1"/>
    </w:lvl>
  </w:abstractNum>
  <w:abstractNum w:abstractNumId="166">
    <w:nsid w:val="6EC68664"/>
    <w:multiLevelType w:val="hybridMultilevel"/>
    <w:lvl w:ilvl="0">
      <w:lvlJc w:val="left"/>
      <w:lvlText w:val="(%1)"/>
      <w:numFmt w:val="lowerLetter"/>
      <w:start w:val="2"/>
    </w:lvl>
  </w:abstractNum>
  <w:abstractNum w:abstractNumId="167">
    <w:nsid w:val="E0D31FF"/>
    <w:multiLevelType w:val="hybridMultilevel"/>
    <w:lvl w:ilvl="0">
      <w:lvlJc w:val="left"/>
      <w:lvlText w:val="(%1)"/>
      <w:numFmt w:val="lowerLetter"/>
      <w:start w:val="1"/>
    </w:lvl>
  </w:abstractNum>
  <w:abstractNum w:abstractNumId="168">
    <w:nsid w:val="2FD0AD81"/>
    <w:multiLevelType w:val="hybridMultilevel"/>
    <w:lvl w:ilvl="0">
      <w:lvlJc w:val="left"/>
      <w:lvlText w:val="(%1)"/>
      <w:numFmt w:val="lowerLetter"/>
      <w:start w:val="3"/>
    </w:lvl>
  </w:abstractNum>
  <w:abstractNum w:abstractNumId="169">
    <w:nsid w:val="1978EBEB"/>
    <w:multiLevelType w:val="hybridMultilevel"/>
    <w:lvl w:ilvl="0">
      <w:lvlJc w:val="left"/>
      <w:lvlText w:val="(%1)"/>
      <w:numFmt w:val="lowerLetter"/>
      <w:start w:val="1"/>
    </w:lvl>
  </w:abstractNum>
  <w:abstractNum w:abstractNumId="170">
    <w:nsid w:val="52C12C61"/>
    <w:multiLevelType w:val="hybridMultilevel"/>
    <w:lvl w:ilvl="0">
      <w:lvlJc w:val="left"/>
      <w:lvlText w:val="(%1)"/>
      <w:numFmt w:val="lowerLetter"/>
      <w:start w:val="2"/>
    </w:lvl>
  </w:abstractNum>
  <w:abstractNum w:abstractNumId="171">
    <w:nsid w:val="4BDD53FD"/>
    <w:multiLevelType w:val="hybridMultilevel"/>
    <w:lvl w:ilvl="0">
      <w:lvlJc w:val="left"/>
      <w:lvlText w:val="(%1)"/>
      <w:numFmt w:val="lowerLetter"/>
      <w:start w:val="4"/>
    </w:lvl>
  </w:abstractNum>
  <w:abstractNum w:abstractNumId="172">
    <w:nsid w:val="569951FE"/>
    <w:multiLevelType w:val="hybridMultilevel"/>
    <w:lvl w:ilvl="0">
      <w:lvlJc w:val="left"/>
      <w:lvlText w:val="(%1)"/>
      <w:numFmt w:val="lowerLetter"/>
      <w:start w:val="10"/>
    </w:lvl>
  </w:abstractNum>
  <w:abstractNum w:abstractNumId="173">
    <w:nsid w:val="4C54E2C3"/>
    <w:multiLevelType w:val="hybridMultilevel"/>
    <w:lvl w:ilvl="0">
      <w:lvlJc w:val="left"/>
      <w:lvlText w:val="(%1)"/>
      <w:numFmt w:val="lowerLetter"/>
      <w:start w:val="14"/>
    </w:lvl>
  </w:abstractNum>
  <w:abstractNum w:abstractNumId="174">
    <w:nsid w:val="788BD9B"/>
    <w:multiLevelType w:val="hybridMultilevel"/>
    <w:lvl w:ilvl="0">
      <w:lvlJc w:val="left"/>
      <w:lvlText w:val="%1"/>
      <w:numFmt w:val="lowerRoman"/>
      <w:start w:val="1"/>
    </w:lvl>
    <w:lvl w:ilvl="1">
      <w:lvlJc w:val="left"/>
      <w:lvlText w:val="(%2)"/>
      <w:numFmt w:val="lowerLetter"/>
      <w:start w:val="1"/>
    </w:lvl>
  </w:abstractNum>
  <w:abstractNum w:abstractNumId="175">
    <w:nsid w:val="47CAA567"/>
    <w:multiLevelType w:val="hybridMultilevel"/>
    <w:lvl w:ilvl="0">
      <w:lvlJc w:val="left"/>
      <w:lvlText w:val="(%1)"/>
      <w:numFmt w:val="lowerRoman"/>
      <w:start w:val="8"/>
    </w:lvl>
    <w:lvl w:ilvl="1">
      <w:lvlJc w:val="left"/>
      <w:lvlText w:val="%2"/>
      <w:numFmt w:val="lowerLetter"/>
      <w:start w:val="1"/>
    </w:lvl>
  </w:abstractNum>
  <w:abstractNum w:abstractNumId="176">
    <w:nsid w:val="48249DBF"/>
    <w:multiLevelType w:val="hybridMultilevel"/>
    <w:lvl w:ilvl="0">
      <w:lvlJc w:val="left"/>
      <w:lvlText w:val="%1"/>
      <w:numFmt w:val="lowerLetter"/>
      <w:start w:val="1"/>
    </w:lvl>
    <w:lvl w:ilvl="1">
      <w:lvlJc w:val="left"/>
      <w:lvlText w:val="(%2)"/>
      <w:numFmt w:val="lowerLetter"/>
      <w:start w:val="2"/>
    </w:lvl>
  </w:abstractNum>
  <w:abstractNum w:abstractNumId="177">
    <w:nsid w:val="1F0E5D0D"/>
    <w:multiLevelType w:val="hybridMultilevel"/>
    <w:lvl w:ilvl="0">
      <w:lvlJc w:val="left"/>
      <w:lvlText w:val="(%1)"/>
      <w:numFmt w:val="lowerLetter"/>
      <w:start w:val="9"/>
    </w:lvl>
    <w:lvl w:ilvl="1">
      <w:lvlJc w:val="left"/>
      <w:lvlText w:val="%2"/>
      <w:numFmt w:val="lowerLetter"/>
      <w:start w:val="1"/>
    </w:lvl>
  </w:abstractNum>
  <w:abstractNum w:abstractNumId="178">
    <w:nsid w:val="26BAAE9"/>
    <w:multiLevelType w:val="hybridMultilevel"/>
    <w:lvl w:ilvl="0">
      <w:lvlJc w:val="left"/>
      <w:lvlText w:val="(%1)"/>
      <w:numFmt w:val="lowerLetter"/>
      <w:start w:val="1"/>
    </w:lvl>
    <w:lvl w:ilvl="1">
      <w:lvlJc w:val="left"/>
      <w:lvlText w:val="(%2)"/>
      <w:numFmt w:val="lowerRoman"/>
      <w:start w:val="1"/>
    </w:lvl>
  </w:abstractNum>
  <w:abstractNum w:abstractNumId="179">
    <w:nsid w:val="2C02FE8C"/>
    <w:multiLevelType w:val="hybridMultilevel"/>
    <w:lvl w:ilvl="0">
      <w:lvlJc w:val="left"/>
      <w:lvlText w:val="(%1)"/>
      <w:numFmt w:val="lowerLetter"/>
      <w:start w:val="5"/>
    </w:lvl>
    <w:lvl w:ilvl="1">
      <w:lvlJc w:val="left"/>
      <w:lvlText w:val="(%2)"/>
      <w:numFmt w:val="lowerLetter"/>
      <w:start w:val="9"/>
    </w:lvl>
  </w:abstractNum>
  <w:abstractNum w:abstractNumId="180">
    <w:nsid w:val="129517E"/>
    <w:multiLevelType w:val="hybridMultilevel"/>
    <w:lvl w:ilvl="0">
      <w:lvlJc w:val="left"/>
      <w:lvlText w:val="(%1)"/>
      <w:numFmt w:val="lowerRoman"/>
      <w:start w:val="2"/>
    </w:lvl>
  </w:abstractNum>
  <w:abstractNum w:abstractNumId="181">
    <w:nsid w:val="763B8C4E"/>
    <w:multiLevelType w:val="hybridMultilevel"/>
    <w:lvl w:ilvl="0">
      <w:lvlJc w:val="left"/>
      <w:lvlText w:val="%1"/>
      <w:numFmt w:val="lowerLetter"/>
      <w:start w:val="1"/>
    </w:lvl>
    <w:lvl w:ilvl="1">
      <w:lvlJc w:val="left"/>
      <w:lvlText w:val="(%2)"/>
      <w:numFmt w:val="lowerRoman"/>
      <w:start w:val="5"/>
    </w:lvl>
  </w:abstractNum>
  <w:abstractNum w:abstractNumId="182">
    <w:nsid w:val="4CFB8D32"/>
    <w:multiLevelType w:val="hybridMultilevel"/>
    <w:lvl w:ilvl="0">
      <w:lvlJc w:val="left"/>
      <w:lvlText w:val="(%1)"/>
      <w:numFmt w:val="lowerLetter"/>
      <w:start w:val="12"/>
    </w:lvl>
    <w:lvl w:ilvl="1">
      <w:lvlJc w:val="left"/>
      <w:lvlText w:val="%2"/>
      <w:numFmt w:val="lowerRoman"/>
      <w:start w:val="1"/>
    </w:lvl>
  </w:abstractNum>
  <w:abstractNum w:abstractNumId="183">
    <w:nsid w:val="62A5D5BD"/>
    <w:multiLevelType w:val="hybridMultilevel"/>
    <w:lvl w:ilvl="0">
      <w:lvlJc w:val="left"/>
      <w:lvlText w:val="(%1)"/>
      <w:numFmt w:val="lowerLetter"/>
      <w:start w:val="1"/>
    </w:lvl>
    <w:lvl w:ilvl="1">
      <w:lvlJc w:val="left"/>
      <w:lvlText w:val="(%2)"/>
      <w:numFmt w:val="lowerLetter"/>
      <w:start w:val="9"/>
    </w:lvl>
  </w:abstractNum>
  <w:abstractNum w:abstractNumId="184">
    <w:nsid w:val="718FABF9"/>
    <w:multiLevelType w:val="hybridMultilevel"/>
    <w:lvl w:ilvl="0">
      <w:lvlJc w:val="left"/>
      <w:lvlText w:val="(%1)"/>
      <w:numFmt w:val="lowerRoman"/>
      <w:start w:val="2"/>
    </w:lvl>
  </w:abstractNum>
  <w:abstractNum w:abstractNumId="185">
    <w:nsid w:val="7775797C"/>
    <w:multiLevelType w:val="hybridMultilevel"/>
    <w:lvl w:ilvl="0">
      <w:lvlJc w:val="left"/>
      <w:lvlText w:val="(%1)"/>
      <w:numFmt w:val="lowerLetter"/>
      <w:start w:val="2"/>
    </w:lvl>
  </w:abstractNum>
  <w:abstractNum w:abstractNumId="186">
    <w:nsid w:val="1626FB8C"/>
    <w:multiLevelType w:val="hybridMultilevel"/>
    <w:lvl w:ilvl="0">
      <w:lvlJc w:val="left"/>
      <w:lvlText w:val="(%1)"/>
      <w:numFmt w:val="lowerLetter"/>
      <w:start w:val="4"/>
    </w:lvl>
  </w:abstractNum>
  <w:abstractNum w:abstractNumId="187">
    <w:nsid w:val="3957756A"/>
    <w:multiLevelType w:val="hybridMultilevel"/>
    <w:lvl w:ilvl="0">
      <w:lvlJc w:val="left"/>
      <w:lvlText w:val="(%1)"/>
      <w:numFmt w:val="lowerLetter"/>
      <w:start w:val="1"/>
    </w:lvl>
  </w:abstractNum>
  <w:abstractNum w:abstractNumId="188">
    <w:nsid w:val="3E6DA1C7"/>
    <w:multiLevelType w:val="hybridMultilevel"/>
    <w:lvl w:ilvl="0">
      <w:lvlJc w:val="left"/>
      <w:lvlText w:val="(%1)"/>
      <w:numFmt w:val="lowerLetter"/>
      <w:start w:val="2"/>
    </w:lvl>
  </w:abstractNum>
  <w:abstractNum w:abstractNumId="189">
    <w:nsid w:val="65CA235B"/>
    <w:multiLevelType w:val="hybridMultilevel"/>
    <w:lvl w:ilvl="0">
      <w:lvlJc w:val="left"/>
      <w:lvlText w:val="(%1)"/>
      <w:numFmt w:val="lowerRoman"/>
      <w:start w:val="1"/>
    </w:lvl>
  </w:abstractNum>
  <w:abstractNum w:abstractNumId="190">
    <w:nsid w:val="51CB0DA4"/>
    <w:multiLevelType w:val="hybridMultilevel"/>
    <w:lvl w:ilvl="0">
      <w:lvlJc w:val="left"/>
      <w:lvlText w:val="(%1)"/>
      <w:numFmt w:val="lowerLetter"/>
      <w:start w:val="1"/>
    </w:lvl>
  </w:abstractNum>
  <w:abstractNum w:abstractNumId="191">
    <w:nsid w:val="7B9B743C"/>
    <w:multiLevelType w:val="hybridMultilevel"/>
    <w:lvl w:ilvl="0">
      <w:lvlJc w:val="left"/>
      <w:lvlText w:val="%1."/>
      <w:numFmt w:val="decimal"/>
      <w:start w:val="1"/>
    </w:lvl>
  </w:abstractNum>
  <w:abstractNum w:abstractNumId="192">
    <w:nsid w:val="13E21002"/>
    <w:multiLevelType w:val="hybridMultilevel"/>
    <w:lvl w:ilvl="0">
      <w:lvlJc w:val="left"/>
      <w:lvlText w:val="(%1)"/>
      <w:numFmt w:val="lowerRoman"/>
      <w:start w:val="1"/>
    </w:lvl>
  </w:abstractNum>
  <w:abstractNum w:abstractNumId="193">
    <w:nsid w:val="257D63F4"/>
    <w:multiLevelType w:val="hybridMultilevel"/>
    <w:lvl w:ilvl="0">
      <w:lvlJc w:val="left"/>
      <w:lvlText w:val="(%1)"/>
      <w:numFmt w:val="lowerRoman"/>
      <w:start w:val="1"/>
    </w:lvl>
  </w:abstractNum>
  <w:abstractNum w:abstractNumId="194">
    <w:nsid w:val="70EC11B2"/>
    <w:multiLevelType w:val="hybridMultilevel"/>
    <w:lvl w:ilvl="0">
      <w:lvlJc w:val="left"/>
      <w:lvlText w:val="(%1)"/>
      <w:numFmt w:val="lowerRoman"/>
      <w:start w:val="2"/>
    </w:lvl>
  </w:abstractNum>
  <w:abstractNum w:abstractNumId="195">
    <w:nsid w:val="2EDA00ED"/>
    <w:multiLevelType w:val="hybridMultilevel"/>
    <w:lvl w:ilvl="0">
      <w:lvlJc w:val="left"/>
      <w:lvlText w:val="(%1)"/>
      <w:numFmt w:val="lowerRoman"/>
      <w:start w:val="1"/>
    </w:lvl>
  </w:abstractNum>
  <w:abstractNum w:abstractNumId="196">
    <w:nsid w:val="73209072"/>
    <w:multiLevelType w:val="hybridMultilevel"/>
    <w:lvl w:ilvl="0">
      <w:lvlJc w:val="left"/>
      <w:lvlText w:val="(%1)"/>
      <w:numFmt w:val="lowerRoman"/>
      <w:start w:val="7"/>
    </w:lvl>
  </w:abstractNum>
  <w:abstractNum w:abstractNumId="197">
    <w:nsid w:val="5FB29816"/>
    <w:multiLevelType w:val="hybridMultilevel"/>
    <w:lvl w:ilvl="0">
      <w:lvlJc w:val="left"/>
      <w:lvlText w:val="["/>
      <w:numFmt w:val="bullet"/>
      <w:start w:val="1"/>
    </w:lvl>
  </w:abstractNum>
  <w:abstractNum w:abstractNumId="198">
    <w:nsid w:val="3CE732EC"/>
    <w:multiLevelType w:val="hybridMultilevel"/>
    <w:lvl w:ilvl="0">
      <w:lvlJc w:val="left"/>
      <w:lvlText w:val="["/>
      <w:numFmt w:val="bullet"/>
      <w:start w:val="1"/>
    </w:lvl>
  </w:abstractNum>
  <w:abstractNum w:abstractNumId="199">
    <w:nsid w:val="22F13DF3"/>
    <w:multiLevelType w:val="hybridMultilevel"/>
    <w:lvl w:ilvl="0">
      <w:lvlJc w:val="left"/>
      <w:lvlText w:val="(%1)"/>
      <w:numFmt w:val="lowerRoman"/>
      <w:start w:val="2"/>
    </w:lvl>
  </w:abstractNum>
  <w:abstractNum w:abstractNumId="200">
    <w:nsid w:val="792B8401"/>
    <w:multiLevelType w:val="hybridMultilevel"/>
    <w:lvl w:ilvl="0">
      <w:lvlJc w:val="left"/>
      <w:lvlText w:val="(%1)"/>
      <w:numFmt w:val="lowerRoman"/>
      <w:start w:val="12"/>
    </w:lvl>
  </w:abstractNum>
  <w:abstractNum w:abstractNumId="201">
    <w:nsid w:val="FA85F4D"/>
    <w:multiLevelType w:val="hybridMultilevel"/>
    <w:lvl w:ilvl="0">
      <w:lvlJc w:val="left"/>
      <w:lvlText w:val="(%1)"/>
      <w:numFmt w:val="lowerRoman"/>
      <w:start w:val="19"/>
    </w:lvl>
  </w:abstractNum>
  <w:abstractNum w:abstractNumId="202">
    <w:nsid w:val="6ECE91F0"/>
    <w:multiLevelType w:val="hybridMultilevel"/>
    <w:lvl w:ilvl="0">
      <w:lvlJc w:val="left"/>
      <w:lvlText w:val="["/>
      <w:numFmt w:val="bullet"/>
      <w:start w:val="1"/>
    </w:lvl>
  </w:abstractNum>
  <w:abstractNum w:abstractNumId="203">
    <w:nsid w:val="4FC4D600"/>
    <w:multiLevelType w:val="hybridMultilevel"/>
    <w:lvl w:ilvl="0">
      <w:lvlJc w:val="left"/>
      <w:lvlText w:val="["/>
      <w:numFmt w:val="bullet"/>
      <w:start w:val="1"/>
    </w:lvl>
  </w:abstractNum>
  <w:abstractNum w:abstractNumId="204">
    <w:nsid w:val="5BFD4210"/>
    <w:multiLevelType w:val="hybridMultilevel"/>
    <w:lvl w:ilvl="0">
      <w:lvlJc w:val="left"/>
      <w:lvlText w:val="%1."/>
      <w:numFmt w:val="decimal"/>
      <w:start w:val="1"/>
    </w:lvl>
  </w:abstractNum>
  <w:abstractNum w:abstractNumId="205">
    <w:nsid w:val="76574F8B"/>
    <w:multiLevelType w:val="hybridMultilevel"/>
    <w:lvl w:ilvl="0">
      <w:lvlJc w:val="left"/>
      <w:lvlText w:val="%1)"/>
      <w:numFmt w:val="upperLetter"/>
      <w:start w:val="1"/>
    </w:lvl>
    <w:lvl w:ilvl="1">
      <w:lvlJc w:val="left"/>
      <w:lvlText w:val="%2."/>
      <w:numFmt w:val="decimal"/>
      <w:start w:val="1"/>
    </w:lvl>
  </w:abstractNum>
  <w:abstractNum w:abstractNumId="206">
    <w:nsid w:val="178F7B67"/>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207">
    <w:nsid w:val="2421DFC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08">
    <w:nsid w:val="1565AC9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09">
    <w:nsid w:val="19FB265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210">
    <w:nsid w:val="5024DE5B"/>
    <w:multiLevelType w:val="hybridMultilevel"/>
    <w:lvl w:ilvl="0">
      <w:lvlJc w:val="left"/>
      <w:lvlText w:val="(%1)"/>
      <w:numFmt w:val="lowerRoman"/>
      <w:start w:val="4"/>
    </w:lvl>
    <w:lvl w:ilvl="1">
      <w:lvlJc w:val="left"/>
      <w:lvlText w:val="-"/>
      <w:numFmt w:val="bullet"/>
      <w:start w:val="1"/>
    </w:lvl>
  </w:abstractNum>
  <w:abstractNum w:abstractNumId="211">
    <w:nsid w:val="168EFE17"/>
    <w:multiLevelType w:val="hybridMultilevel"/>
    <w:lvl w:ilvl="0">
      <w:lvlJc w:val="left"/>
      <w:lvlText w:val="(%1)"/>
      <w:numFmt w:val="upperLetter"/>
      <w:start w:val="3"/>
    </w:lvl>
    <w:lvl w:ilvl="1">
      <w:lvlJc w:val="left"/>
      <w:lvlText w:val="(%2)"/>
      <w:numFmt w:val="lowerRoman"/>
      <w:start w:val="6"/>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212">
    <w:nsid w:val="1036B29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3"/>
    </w:lvl>
    <w:lvl w:ilvl="4">
      <w:lvlJc w:val="left"/>
      <w:lvlText w:val="-"/>
      <w:numFmt w:val="bullet"/>
      <w:start w:val="1"/>
    </w:lvl>
  </w:abstractNum>
  <w:abstractNum w:abstractNumId="213">
    <w:nsid w:val="1D206B8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decimal"/>
      <w:start w:val="1"/>
    </w:lvl>
    <w:lvl w:ilvl="4">
      <w:lvlJc w:val="left"/>
      <w:lvlText w:val="-"/>
      <w:numFmt w:val="bullet"/>
      <w:start w:val="1"/>
    </w:lvl>
  </w:abstractNum>
  <w:abstractNum w:abstractNumId="214">
    <w:nsid w:val="7934D3D4"/>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215">
    <w:nsid w:val="1C65E9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216">
    <w:nsid w:val="1495E50A"/>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17">
    <w:nsid w:val="F5BCF61"/>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18">
    <w:nsid w:val="3B1DD403"/>
    <w:multiLevelType w:val="hybridMultilevel"/>
    <w:lvl w:ilvl="0">
      <w:lvlJc w:val="left"/>
      <w:lvlText w:val="(%1)"/>
      <w:numFmt w:val="lowerLetter"/>
      <w:start w:val="2"/>
    </w:lvl>
    <w:lvl w:ilvl="1">
      <w:lvlJc w:val="left"/>
      <w:lvlText w:val="-"/>
      <w:numFmt w:val="bullet"/>
      <w:start w:val="1"/>
    </w:lvl>
  </w:abstractNum>
  <w:abstractNum w:abstractNumId="219">
    <w:nsid w:val="530386D1"/>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220">
    <w:nsid w:val="7525F2B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21">
    <w:nsid w:val="CE8E1A7"/>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222">
    <w:nsid w:val="4E9EFB0D"/>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223">
    <w:nsid w:val="90802BE"/>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224">
    <w:nsid w:val="3266459B"/>
    <w:multiLevelType w:val="hybridMultilevel"/>
    <w:lvl w:ilvl="0">
      <w:lvlJc w:val="left"/>
      <w:lvlText w:val="(%1)"/>
      <w:numFmt w:val="lowerRoman"/>
      <w:start w:val="5"/>
    </w:lvl>
  </w:abstractNum>
  <w:abstractNum w:abstractNumId="225">
    <w:nsid w:val="3F8B0CBF"/>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26">
    <w:nsid w:val="37E203AB"/>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227">
    <w:nsid w:val="2586D60E"/>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228">
    <w:nsid w:val="1F3DA4D5"/>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29">
    <w:nsid w:val="74C9369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lvl w:ilvl="3">
      <w:lvlJc w:val="left"/>
      <w:lvlText w:val="%4"/>
      <w:numFmt w:val="upperLetter"/>
      <w:start w:val="1"/>
    </w:lvl>
    <w:lvl w:ilvl="4">
      <w:lvlJc w:val="left"/>
      <w:lvlText w:val="%5"/>
      <w:numFmt w:val="upperLetter"/>
      <w:start w:val="1"/>
    </w:lvl>
    <w:lvl w:ilvl="5">
      <w:lvlJc w:val="left"/>
      <w:lvlText w:val="-"/>
      <w:numFmt w:val="bullet"/>
      <w:start w:val="1"/>
    </w:lvl>
  </w:abstractNum>
  <w:abstractNum w:abstractNumId="230">
    <w:nsid w:val="48781401"/>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lvl w:ilvl="3">
      <w:lvlJc w:val="left"/>
      <w:lvlText w:val="(%4)"/>
      <w:numFmt w:val="upperLetter"/>
      <w:start w:val="1"/>
    </w:lvl>
    <w:lvl w:ilvl="4">
      <w:lvlJc w:val="left"/>
      <w:lvlText w:val="%5"/>
      <w:numFmt w:val="upperLetter"/>
      <w:start w:val="1"/>
    </w:lvl>
    <w:lvl w:ilvl="5">
      <w:lvlJc w:val="left"/>
      <w:lvlText w:val="-"/>
      <w:numFmt w:val="bullet"/>
      <w:start w:val="1"/>
    </w:lvl>
  </w:abstractNum>
  <w:abstractNum w:abstractNumId="231">
    <w:nsid w:val="186928D6"/>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9"/>
    </w:lvl>
    <w:lvl w:ilvl="5">
      <w:lvlJc w:val="left"/>
      <w:lvlText w:val="-"/>
      <w:numFmt w:val="bullet"/>
      <w:start w:val="1"/>
    </w:lvl>
  </w:abstractNum>
  <w:abstractNum w:abstractNumId="232">
    <w:nsid w:val="47195E5"/>
    <w:multiLevelType w:val="hybridMultilevel"/>
    <w:lvl w:ilvl="0">
      <w:lvlJc w:val="left"/>
      <w:lvlText w:val="(%1)"/>
      <w:numFmt w:val="upperLetter"/>
      <w:start w:val="61"/>
    </w:lvl>
  </w:abstractNum>
  <w:abstractNum w:abstractNumId="233">
    <w:nsid w:val="3746A5F2"/>
    <w:multiLevelType w:val="hybridMultilevel"/>
    <w:lvl w:ilvl="0">
      <w:lvlJc w:val="left"/>
      <w:lvlText w:val="(%1)"/>
      <w:numFmt w:val="upperLetter"/>
      <w:start w:val="22"/>
    </w:lvl>
  </w:abstractNum>
  <w:abstractNum w:abstractNumId="234">
    <w:nsid w:val="682DFED6"/>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235">
    <w:nsid w:val="606ED7F6"/>
    <w:multiLevelType w:val="hybridMultilevel"/>
    <w:lvl w:ilvl="0">
      <w:lvlJc w:val="left"/>
      <w:lvlText w:val="(%1)"/>
      <w:numFmt w:val="upperLetter"/>
      <w:start w:val="2"/>
    </w:lvl>
  </w:abstractNum>
  <w:abstractNum w:abstractNumId="236">
    <w:nsid w:val="2D9DF57D"/>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9"/>
    </w:lvl>
    <w:lvl w:ilvl="3">
      <w:lvlJc w:val="left"/>
      <w:lvlText w:val="-"/>
      <w:numFmt w:val="bullet"/>
      <w:start w:val="1"/>
    </w:lvl>
  </w:abstractNum>
  <w:abstractNum w:abstractNumId="237">
    <w:nsid w:val="7FBD7A3E"/>
    <w:multiLevelType w:val="hybridMultilevel"/>
    <w:lvl w:ilvl="0">
      <w:lvlJc w:val="left"/>
      <w:lvlText w:val="(%1)"/>
      <w:numFmt w:val="upperLetter"/>
      <w:start w:val="35"/>
    </w:lvl>
  </w:abstractNum>
  <w:abstractNum w:abstractNumId="238">
    <w:nsid w:val="490B7C5"/>
    <w:multiLevelType w:val="hybridMultilevel"/>
    <w:lvl w:ilvl="0">
      <w:lvlJc w:val="left"/>
      <w:lvlText w:val="%1"/>
      <w:numFmt w:val="upperLetter"/>
      <w:start w:val="1"/>
    </w:lvl>
    <w:lvl w:ilvl="1">
      <w:lvlJc w:val="left"/>
      <w:lvlText w:val="(%2)"/>
      <w:numFmt w:val="upperLetter"/>
      <w:start w:val="61"/>
    </w:lvl>
  </w:abstractNum>
  <w:abstractNum w:abstractNumId="239">
    <w:nsid w:val="4303A216"/>
    <w:multiLevelType w:val="hybridMultilevel"/>
    <w:lvl w:ilvl="0">
      <w:lvlJc w:val="left"/>
      <w:lvlText w:val="(%1)"/>
      <w:numFmt w:val="upperLetter"/>
      <w:start w:val="2"/>
    </w:lvl>
    <w:lvl w:ilvl="1">
      <w:lvlJc w:val="left"/>
      <w:lvlText w:val="(%2)"/>
      <w:numFmt w:val="upperLetter"/>
      <w:start w:val="9"/>
    </w:lvl>
  </w:abstractNum>
  <w:abstractNum w:abstractNumId="240">
    <w:nsid w:val="19B8A08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5"/>
    </w:lvl>
    <w:lvl w:ilvl="3">
      <w:lvlJc w:val="left"/>
      <w:lvlText w:val="-"/>
      <w:numFmt w:val="bullet"/>
      <w:start w:val="1"/>
    </w:lvl>
  </w:abstractNum>
  <w:abstractNum w:abstractNumId="241">
    <w:nsid w:val="54B59621"/>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lvl w:ilvl="3">
      <w:lvlJc w:val="left"/>
      <w:lvlText w:val="-"/>
      <w:numFmt w:val="bullet"/>
      <w:start w:val="1"/>
    </w:lvl>
  </w:abstractNum>
  <w:abstractNum w:abstractNumId="242">
    <w:nsid w:val="5992A02E"/>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43">
    <w:nsid w:val="29EF532D"/>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244">
    <w:nsid w:val="71D601AF"/>
    <w:multiLevelType w:val="hybridMultilevel"/>
    <w:lvl w:ilvl="0">
      <w:lvlJc w:val="left"/>
      <w:lvlText w:val="(%1)"/>
      <w:numFmt w:val="lowerLetter"/>
      <w:start w:val="7"/>
    </w:lvl>
    <w:lvl w:ilvl="1">
      <w:lvlJc w:val="left"/>
      <w:lvlText w:val="-"/>
      <w:numFmt w:val="bullet"/>
      <w:start w:val="1"/>
    </w:lvl>
  </w:abstractNum>
  <w:abstractNum w:abstractNumId="245">
    <w:nsid w:val="52C77402"/>
    <w:multiLevelType w:val="hybridMultilevel"/>
    <w:lvl w:ilvl="0">
      <w:lvlJc w:val="left"/>
      <w:lvlText w:val="(%1)"/>
      <w:numFmt w:val="lowerLetter"/>
      <w:start w:val="10"/>
    </w:lvl>
  </w:abstractNum>
  <w:abstractNum w:abstractNumId="246">
    <w:nsid w:val="2BB5B1C6"/>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247">
    <w:nsid w:val="66BE6B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48">
    <w:nsid w:val="62234363"/>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49">
    <w:nsid w:val="66D385C9"/>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50">
    <w:nsid w:val="596F6D8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51">
    <w:nsid w:val="5749361F"/>
    <w:multiLevelType w:val="hybridMultilevel"/>
    <w:lvl w:ilvl="0">
      <w:lvlJc w:val="left"/>
      <w:lvlText w:val="(%1)"/>
      <w:numFmt w:val="lowerRoman"/>
      <w:start w:val="1"/>
    </w:lvl>
  </w:abstractNum>
  <w:abstractNum w:abstractNumId="252">
    <w:nsid w:val="73BC677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53">
    <w:nsid w:val="280E68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4">
    <w:nsid w:val="605138D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5">
    <w:nsid w:val="2622AD0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6">
    <w:nsid w:val="67997556"/>
    <w:multiLevelType w:val="hybridMultilevel"/>
    <w:lvl w:ilvl="0">
      <w:lvlJc w:val="left"/>
      <w:lvlText w:val="(%1)"/>
      <w:numFmt w:val="lowerRoman"/>
      <w:start w:val="2"/>
    </w:lvl>
  </w:abstractNum>
  <w:abstractNum w:abstractNumId="257">
    <w:nsid w:val="18333C89"/>
    <w:multiLevelType w:val="hybridMultilevel"/>
    <w:lvl w:ilvl="0">
      <w:lvlJc w:val="left"/>
      <w:lvlText w:val="%1."/>
      <w:numFmt w:val="decimal"/>
      <w:start w:val="1"/>
    </w:lvl>
  </w:abstractNum>
  <w:abstractNum w:abstractNumId="258">
    <w:nsid w:val="4BA9831A"/>
    <w:multiLevelType w:val="hybridMultilevel"/>
    <w:lvl w:ilvl="0">
      <w:lvlJc w:val="left"/>
      <w:lvlText w:val="%1."/>
      <w:numFmt w:val="decimal"/>
      <w:start w:val="1"/>
    </w:lvl>
  </w:abstractNum>
  <w:abstractNum w:abstractNumId="259">
    <w:nsid w:val="6D71A2B"/>
    <w:multiLevelType w:val="hybridMultilevel"/>
    <w:lvl w:ilvl="0">
      <w:lvlJc w:val="left"/>
      <w:lvlText w:val="%1."/>
      <w:numFmt w:val="decimal"/>
      <w:start w:val="2"/>
    </w:lvl>
  </w:abstractNum>
  <w:abstractNum w:abstractNumId="260">
    <w:nsid w:val="CFC7321"/>
    <w:multiLevelType w:val="hybridMultilevel"/>
    <w:lvl w:ilvl="0">
      <w:lvlJc w:val="left"/>
      <w:lvlText w:val="%1."/>
      <w:numFmt w:val="decimal"/>
      <w:start w:val="3"/>
    </w:lvl>
  </w:abstractNum>
  <w:abstractNum w:abstractNumId="261">
    <w:nsid w:val="1421971B"/>
    <w:multiLevelType w:val="hybridMultilevel"/>
    <w:lvl w:ilvl="0">
      <w:lvlJc w:val="left"/>
      <w:lvlText w:val="%1."/>
      <w:numFmt w:val="decimal"/>
      <w:start w:val="1"/>
    </w:lvl>
  </w:abstractNum>
  <w:abstractNum w:abstractNumId="262">
    <w:nsid w:val="1F404301"/>
    <w:multiLevelType w:val="hybridMultilevel"/>
    <w:lvl w:ilvl="0">
      <w:lvlJc w:val="left"/>
      <w:lvlText w:val="%1."/>
      <w:numFmt w:val="decimal"/>
      <w:start w:val="8"/>
    </w:lvl>
  </w:abstractNum>
  <w:abstractNum w:abstractNumId="263">
    <w:nsid w:val="116E0907"/>
    <w:multiLevelType w:val="hybridMultilevel"/>
    <w:lvl w:ilvl="0">
      <w:lvlJc w:val="left"/>
      <w:lvlText w:val="(%1)"/>
      <w:numFmt w:val="lowerLetter"/>
      <w:start w:val="4"/>
    </w:lvl>
  </w:abstractNum>
  <w:abstractNum w:abstractNumId="264">
    <w:nsid w:val="4B683D0D"/>
    <w:multiLevelType w:val="hybridMultilevel"/>
    <w:lvl w:ilvl="0">
      <w:lvlJc w:val="left"/>
      <w:lvlText w:val="%1"/>
      <w:numFmt w:val="lowerLetter"/>
      <w:start w:val="1"/>
    </w:lvl>
    <w:lvl w:ilvl="1">
      <w:lvlJc w:val="left"/>
      <w:lvlText w:val="(%2)"/>
      <w:numFmt w:val="lowerLetter"/>
      <w:start w:val="1"/>
    </w:lvl>
  </w:abstractNum>
  <w:abstractNum w:abstractNumId="265">
    <w:nsid w:val="76E41D8"/>
    <w:multiLevelType w:val="hybridMultilevel"/>
    <w:lvl w:ilvl="0">
      <w:lvlJc w:val="left"/>
      <w:lvlText w:val="(%1)"/>
      <w:numFmt w:val="lowerLetter"/>
      <w:start w:val="61"/>
    </w:lvl>
    <w:lvl w:ilvl="1">
      <w:lvlJc w:val="left"/>
      <w:lvlText w:val="(%2)"/>
      <w:numFmt w:val="lowerLetter"/>
      <w:start w:val="2"/>
    </w:lvl>
  </w:abstractNum>
  <w:abstractNum w:abstractNumId="266">
    <w:nsid w:val="71DCE0FD"/>
    <w:multiLevelType w:val="hybridMultilevel"/>
    <w:lvl w:ilvl="0">
      <w:lvlJc w:val="left"/>
      <w:lvlText w:val="(%1)"/>
      <w:numFmt w:val="lowerLetter"/>
      <w:start w:val="3"/>
    </w:lvl>
    <w:lvl w:ilvl="1">
      <w:lvlJc w:val="left"/>
      <w:lvlText w:val="(%2)"/>
      <w:numFmt w:val="lowerRoman"/>
      <w:start w:val="1"/>
    </w:lvl>
  </w:abstractNum>
  <w:abstractNum w:abstractNumId="267">
    <w:nsid w:val="7906328B"/>
    <w:multiLevelType w:val="hybridMultilevel"/>
    <w:lvl w:ilvl="0">
      <w:lvlJc w:val="left"/>
      <w:lvlText w:val="(%1)"/>
      <w:numFmt w:val="lowerLetter"/>
      <w:start w:val="25"/>
    </w:lvl>
    <w:lvl w:ilvl="1">
      <w:lvlJc w:val="left"/>
      <w:lvlText w:val="%2"/>
      <w:numFmt w:val="lowerRoman"/>
      <w:start w:val="1"/>
    </w:lvl>
  </w:abstractNum>
  <w:abstractNum w:abstractNumId="268">
    <w:nsid w:val="72BBC16"/>
    <w:multiLevelType w:val="hybridMultilevel"/>
    <w:lvl w:ilvl="0">
      <w:lvlJc w:val="left"/>
      <w:lvlText w:val="(%1)"/>
      <w:numFmt w:val="lowerRoman"/>
      <w:start w:val="3"/>
    </w:lvl>
  </w:abstractNum>
  <w:abstractNum w:abstractNumId="269">
    <w:nsid w:val="766D98C2"/>
    <w:multiLevelType w:val="hybridMultilevel"/>
    <w:lvl w:ilvl="0">
      <w:lvlJc w:val="left"/>
      <w:lvlText w:val="(%1)"/>
      <w:numFmt w:val="lowerRoman"/>
      <w:start w:val="3"/>
    </w:lvl>
  </w:abstractNum>
  <w:abstractNum w:abstractNumId="270">
    <w:nsid w:val="3C09D4A1"/>
    <w:multiLevelType w:val="hybridMultilevel"/>
    <w:lvl w:ilvl="0">
      <w:lvlJc w:val="left"/>
      <w:lvlText w:val="%1"/>
      <w:numFmt w:val="decimal"/>
      <w:start w:val="1"/>
    </w:lvl>
    <w:lvl w:ilvl="1">
      <w:lvlJc w:val="left"/>
      <w:lvlText w:val="(%2)"/>
      <w:numFmt w:val="lowerLetter"/>
      <w:start w:val="4"/>
    </w:lvl>
  </w:abstractNum>
  <w:abstractNum w:abstractNumId="271">
    <w:nsid w:val="20E45CA4"/>
    <w:multiLevelType w:val="hybridMultilevel"/>
    <w:lvl w:ilvl="0">
      <w:lvlJc w:val="left"/>
      <w:lvlText w:val="(%1)"/>
      <w:numFmt w:val="decimal"/>
      <w:start w:val="8"/>
    </w:lvl>
    <w:lvl w:ilvl="1">
      <w:lvlJc w:val="left"/>
      <w:lvlText w:val="%2"/>
      <w:numFmt w:val="lowerLetter"/>
      <w:start w:val="1"/>
    </w:lvl>
  </w:abstractNum>
  <w:abstractNum w:abstractNumId="272">
    <w:nsid w:val="4B232EE3"/>
    <w:multiLevelType w:val="hybridMultilevel"/>
    <w:lvl w:ilvl="0">
      <w:lvlJc w:val="left"/>
      <w:lvlText w:val="%1"/>
      <w:numFmt w:val="lowerLetter"/>
      <w:start w:val="1"/>
    </w:lvl>
    <w:lvl w:ilvl="1">
      <w:lvlJc w:val="left"/>
      <w:lvlText w:val="(%2)"/>
      <w:numFmt w:val="lowerLetter"/>
      <w:start w:val="7"/>
    </w:lvl>
  </w:abstractNum>
  <w:abstractNum w:abstractNumId="273">
    <w:nsid w:val="159C74CF"/>
    <w:multiLevelType w:val="hybridMultilevel"/>
    <w:lvl w:ilvl="0">
      <w:lvlJc w:val="left"/>
      <w:lvlText w:val="(%1)"/>
      <w:numFmt w:val="lowerLetter"/>
      <w:start w:val="2"/>
    </w:lvl>
    <w:lvl w:ilvl="1">
      <w:lvlJc w:val="left"/>
      <w:lvlText w:val="(%2)"/>
      <w:numFmt w:val="lowerLetter"/>
      <w:start w:val="8"/>
    </w:lvl>
  </w:abstractNum>
  <w:abstractNum w:abstractNumId="274">
    <w:nsid w:val="4AD3AFD2"/>
    <w:multiLevelType w:val="hybridMultilevel"/>
    <w:lvl w:ilvl="0">
      <w:lvlJc w:val="left"/>
      <w:lvlText w:val="(%1)"/>
      <w:numFmt w:val="lowerLetter"/>
      <w:start w:val="11"/>
    </w:lvl>
  </w:abstractNum>
  <w:abstractNum w:abstractNumId="275">
    <w:nsid w:val="3CF93092"/>
    <w:multiLevelType w:val="hybridMultilevel"/>
    <w:lvl w:ilvl="0">
      <w:lvlJc w:val="left"/>
      <w:lvlText w:val="%1"/>
      <w:numFmt w:val="lowerLetter"/>
      <w:start w:val="1"/>
    </w:lvl>
    <w:lvl w:ilvl="1">
      <w:lvlJc w:val="left"/>
      <w:lvlText w:val="(%2)"/>
      <w:numFmt w:val="lowerLetter"/>
      <w:start w:val="1"/>
    </w:lvl>
  </w:abstractNum>
  <w:abstractNum w:abstractNumId="276">
    <w:nsid w:val="6863E8D2"/>
    <w:multiLevelType w:val="hybridMultilevel"/>
    <w:lvl w:ilvl="0">
      <w:lvlJc w:val="left"/>
      <w:lvlText w:val="(%1)"/>
      <w:numFmt w:val="lowerLetter"/>
      <w:start w:val="35"/>
    </w:lvl>
    <w:lvl w:ilvl="1">
      <w:lvlJc w:val="left"/>
      <w:lvlText w:val="(%2)"/>
      <w:numFmt w:val="lowerLetter"/>
      <w:start w:val="2"/>
    </w:lvl>
  </w:abstractNum>
  <w:abstractNum w:abstractNumId="277">
    <w:nsid w:val="76896198"/>
    <w:multiLevelType w:val="hybridMultilevel"/>
    <w:lvl w:ilvl="0">
      <w:lvlJc w:val="left"/>
      <w:lvlText w:val="(%1)"/>
      <w:numFmt w:val="lowerLetter"/>
      <w:start w:val="3"/>
    </w:lvl>
    <w:lvl w:ilvl="1">
      <w:lvlJc w:val="left"/>
      <w:lvlText w:val="(%2)"/>
      <w:numFmt w:val="lowerRoman"/>
      <w:start w:val="1"/>
    </w:lvl>
  </w:abstractNum>
  <w:abstractNum w:abstractNumId="278">
    <w:nsid w:val="4365174B"/>
    <w:multiLevelType w:val="hybridMultilevel"/>
    <w:lvl w:ilvl="0">
      <w:lvlJc w:val="left"/>
      <w:lvlText w:val="%1"/>
      <w:numFmt w:val="lowerLetter"/>
      <w:start w:val="1"/>
    </w:lvl>
    <w:lvl w:ilvl="1">
      <w:lvlJc w:val="left"/>
      <w:lvlText w:val="(%2)"/>
      <w:numFmt w:val="lowerRoman"/>
      <w:start w:val="4"/>
    </w:lvl>
  </w:abstractNum>
  <w:abstractNum w:abstractNumId="279">
    <w:nsid w:val="4A872C35"/>
    <w:multiLevelType w:val="hybridMultilevel"/>
    <w:lvl w:ilvl="0">
      <w:lvlJc w:val="left"/>
      <w:lvlText w:val="(%1)"/>
      <w:numFmt w:val="lowerLetter"/>
      <w:start w:val="4"/>
    </w:lvl>
    <w:lvl w:ilvl="1">
      <w:lvlJc w:val="left"/>
      <w:lvlText w:val="%2"/>
      <w:numFmt w:val="lowerRoman"/>
      <w:start w:val="1"/>
    </w:lvl>
  </w:abstractNum>
  <w:abstractNum w:abstractNumId="280">
    <w:nsid w:val="5D5CE761"/>
    <w:multiLevelType w:val="hybridMultilevel"/>
    <w:lvl w:ilvl="0">
      <w:lvlJc w:val="left"/>
      <w:lvlText w:val="%1"/>
      <w:numFmt w:val="lowerLetter"/>
      <w:start w:val="1"/>
    </w:lvl>
    <w:lvl w:ilvl="1">
      <w:lvlJc w:val="left"/>
      <w:lvlText w:val="(%2)"/>
      <w:numFmt w:val="lowerLetter"/>
      <w:start w:val="5"/>
    </w:lvl>
  </w:abstractNum>
  <w:abstractNum w:abstractNumId="281">
    <w:nsid w:val="1CD484D5"/>
    <w:multiLevelType w:val="hybridMultilevel"/>
    <w:lvl w:ilvl="0">
      <w:lvlJc w:val="left"/>
      <w:lvlText w:val="(%1)"/>
      <w:numFmt w:val="lowerLetter"/>
      <w:start w:val="35"/>
    </w:lvl>
    <w:lvl w:ilvl="1">
      <w:lvlJc w:val="left"/>
      <w:lvlText w:val="%2"/>
      <w:numFmt w:val="lowerLetter"/>
      <w:start w:val="1"/>
    </w:lvl>
  </w:abstractNum>
  <w:abstractNum w:abstractNumId="282">
    <w:nsid w:val="21D06255"/>
    <w:multiLevelType w:val="hybridMultilevel"/>
    <w:lvl w:ilvl="0">
      <w:lvlJc w:val="left"/>
      <w:lvlText w:val="(%1)"/>
      <w:numFmt w:val="lowerLetter"/>
      <w:start w:val="8"/>
    </w:lvl>
  </w:abstractNum>
  <w:abstractNum w:abstractNumId="283">
    <w:nsid w:val="51194ED1"/>
    <w:multiLevelType w:val="hybridMultilevel"/>
    <w:lvl w:ilvl="0">
      <w:lvlJc w:val="left"/>
      <w:lvlText w:val="(%1)"/>
      <w:numFmt w:val="lowerLetter"/>
      <w:start w:val="1"/>
    </w:lvl>
  </w:abstractNum>
  <w:abstractNum w:abstractNumId="284">
    <w:nsid w:val="44E2ED6C"/>
    <w:multiLevelType w:val="hybridMultilevel"/>
    <w:lvl w:ilvl="0">
      <w:lvlJc w:val="left"/>
      <w:lvlText w:val="(%1)"/>
      <w:numFmt w:val="lowerLetter"/>
      <w:start w:val="1"/>
    </w:lvl>
  </w:abstractNum>
  <w:abstractNum w:abstractNumId="285">
    <w:nsid w:val="2219B33"/>
    <w:multiLevelType w:val="hybridMultilevel"/>
    <w:lvl w:ilvl="0">
      <w:lvlJc w:val="left"/>
      <w:lvlText w:val="(%1)"/>
      <w:numFmt w:val="lowerLetter"/>
      <w:start w:val="1"/>
    </w:lvl>
  </w:abstractNum>
  <w:abstractNum w:abstractNumId="286">
    <w:nsid w:val="773BFBDD"/>
    <w:multiLevelType w:val="hybridMultilevel"/>
    <w:lvl w:ilvl="0">
      <w:lvlJc w:val="left"/>
      <w:lvlText w:val="(%1)"/>
      <w:numFmt w:val="lowerLetter"/>
      <w:start w:val="1"/>
    </w:lvl>
  </w:abstractNum>
  <w:abstractNum w:abstractNumId="287">
    <w:nsid w:val="2C7C62C2"/>
    <w:multiLevelType w:val="hybridMultilevel"/>
    <w:lvl w:ilvl="0">
      <w:lvlJc w:val="left"/>
      <w:lvlText w:val="(%1)"/>
      <w:numFmt w:val="lowerRoman"/>
      <w:start w:val="1"/>
    </w:lvl>
  </w:abstractNum>
  <w:abstractNum w:abstractNumId="288">
    <w:nsid w:val="1A54D7BC"/>
    <w:multiLevelType w:val="hybridMultilevel"/>
    <w:lvl w:ilvl="0">
      <w:lvlJc w:val="left"/>
      <w:lvlText w:val="(%1)"/>
      <w:numFmt w:val="lowerLetter"/>
      <w:start w:val="1"/>
    </w:lvl>
  </w:abstractNum>
  <w:abstractNum w:abstractNumId="289">
    <w:nsid w:val="42E57EF7"/>
    <w:multiLevelType w:val="hybridMultilevel"/>
    <w:lvl w:ilvl="0">
      <w:lvlJc w:val="left"/>
      <w:lvlText w:val="(%1)"/>
      <w:numFmt w:val="lowerLetter"/>
      <w:start w:val="3"/>
    </w:lvl>
  </w:abstractNum>
  <w:abstractNum w:abstractNumId="290">
    <w:nsid w:val="33537CED"/>
    <w:multiLevelType w:val="hybridMultilevel"/>
    <w:lvl w:ilvl="0">
      <w:lvlJc w:val="left"/>
      <w:lvlText w:val="(%1)"/>
      <w:numFmt w:val="lowerLetter"/>
      <w:start w:val="1"/>
    </w:lvl>
  </w:abstractNum>
  <w:abstractNum w:abstractNumId="291">
    <w:nsid w:val="27514ADE"/>
    <w:multiLevelType w:val="hybridMultilevel"/>
    <w:lvl w:ilvl="0">
      <w:lvlJc w:val="left"/>
      <w:lvlText w:val="(%1)"/>
      <w:numFmt w:val="lowerLetter"/>
      <w:start w:val="1"/>
    </w:lvl>
  </w:abstractNum>
  <w:abstractNum w:abstractNumId="292">
    <w:nsid w:val="57071613"/>
    <w:multiLevelType w:val="hybridMultilevel"/>
    <w:lvl w:ilvl="0">
      <w:lvlJc w:val="left"/>
      <w:lvlText w:val="(%1)"/>
      <w:numFmt w:val="lowerLetter"/>
      <w:start w:val="2"/>
    </w:lvl>
  </w:abstractNum>
  <w:abstractNum w:abstractNumId="293">
    <w:nsid w:val="5293BFEF"/>
    <w:multiLevelType w:val="hybridMultilevel"/>
    <w:lvl w:ilvl="0">
      <w:lvlJc w:val="left"/>
      <w:lvlText w:val="%1."/>
      <w:numFmt w:val="decimal"/>
      <w:start w:val="1"/>
    </w:lvl>
    <w:lvl w:ilvl="1">
      <w:lvlJc w:val="left"/>
      <w:lvlText w:val="(%2)"/>
      <w:numFmt w:val="lowerLetter"/>
      <w:start w:val="1"/>
    </w:lvl>
  </w:abstractNum>
  <w:abstractNum w:abstractNumId="294">
    <w:nsid w:val="38BF53E5"/>
    <w:multiLevelType w:val="hybridMultilevel"/>
    <w:lvl w:ilvl="0">
      <w:lvlJc w:val="left"/>
      <w:lvlText w:val="%1"/>
      <w:numFmt w:val="decimal"/>
      <w:start w:val="1"/>
    </w:lvl>
    <w:lvl w:ilvl="1">
      <w:lvlJc w:val="left"/>
      <w:lvlText w:val="(%2)"/>
      <w:numFmt w:val="lowerLetter"/>
      <w:start w:val="2"/>
    </w:lvl>
  </w:abstractNum>
  <w:abstractNum w:abstractNumId="295">
    <w:nsid w:val="226F5320"/>
    <w:multiLevelType w:val="hybridMultilevel"/>
    <w:lvl w:ilvl="0">
      <w:lvlJc w:val="left"/>
      <w:lvlText w:val="%1."/>
      <w:numFmt w:val="decimal"/>
      <w:start w:val="2"/>
    </w:lvl>
    <w:lvl w:ilvl="1">
      <w:lvlJc w:val="left"/>
      <w:lvlText w:val="%2"/>
      <w:numFmt w:val="lowerLetter"/>
      <w:start w:val="1"/>
    </w:lvl>
  </w:abstractNum>
  <w:abstractNum w:abstractNumId="296">
    <w:nsid w:val="5A0201C7"/>
    <w:multiLevelType w:val="hybridMultilevel"/>
    <w:lvl w:ilvl="0">
      <w:lvlJc w:val="left"/>
      <w:lvlText w:val="(%1)"/>
      <w:numFmt w:val="lowerLetter"/>
      <w:start w:val="1"/>
    </w:lvl>
  </w:abstractNum>
  <w:abstractNum w:abstractNumId="297">
    <w:nsid w:val="2A9C34E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8">
    <w:nsid w:val="1B7585A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299">
    <w:nsid w:val="612DBDDD"/>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00">
    <w:nsid w:val="2109CDA4"/>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301">
    <w:nsid w:val="577F5A4D"/>
    <w:multiLevelType w:val="hybridMultilevel"/>
    <w:lvl w:ilvl="0">
      <w:lvlJc w:val="left"/>
      <w:lvlText w:val="%1."/>
      <w:numFmt w:val="decimal"/>
      <w:start w:val="6"/>
    </w:lvl>
  </w:abstractNum>
  <w:abstractNum w:abstractNumId="302">
    <w:nsid w:val="2121A81"/>
    <w:multiLevelType w:val="hybridMultilevel"/>
    <w:lvl w:ilvl="0">
      <w:lvlJc w:val="left"/>
      <w:lvlText w:val="%1."/>
      <w:numFmt w:val="decimal"/>
      <w:start w:val="8"/>
    </w:lvl>
  </w:abstractNum>
  <w:abstractNum w:abstractNumId="303">
    <w:nsid w:val="6C2CFC88"/>
    <w:multiLevelType w:val="hybridMultilevel"/>
    <w:lvl w:ilvl="0">
      <w:lvlJc w:val="left"/>
      <w:lvlText w:val="(%1)"/>
      <w:numFmt w:val="lowerLetter"/>
      <w:start w:val="61"/>
    </w:lvl>
    <w:lvl w:ilvl="1">
      <w:lvlJc w:val="left"/>
      <w:lvlText w:val="(%2)"/>
      <w:numFmt w:val="lowerLetter"/>
      <w:start w:val="1"/>
    </w:lvl>
  </w:abstractNum>
  <w:abstractNum w:abstractNumId="304">
    <w:nsid w:val="6D1BCF1C"/>
    <w:multiLevelType w:val="hybridMultilevel"/>
    <w:lvl w:ilvl="0">
      <w:lvlJc w:val="left"/>
      <w:lvlText w:val="%1"/>
      <w:numFmt w:val="decimal"/>
      <w:start w:val="1"/>
    </w:lvl>
    <w:lvl w:ilvl="1">
      <w:lvlJc w:val="left"/>
      <w:lvlText w:val="(%2)"/>
      <w:numFmt w:val="lowerLetter"/>
      <w:start w:val="2"/>
    </w:lvl>
  </w:abstractNum>
  <w:abstractNum w:abstractNumId="305">
    <w:nsid w:val="4CE5CA53"/>
    <w:multiLevelType w:val="hybridMultilevel"/>
    <w:lvl w:ilvl="0">
      <w:lvlJc w:val="left"/>
      <w:lvlText w:val="%1."/>
      <w:numFmt w:val="decimal"/>
      <w:start w:val="9"/>
    </w:lvl>
    <w:lvl w:ilvl="1">
      <w:lvlJc w:val="left"/>
      <w:lvlText w:val="%2"/>
      <w:numFmt w:val="lowerLetter"/>
      <w:start w:val="1"/>
    </w:lvl>
  </w:abstractNum>
  <w:abstractNum w:abstractNumId="306">
    <w:nsid w:val="29262D1A"/>
    <w:multiLevelType w:val="hybridMultilevel"/>
    <w:lvl w:ilvl="0">
      <w:lvlJc w:val="left"/>
      <w:lvlText w:val="%1."/>
      <w:numFmt w:val="decimal"/>
      <w:start w:val="14"/>
    </w:lvl>
  </w:abstractNum>
  <w:abstractNum w:abstractNumId="307">
    <w:nsid w:val="557FB7EE"/>
    <w:multiLevelType w:val="hybridMultilevel"/>
    <w:lvl w:ilvl="0">
      <w:lvlJc w:val="left"/>
      <w:lvlText w:val="%1."/>
      <w:numFmt w:val="decimal"/>
      <w:start w:val="1"/>
    </w:lvl>
  </w:abstractNum>
  <w:abstractNum w:abstractNumId="308">
    <w:nsid w:val="436F2BEB"/>
    <w:multiLevelType w:val="hybridMultilevel"/>
    <w:lvl w:ilvl="0">
      <w:lvlJc w:val="left"/>
      <w:lvlText w:val="%1."/>
      <w:numFmt w:val="decimal"/>
      <w:start w:val="3"/>
    </w:lvl>
  </w:abstractNum>
  <w:abstractNum w:abstractNumId="309">
    <w:nsid w:val="6C8B4466"/>
    <w:multiLevelType w:val="hybridMultilevel"/>
    <w:lvl w:ilvl="0">
      <w:lvlJc w:val="left"/>
      <w:lvlText w:val="%1."/>
      <w:numFmt w:val="decimal"/>
      <w:start w:val="4"/>
    </w:lvl>
  </w:abstractNum>
  <w:abstractNum w:abstractNumId="310">
    <w:nsid w:val="2006E424"/>
    <w:multiLevelType w:val="hybridMultilevel"/>
    <w:lvl w:ilvl="0">
      <w:lvlJc w:val="left"/>
      <w:lvlText w:val="(%1)"/>
      <w:numFmt w:val="lowerLetter"/>
      <w:start w:val="1"/>
    </w:lvl>
  </w:abstractNum>
  <w:abstractNum w:abstractNumId="311">
    <w:nsid w:val="20CC134C"/>
    <w:multiLevelType w:val="hybridMultilevel"/>
    <w:lvl w:ilvl="0">
      <w:lvlJc w:val="left"/>
      <w:lvlText w:val="(%1)"/>
      <w:numFmt w:val="lowerLetter"/>
      <w:start w:val="1"/>
    </w:lvl>
  </w:abstractNum>
  <w:abstractNum w:abstractNumId="312">
    <w:nsid w:val="95FC93B"/>
    <w:multiLevelType w:val="hybridMultilevel"/>
    <w:lvl w:ilvl="0">
      <w:lvlJc w:val="left"/>
      <w:lvlText w:val="(%1)"/>
      <w:numFmt w:val="lowerLetter"/>
      <w:start w:val="1"/>
    </w:lvl>
  </w:abstractNum>
  <w:abstractNum w:abstractNumId="313">
    <w:nsid w:val="41D74679"/>
    <w:multiLevelType w:val="hybridMultilevel"/>
    <w:lvl w:ilvl="0">
      <w:lvlJc w:val="left"/>
      <w:lvlText w:val="(%1)"/>
      <w:numFmt w:val="lowerLetter"/>
      <w:start w:val="1"/>
    </w:lvl>
  </w:abstractNum>
  <w:abstractNum w:abstractNumId="314">
    <w:nsid w:val="71E5621E"/>
    <w:multiLevelType w:val="hybridMultilevel"/>
    <w:lvl w:ilvl="0">
      <w:lvlJc w:val="left"/>
      <w:lvlText w:val="(%1)"/>
      <w:numFmt w:val="lowerLetter"/>
      <w:start w:val="1"/>
    </w:lvl>
  </w:abstractNum>
  <w:abstractNum w:abstractNumId="315">
    <w:nsid w:val="4E42B6A8"/>
    <w:multiLevelType w:val="hybridMultilevel"/>
    <w:lvl w:ilvl="0">
      <w:lvlJc w:val="left"/>
      <w:lvlText w:val="(%1)"/>
      <w:numFmt w:val="lowerLetter"/>
      <w:start w:val="5"/>
    </w:lvl>
  </w:abstractNum>
  <w:abstractNum w:abstractNumId="316">
    <w:nsid w:val="43F8E1AC"/>
    <w:multiLevelType w:val="hybridMultilevel"/>
    <w:lvl w:ilvl="0">
      <w:lvlJc w:val="left"/>
      <w:lvlText w:val="(%1)"/>
      <w:numFmt w:val="lowerLetter"/>
      <w:start w:val="1"/>
    </w:lvl>
  </w:abstractNum>
  <w:abstractNum w:abstractNumId="317">
    <w:nsid w:val="69215DFB"/>
    <w:multiLevelType w:val="hybridMultilevel"/>
    <w:lvl w:ilvl="0">
      <w:lvlJc w:val="left"/>
      <w:lvlText w:val="(%1)"/>
      <w:numFmt w:val="lowerLetter"/>
      <w:start w:val="1"/>
    </w:lvl>
  </w:abstractNum>
  <w:abstractNum w:abstractNumId="318">
    <w:nsid w:val="7ABF196A"/>
    <w:multiLevelType w:val="hybridMultilevel"/>
    <w:lvl w:ilvl="0">
      <w:lvlJc w:val="left"/>
      <w:lvlText w:val="(%1)"/>
      <w:numFmt w:val="lowerLetter"/>
      <w:start w:val="2"/>
    </w:lvl>
    <w:lvl w:ilvl="1">
      <w:lvlJc w:val="left"/>
      <w:lvlText w:val="(%2)"/>
      <w:numFmt w:val="lowerRoman"/>
      <w:start w:val="1"/>
    </w:lvl>
  </w:abstractNum>
  <w:abstractNum w:abstractNumId="319">
    <w:nsid w:val="5E4DB968"/>
    <w:multiLevelType w:val="hybridMultilevel"/>
    <w:lvl w:ilvl="0">
      <w:lvlJc w:val="left"/>
      <w:lvlText w:val="(%1)"/>
      <w:numFmt w:val="lowerLetter"/>
      <w:start w:val="2"/>
    </w:lvl>
  </w:abstractNum>
  <w:abstractNum w:abstractNumId="320">
    <w:nsid w:val="2C06DCF3"/>
    <w:multiLevelType w:val="hybridMultilevel"/>
    <w:lvl w:ilvl="0">
      <w:lvlJc w:val="left"/>
      <w:lvlText w:val="(%1)"/>
      <w:numFmt w:val="lowerLetter"/>
      <w:start w:val="1"/>
    </w:lvl>
  </w:abstractNum>
  <w:abstractNum w:abstractNumId="321">
    <w:nsid w:val="2E129658"/>
    <w:multiLevelType w:val="hybridMultilevel"/>
    <w:lvl w:ilvl="0">
      <w:lvlJc w:val="left"/>
      <w:lvlText w:val="(%1)"/>
      <w:numFmt w:val="lowerLetter"/>
      <w:start w:val="1"/>
    </w:lvl>
  </w:abstractNum>
  <w:abstractNum w:abstractNumId="322">
    <w:nsid w:val="59F0446"/>
    <w:multiLevelType w:val="hybridMultilevel"/>
    <w:lvl w:ilvl="0">
      <w:lvlJc w:val="left"/>
      <w:lvlText w:val="(%1)"/>
      <w:numFmt w:val="lowerLetter"/>
      <w:start w:val="1"/>
    </w:lvl>
  </w:abstractNum>
  <w:abstractNum w:abstractNumId="323">
    <w:nsid w:val="30DF306"/>
    <w:multiLevelType w:val="hybridMultilevel"/>
    <w:lvl w:ilvl="0">
      <w:lvlJc w:val="left"/>
      <w:lvlText w:val="(%1)"/>
      <w:numFmt w:val="decimal"/>
      <w:start w:val="3"/>
    </w:lvl>
    <w:lvl w:ilvl="1">
      <w:lvlJc w:val="left"/>
      <w:lvlText w:val="(%2)"/>
      <w:numFmt w:val="lowerLetter"/>
      <w:start w:val="2"/>
    </w:lvl>
  </w:abstractNum>
  <w:abstractNum w:abstractNumId="324">
    <w:nsid w:val="A65647"/>
    <w:multiLevelType w:val="hybridMultilevel"/>
    <w:lvl w:ilvl="0">
      <w:lvlJc w:val="left"/>
      <w:lvlText w:val="(%1)"/>
      <w:numFmt w:val="lowerLetter"/>
      <w:start w:val="1"/>
    </w:lvl>
  </w:abstractNum>
  <w:abstractNum w:abstractNumId="325">
    <w:nsid w:val="3E5E582B"/>
    <w:multiLevelType w:val="hybridMultilevel"/>
    <w:lvl w:ilvl="0">
      <w:lvlJc w:val="left"/>
      <w:lvlText w:val="(%1)"/>
      <w:numFmt w:val="lowerLetter"/>
      <w:start w:val="2"/>
    </w:lvl>
  </w:abstractNum>
  <w:abstractNum w:abstractNumId="326">
    <w:nsid w:val="257D4626"/>
    <w:multiLevelType w:val="hybridMultilevel"/>
    <w:lvl w:ilvl="0">
      <w:lvlJc w:val="left"/>
      <w:lvlText w:val="(%1)"/>
      <w:numFmt w:val="lowerLetter"/>
      <w:start w:val="1"/>
    </w:lvl>
  </w:abstractNum>
  <w:abstractNum w:abstractNumId="327">
    <w:nsid w:val="5AA8580E"/>
    <w:multiLevelType w:val="hybridMultilevel"/>
    <w:lvl w:ilvl="0">
      <w:lvlJc w:val="left"/>
      <w:lvlText w:val="(%1)"/>
      <w:numFmt w:val="lowerLetter"/>
      <w:start w:val="1"/>
    </w:lvl>
  </w:abstractNum>
  <w:abstractNum w:abstractNumId="328">
    <w:nsid w:val="68FA8D0D"/>
    <w:multiLevelType w:val="hybridMultilevel"/>
    <w:lvl w:ilvl="0">
      <w:lvlJc w:val="left"/>
      <w:lvlText w:val="(%1)"/>
      <w:numFmt w:val="lowerLetter"/>
      <w:start w:val="1"/>
    </w:lvl>
  </w:abstractNum>
  <w:abstractNum w:abstractNumId="329">
    <w:nsid w:val="40F2CBD2"/>
    <w:multiLevelType w:val="hybridMultilevel"/>
    <w:lvl w:ilvl="0">
      <w:lvlJc w:val="left"/>
      <w:lvlText w:val="(%1)"/>
      <w:numFmt w:val="lowerLetter"/>
      <w:start w:val="1"/>
    </w:lvl>
  </w:abstractNum>
  <w:abstractNum w:abstractNumId="330">
    <w:nsid w:val="3BD615EB"/>
    <w:multiLevelType w:val="hybridMultilevel"/>
    <w:lvl w:ilvl="0">
      <w:lvlJc w:val="left"/>
      <w:lvlText w:val="(%1)"/>
      <w:numFmt w:val="lowerLetter"/>
      <w:start w:val="2"/>
    </w:lvl>
  </w:abstractNum>
  <w:abstractNum w:abstractNumId="331">
    <w:nsid w:val="A045AB2"/>
    <w:multiLevelType w:val="hybridMultilevel"/>
    <w:lvl w:ilvl="0">
      <w:lvlJc w:val="left"/>
      <w:lvlText w:val="(%1)"/>
      <w:numFmt w:val="lowerLetter"/>
      <w:start w:val="1"/>
    </w:lvl>
  </w:abstractNum>
  <w:abstractNum w:abstractNumId="332">
    <w:nsid w:val="1872261F"/>
    <w:multiLevelType w:val="hybridMultilevel"/>
    <w:lvl w:ilvl="0">
      <w:lvlJc w:val="left"/>
      <w:lvlText w:val="%1."/>
      <w:numFmt w:val="upperLetter"/>
      <w:start w:val="9"/>
    </w:lvl>
    <w:lvl w:ilvl="1">
      <w:lvlJc w:val="left"/>
      <w:lvlText w:val="%2."/>
      <w:numFmt w:val="upperLetter"/>
      <w:start w:val="1"/>
    </w:lvl>
  </w:abstractNum>
  <w:abstractNum w:abstractNumId="333">
    <w:nsid w:val="3DE8306C"/>
    <w:multiLevelType w:val="hybridMultilevel"/>
    <w:lvl w:ilvl="0">
      <w:lvlJc w:val="left"/>
      <w:lvlText w:val="%1."/>
      <w:numFmt w:val="decimal"/>
      <w:start w:val="1"/>
    </w:lvl>
  </w:abstractNum>
  <w:abstractNum w:abstractNumId="334">
    <w:nsid w:val="7631573A"/>
    <w:multiLevelType w:val="hybridMultilevel"/>
    <w:lvl w:ilvl="0">
      <w:lvlJc w:val="left"/>
      <w:lvlText w:val="%1."/>
      <w:numFmt w:val="upperLetter"/>
      <w:start w:val="35"/>
    </w:lvl>
  </w:abstractNum>
  <w:abstractNum w:abstractNumId="335">
    <w:nsid w:val="58DF53B"/>
    <w:multiLevelType w:val="hybridMultilevel"/>
    <w:lvl w:ilvl="0">
      <w:lvlJc w:val="left"/>
      <w:lvlText w:val="%1."/>
      <w:numFmt w:val="decimal"/>
      <w:start w:val="1"/>
    </w:lvl>
    <w:lvl w:ilvl="1">
      <w:lvlJc w:val="left"/>
      <w:lvlText w:val="*"/>
      <w:numFmt w:val="bullet"/>
      <w:start w:val="1"/>
    </w:lvl>
  </w:abstractNum>
  <w:abstractNum w:abstractNumId="336">
    <w:nsid w:val="ACDFAC0"/>
    <w:multiLevelType w:val="hybridMultilevel"/>
    <w:lvl w:ilvl="0">
      <w:lvlJc w:val="left"/>
      <w:lvlText w:val="(%1)"/>
      <w:numFmt w:val="lowerLetter"/>
      <w:start w:val="1"/>
    </w:lvl>
  </w:abstractNum>
  <w:abstractNum w:abstractNumId="337">
    <w:nsid w:val="1F578454"/>
    <w:multiLevelType w:val="hybridMultilevel"/>
    <w:lvl w:ilvl="0">
      <w:lvlJc w:val="left"/>
      <w:lvlText w:val="(%1)"/>
      <w:numFmt w:val="lowerLetter"/>
      <w:start w:val="3"/>
    </w:lvl>
    <w:lvl w:ilvl="1">
      <w:lvlJc w:val="left"/>
      <w:lvlText w:val="(%2)"/>
      <w:numFmt w:val="lowerRoman"/>
      <w:start w:val="1"/>
    </w:lvl>
  </w:abstractNum>
  <w:abstractNum w:abstractNumId="338">
    <w:nsid w:val="5B0DAD2A"/>
    <w:multiLevelType w:val="hybridMultilevel"/>
    <w:lvl w:ilvl="0">
      <w:lvlJc w:val="left"/>
      <w:lvlText w:val="(%1)"/>
      <w:numFmt w:val="lowerLetter"/>
      <w:start w:val="1"/>
    </w:lvl>
  </w:abstractNum>
  <w:abstractNum w:abstractNumId="339">
    <w:nsid w:val="4E3D26AB"/>
    <w:multiLevelType w:val="hybridMultilevel"/>
    <w:lvl w:ilvl="0">
      <w:lvlJc w:val="left"/>
      <w:lvlText w:val="(%1)"/>
      <w:numFmt w:val="lowerLetter"/>
      <w:start w:val="1"/>
    </w:lvl>
  </w:abstractNum>
  <w:abstractNum w:abstractNumId="340">
    <w:nsid w:val="BE2C8BA"/>
    <w:multiLevelType w:val="hybridMultilevel"/>
    <w:lvl w:ilvl="0">
      <w:lvlJc w:val="left"/>
      <w:lvlText w:val="(%1)"/>
      <w:numFmt w:val="lowerLetter"/>
      <w:start w:val="3"/>
    </w:lvl>
  </w:abstractNum>
  <w:abstractNum w:abstractNumId="341">
    <w:nsid w:val="7B14914E"/>
    <w:multiLevelType w:val="hybridMultilevel"/>
    <w:lvl w:ilvl="0">
      <w:lvlJc w:val="left"/>
      <w:lvlText w:val="(%1)"/>
      <w:numFmt w:val="lowerLetter"/>
      <w:start w:val="1"/>
    </w:lvl>
  </w:abstractNum>
  <w:abstractNum w:abstractNumId="342">
    <w:nsid w:val="6F0939F8"/>
    <w:multiLevelType w:val="hybridMultilevel"/>
    <w:lvl w:ilvl="0">
      <w:lvlJc w:val="left"/>
      <w:lvlText w:val="(%1)"/>
      <w:numFmt w:val="lowerRoman"/>
      <w:start w:val="1"/>
    </w:lvl>
  </w:abstractNum>
  <w:abstractNum w:abstractNumId="343">
    <w:nsid w:val="154291F6"/>
    <w:multiLevelType w:val="hybridMultilevel"/>
    <w:lvl w:ilvl="0">
      <w:lvlJc w:val="left"/>
      <w:lvlText w:val="(%1)"/>
      <w:numFmt w:val="lowerLetter"/>
      <w:start w:val="1"/>
    </w:lvl>
    <w:lvl w:ilvl="1">
      <w:lvlJc w:val="left"/>
      <w:lvlText w:val="(%2)"/>
      <w:numFmt w:val="lowerLetter"/>
      <w:start w:val="5"/>
    </w:lvl>
  </w:abstractNum>
  <w:abstractNum w:abstractNumId="344">
    <w:nsid w:val="3CEBD7C7"/>
    <w:multiLevelType w:val="hybridMultilevel"/>
    <w:lvl w:ilvl="0">
      <w:lvlJc w:val="left"/>
      <w:lvlText w:val="(%1)"/>
      <w:numFmt w:val="lowerLetter"/>
      <w:start w:val="1"/>
    </w:lvl>
  </w:abstractNum>
  <w:abstractNum w:abstractNumId="345">
    <w:nsid w:val="60EE9C16"/>
    <w:multiLevelType w:val="hybridMultilevel"/>
    <w:lvl w:ilvl="0">
      <w:lvlJc w:val="left"/>
      <w:lvlText w:val="(%1)"/>
      <w:numFmt w:val="lowerLetter"/>
      <w:start w:val="2"/>
    </w:lvl>
  </w:abstractNum>
  <w:abstractNum w:abstractNumId="346">
    <w:nsid w:val="6385489E"/>
    <w:multiLevelType w:val="hybridMultilevel"/>
    <w:lvl w:ilvl="0">
      <w:lvlJc w:val="left"/>
      <w:lvlText w:val="(%1)"/>
      <w:numFmt w:val="lowerLetter"/>
      <w:start w:val="1"/>
    </w:lvl>
  </w:abstractNum>
  <w:abstractNum w:abstractNumId="347">
    <w:nsid w:val="E4B973"/>
    <w:multiLevelType w:val="hybridMultilevel"/>
    <w:lvl w:ilvl="0">
      <w:lvlJc w:val="left"/>
      <w:lvlText w:val="(%1)"/>
      <w:numFmt w:val="lowerLetter"/>
      <w:start w:val="1"/>
    </w:lvl>
  </w:abstractNum>
  <w:abstractNum w:abstractNumId="348">
    <w:nsid w:val="4A0FFA11"/>
    <w:multiLevelType w:val="hybridMultilevel"/>
    <w:lvl w:ilvl="0">
      <w:lvlJc w:val="left"/>
      <w:lvlText w:val="(%1)"/>
      <w:numFmt w:val="lowerLetter"/>
      <w:start w:val="1"/>
    </w:lvl>
  </w:abstractNum>
  <w:abstractNum w:abstractNumId="349">
    <w:nsid w:val="5E446208"/>
    <w:multiLevelType w:val="hybridMultilevel"/>
    <w:lvl w:ilvl="0">
      <w:lvlJc w:val="left"/>
      <w:lvlText w:val="%1."/>
      <w:numFmt w:val="decimal"/>
      <w:start w:val="1"/>
    </w:lvl>
    <w:lvl w:ilvl="1">
      <w:lvlJc w:val="left"/>
      <w:lvlText w:val="(%2)"/>
      <w:numFmt w:val="lowerLetter"/>
      <w:start w:val="1"/>
    </w:lvl>
  </w:abstractNum>
  <w:abstractNum w:abstractNumId="350">
    <w:nsid w:val="5F3272DB"/>
    <w:multiLevelType w:val="hybridMultilevel"/>
    <w:lvl w:ilvl="0">
      <w:lvlJc w:val="left"/>
      <w:lvlText w:val="%1"/>
      <w:numFmt w:val="decimal"/>
      <w:start w:val="1"/>
    </w:lvl>
    <w:lvl w:ilvl="1">
      <w:lvlJc w:val="left"/>
      <w:lvlText w:val="(%2)"/>
      <w:numFmt w:val="lowerLetter"/>
      <w:start w:val="3"/>
    </w:lvl>
  </w:abstractNum>
  <w:abstractNum w:abstractNumId="351">
    <w:nsid w:val="7616D704"/>
    <w:multiLevelType w:val="hybridMultilevel"/>
    <w:lvl w:ilvl="0">
      <w:lvlJc w:val="left"/>
      <w:lvlText w:val="%1."/>
      <w:numFmt w:val="decimal"/>
      <w:start w:val="2"/>
    </w:lvl>
    <w:lvl w:ilvl="1">
      <w:lvlJc w:val="left"/>
      <w:lvlText w:val="%2"/>
      <w:numFmt w:val="lowerLetter"/>
      <w:start w:val="1"/>
    </w:lvl>
  </w:abstractNum>
  <w:abstractNum w:abstractNumId="352">
    <w:nsid w:val="C56F860"/>
    <w:multiLevelType w:val="hybridMultilevel"/>
    <w:lvl w:ilvl="0">
      <w:lvlJc w:val="left"/>
      <w:lvlText w:val="%1."/>
      <w:numFmt w:val="decimal"/>
      <w:start w:val="3"/>
    </w:lvl>
    <w:lvl w:ilvl="1">
      <w:lvlJc w:val="left"/>
      <w:lvlText w:val="(%2)"/>
      <w:numFmt w:val="lowerLetter"/>
      <w:start w:val="1"/>
    </w:lvl>
  </w:abstractNum>
  <w:abstractNum w:abstractNumId="353">
    <w:nsid w:val="64D17722"/>
    <w:multiLevelType w:val="hybridMultilevel"/>
    <w:lvl w:ilvl="0">
      <w:lvlJc w:val="left"/>
      <w:lvlText w:val="%1."/>
      <w:numFmt w:val="decimal"/>
      <w:start w:val="4"/>
    </w:lvl>
    <w:lvl w:ilvl="1">
      <w:lvlJc w:val="left"/>
      <w:lvlText w:val="(%2)"/>
      <w:numFmt w:val="lowerLetter"/>
      <w:start w:val="1"/>
    </w:lvl>
  </w:abstractNum>
  <w:abstractNum w:abstractNumId="354">
    <w:nsid w:val="7924CA0A"/>
    <w:multiLevelType w:val="hybridMultilevel"/>
    <w:lvl w:ilvl="0">
      <w:lvlJc w:val="left"/>
      <w:lvlText w:val="(%1)"/>
      <w:numFmt w:val="lowerLetter"/>
      <w:start w:val="3"/>
    </w:lvl>
  </w:abstractNum>
  <w:abstractNum w:abstractNumId="355">
    <w:nsid w:val="CFD4EA7"/>
    <w:multiLevelType w:val="hybridMultilevel"/>
    <w:lvl w:ilvl="0">
      <w:lvlJc w:val="left"/>
      <w:lvlText w:val="%1"/>
      <w:numFmt w:val="decimal"/>
      <w:start w:val="1"/>
    </w:lvl>
    <w:lvl w:ilvl="1">
      <w:lvlJc w:val="left"/>
      <w:lvlText w:val="(%2)"/>
      <w:numFmt w:val="lowerLetter"/>
      <w:start w:val="6"/>
    </w:lvl>
  </w:abstractNum>
  <w:abstractNum w:abstractNumId="356">
    <w:nsid w:val="232FCF4D"/>
    <w:multiLevelType w:val="hybridMultilevel"/>
    <w:lvl w:ilvl="0">
      <w:lvlJc w:val="left"/>
      <w:lvlText w:val="(%1)"/>
      <w:numFmt w:val="decimal"/>
      <w:start w:val="75"/>
    </w:lvl>
    <w:lvl w:ilvl="1">
      <w:lvlJc w:val="left"/>
      <w:lvlText w:val="(%2)"/>
      <w:numFmt w:val="lowerLetter"/>
      <w:start w:val="7"/>
    </w:lvl>
  </w:abstractNum>
  <w:abstractNum w:abstractNumId="357">
    <w:nsid w:val="1EA21031"/>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abstractNum>
  <w:abstractNum w:abstractNumId="358">
    <w:nsid w:val="67A5A6B5"/>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59">
    <w:nsid w:val="C2A5C5B"/>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360">
    <w:nsid w:val="5F94DC03"/>
    <w:multiLevelType w:val="hybridMultilevel"/>
    <w:lvl w:ilvl="0">
      <w:lvlJc w:val="left"/>
      <w:lvlText w:val="%1"/>
      <w:numFmt w:val="decimal"/>
      <w:start w:val="1"/>
    </w:lvl>
    <w:lvl w:ilvl="1">
      <w:lvlJc w:val="left"/>
      <w:lvlText w:val="(%2)"/>
      <w:numFmt w:val="lowerLetter"/>
      <w:start w:val="5"/>
    </w:lvl>
  </w:abstractNum>
  <w:abstractNum w:abstractNumId="361">
    <w:nsid w:val="237BBCA0"/>
    <w:multiLevelType w:val="hybridMultilevel"/>
    <w:lvl w:ilvl="0">
      <w:lvlJc w:val="left"/>
      <w:lvlText w:val="%1."/>
      <w:numFmt w:val="decimal"/>
      <w:start w:val="8"/>
    </w:lvl>
    <w:lvl w:ilvl="1">
      <w:lvlJc w:val="left"/>
      <w:lvlText w:val="(%2)"/>
      <w:numFmt w:val="lowerLetter"/>
      <w:start w:val="1"/>
    </w:lvl>
  </w:abstractNum>
  <w:abstractNum w:abstractNumId="362">
    <w:nsid w:val="162EB70D"/>
    <w:multiLevelType w:val="hybridMultilevel"/>
    <w:lvl w:ilvl="0">
      <w:lvlJc w:val="left"/>
      <w:lvlText w:val="%1"/>
      <w:numFmt w:val="decimal"/>
      <w:start w:val="1"/>
    </w:lvl>
    <w:lvl w:ilvl="1">
      <w:lvlJc w:val="left"/>
      <w:lvlText w:val="(%2)"/>
      <w:numFmt w:val="lowerLetter"/>
      <w:start w:val="3"/>
    </w:lvl>
  </w:abstractNum>
  <w:abstractNum w:abstractNumId="363">
    <w:nsid w:val="78070222"/>
    <w:multiLevelType w:val="hybridMultilevel"/>
    <w:lvl w:ilvl="0">
      <w:lvlJc w:val="left"/>
      <w:lvlText w:val="%1."/>
      <w:numFmt w:val="decimal"/>
      <w:start w:val="9"/>
    </w:lvl>
    <w:lvl w:ilvl="1">
      <w:lvlJc w:val="left"/>
      <w:lvlText w:val="(%2)"/>
      <w:numFmt w:val="lowerLetter"/>
      <w:start w:val="1"/>
    </w:lvl>
  </w:abstractNum>
  <w:abstractNum w:abstractNumId="364">
    <w:nsid w:val="6163ED0D"/>
    <w:multiLevelType w:val="hybridMultilevel"/>
    <w:lvl w:ilvl="0">
      <w:lvlJc w:val="left"/>
      <w:lvlText w:val="%1"/>
      <w:numFmt w:val="decimal"/>
      <w:start w:val="1"/>
    </w:lvl>
    <w:lvl w:ilvl="1">
      <w:lvlJc w:val="left"/>
      <w:lvlText w:val="(%2)"/>
      <w:numFmt w:val="lowerLetter"/>
      <w:start w:val="2"/>
    </w:lvl>
  </w:abstractNum>
  <w:abstractNum w:abstractNumId="365">
    <w:nsid w:val="C600E47"/>
    <w:multiLevelType w:val="hybridMultilevel"/>
    <w:lvl w:ilvl="0">
      <w:lvlJc w:val="left"/>
      <w:lvlText w:val="%1."/>
      <w:numFmt w:val="decimal"/>
      <w:start w:val="10"/>
    </w:lvl>
    <w:lvl w:ilvl="1">
      <w:lvlJc w:val="left"/>
      <w:lvlText w:val="(%2)"/>
      <w:numFmt w:val="lowerLetter"/>
      <w:start w:val="1"/>
    </w:lvl>
  </w:abstractNum>
  <w:abstractNum w:abstractNumId="366">
    <w:nsid w:val="7D94F75D"/>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67">
    <w:nsid w:val="6C31E7C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6"/>
    </w:lvl>
  </w:abstractNum>
  <w:abstractNum w:abstractNumId="368">
    <w:nsid w:val="2BB7929B"/>
    <w:multiLevelType w:val="hybridMultilevel"/>
    <w:lvl w:ilvl="0">
      <w:lvlJc w:val="left"/>
      <w:lvlText w:val="%1."/>
      <w:numFmt w:val="decimal"/>
      <w:start w:val="14"/>
    </w:lvl>
    <w:lvl w:ilvl="1">
      <w:lvlJc w:val="left"/>
      <w:lvlText w:val="(%2)"/>
      <w:numFmt w:val="lowerLetter"/>
      <w:start w:val="1"/>
    </w:lvl>
  </w:abstractNum>
  <w:abstractNum w:abstractNumId="369">
    <w:nsid w:val="58A2A487"/>
    <w:multiLevelType w:val="hybridMultilevel"/>
    <w:lvl w:ilvl="0">
      <w:lvlJc w:val="left"/>
      <w:lvlText w:val="%1."/>
      <w:numFmt w:val="decimal"/>
      <w:start w:val="18"/>
    </w:lvl>
  </w:abstractNum>
  <w:abstractNum w:abstractNumId="370">
    <w:nsid w:val="3A6F0E78"/>
    <w:multiLevelType w:val="hybridMultilevel"/>
    <w:lvl w:ilvl="0">
      <w:lvlJc w:val="left"/>
      <w:lvlText w:val="%1."/>
      <w:numFmt w:val="upperLetter"/>
      <w:start w:val="1"/>
    </w:lvl>
  </w:abstractNum>
  <w:abstractNum w:abstractNumId="371">
    <w:nsid w:val="379A5B56"/>
    <w:multiLevelType w:val="hybridMultilevel"/>
    <w:lvl w:ilvl="0">
      <w:lvlJc w:val="left"/>
      <w:lvlText w:val="%1."/>
      <w:numFmt w:val="decimal"/>
      <w:start w:val="1"/>
    </w:lvl>
    <w:lvl w:ilvl="1">
      <w:lvlJc w:val="left"/>
      <w:lvlText w:val="(%2)"/>
      <w:numFmt w:val="lowerLetter"/>
      <w:start w:val="1"/>
    </w:lvl>
  </w:abstractNum>
  <w:abstractNum w:abstractNumId="372">
    <w:nsid w:val="53B735D5"/>
    <w:multiLevelType w:val="hybridMultilevel"/>
    <w:lvl w:ilvl="0">
      <w:lvlJc w:val="left"/>
      <w:lvlText w:val="%1."/>
      <w:numFmt w:val="decimal"/>
      <w:start w:val="2"/>
    </w:lvl>
    <w:lvl w:ilvl="1">
      <w:lvlJc w:val="left"/>
      <w:lvlText w:val="(%2)"/>
      <w:numFmt w:val="lowerLetter"/>
      <w:start w:val="1"/>
    </w:lvl>
  </w:abstractNum>
  <w:abstractNum w:abstractNumId="373">
    <w:nsid w:val="29784870"/>
    <w:multiLevelType w:val="hybridMultilevel"/>
    <w:lvl w:ilvl="0">
      <w:lvlJc w:val="left"/>
      <w:lvlText w:val="%1."/>
      <w:numFmt w:val="decimal"/>
      <w:start w:val="3"/>
    </w:lvl>
  </w:abstractNum>
  <w:abstractNum w:abstractNumId="374">
    <w:nsid w:val="4CDCED4C"/>
    <w:multiLevelType w:val="hybridMultilevel"/>
    <w:lvl w:ilvl="0">
      <w:lvlJc w:val="left"/>
      <w:lvlText w:val="(%1)"/>
      <w:numFmt w:val="lowerLetter"/>
      <w:start w:val="1"/>
    </w:lvl>
    <w:lvl w:ilvl="1">
      <w:lvlJc w:val="left"/>
      <w:lvlText w:val="(%2)"/>
      <w:numFmt w:val="lowerRoman"/>
      <w:start w:val="1"/>
    </w:lvl>
  </w:abstractNum>
  <w:abstractNum w:abstractNumId="375">
    <w:nsid w:val="10A30D9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6">
    <w:nsid w:val="A66E48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7">
    <w:nsid w:val="306235E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8">
    <w:nsid w:val="1187C70F"/>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379">
    <w:nsid w:val="5476DE98"/>
    <w:multiLevelType w:val="hybridMultilevel"/>
    <w:lvl w:ilvl="0">
      <w:lvlJc w:val="left"/>
      <w:lvlText w:val="%1."/>
      <w:numFmt w:val="decimal"/>
      <w:start w:val="5"/>
    </w:lvl>
  </w:abstractNum>
  <w:abstractNum w:abstractNumId="380">
    <w:nsid w:val="EA697F2"/>
    <w:multiLevelType w:val="hybridMultilevel"/>
    <w:lvl w:ilvl="0">
      <w:lvlJc w:val="left"/>
      <w:lvlText w:val="%1."/>
      <w:numFmt w:val="decimal"/>
      <w:start w:val="6"/>
    </w:lvl>
  </w:abstractNum>
  <w:abstractNum w:abstractNumId="381">
    <w:nsid w:val="70BA39E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2">
    <w:nsid w:val="4A8DB59C"/>
    <w:multiLevelType w:val="hybridMultilevel"/>
    <w:lvl w:ilvl="0">
      <w:lvlJc w:val="left"/>
      <w:lvlText w:val="%1"/>
      <w:numFmt w:val="decimal"/>
      <w:start w:val="1"/>
    </w:lvl>
    <w:lvl w:ilvl="1">
      <w:lvlJc w:val="left"/>
      <w:lvlText w:val="(%2)"/>
      <w:numFmt w:val="lowerLetter"/>
      <w:start w:val="4"/>
    </w:lvl>
  </w:abstractNum>
  <w:abstractNum w:abstractNumId="383">
    <w:nsid w:val="1AFD9053"/>
    <w:multiLevelType w:val="hybridMultilevel"/>
    <w:lvl w:ilvl="0">
      <w:lvlJc w:val="left"/>
      <w:lvlText w:val="%1."/>
      <w:numFmt w:val="decimal"/>
      <w:start w:val="8"/>
    </w:lvl>
    <w:lvl w:ilvl="1">
      <w:lvlJc w:val="left"/>
      <w:lvlText w:val="(%2)"/>
      <w:numFmt w:val="lowerLetter"/>
      <w:start w:val="1"/>
    </w:lvl>
  </w:abstractNum>
  <w:abstractNum w:abstractNumId="384">
    <w:nsid w:val="558BB10D"/>
    <w:multiLevelType w:val="hybridMultilevel"/>
    <w:lvl w:ilvl="0">
      <w:lvlJc w:val="left"/>
      <w:lvlText w:val="%1"/>
      <w:numFmt w:val="decimal"/>
      <w:start w:val="1"/>
    </w:lvl>
    <w:lvl w:ilvl="1">
      <w:lvlJc w:val="left"/>
      <w:lvlText w:val="(%2)"/>
      <w:numFmt w:val="lowerLetter"/>
      <w:start w:val="2"/>
    </w:lvl>
  </w:abstractNum>
  <w:abstractNum w:abstractNumId="385">
    <w:nsid w:val="43B27FA7"/>
    <w:multiLevelType w:val="hybridMultilevel"/>
    <w:lvl w:ilvl="0">
      <w:lvlJc w:val="left"/>
      <w:lvlText w:val="%1."/>
      <w:numFmt w:val="decimal"/>
      <w:start w:val="9"/>
    </w:lvl>
    <w:lvl w:ilvl="1">
      <w:lvlJc w:val="left"/>
      <w:lvlText w:val="(%2)"/>
      <w:numFmt w:val="lowerLetter"/>
      <w:start w:val="1"/>
    </w:lvl>
  </w:abstractNum>
  <w:abstractNum w:abstractNumId="386">
    <w:nsid w:val="27FADEFA"/>
    <w:multiLevelType w:val="hybridMultilevel"/>
    <w:lvl w:ilvl="0">
      <w:lvlJc w:val="left"/>
      <w:lvlText w:val="%1"/>
      <w:numFmt w:val="lowerLetter"/>
      <w:start w:val="1"/>
    </w:lvl>
    <w:lvl w:ilvl="1">
      <w:lvlJc w:val="left"/>
      <w:lvlText w:val="(%2)"/>
      <w:numFmt w:val="lowerRoman"/>
      <w:start w:val="1"/>
    </w:lvl>
  </w:abstractNum>
  <w:abstractNum w:abstractNumId="387">
    <w:nsid w:val="78BB805A"/>
    <w:multiLevelType w:val="hybridMultilevel"/>
    <w:lvl w:ilvl="0">
      <w:lvlJc w:val="left"/>
      <w:lvlText w:val="(%1)"/>
      <w:numFmt w:val="lowerLetter"/>
      <w:start w:val="4"/>
    </w:lvl>
    <w:lvl w:ilvl="1">
      <w:lvlJc w:val="left"/>
      <w:lvlText w:val="%2"/>
      <w:numFmt w:val="lowerRoman"/>
      <w:start w:val="1"/>
    </w:lvl>
  </w:abstractNum>
  <w:abstractNum w:abstractNumId="388">
    <w:nsid w:val="62548FD8"/>
    <w:multiLevelType w:val="hybridMultilevel"/>
    <w:lvl w:ilvl="0">
      <w:lvlJc w:val="left"/>
      <w:lvlText w:val="(%1)"/>
      <w:numFmt w:val="lowerLetter"/>
      <w:start w:val="9"/>
    </w:lvl>
    <w:lvl w:ilvl="1">
      <w:lvlJc w:val="left"/>
      <w:lvlText w:val="(%2)"/>
      <w:numFmt w:val="lowerRoman"/>
      <w:start w:val="1"/>
    </w:lvl>
  </w:abstractNum>
  <w:abstractNum w:abstractNumId="389">
    <w:nsid w:val="FA085B0"/>
    <w:multiLevelType w:val="hybridMultilevel"/>
    <w:lvl w:ilvl="0">
      <w:lvlJc w:val="left"/>
      <w:lvlText w:val="(%1)"/>
      <w:numFmt w:val="lowerRoman"/>
      <w:start w:val="3"/>
    </w:lvl>
  </w:abstractNum>
  <w:abstractNum w:abstractNumId="390">
    <w:nsid w:val="4E5DCB5"/>
    <w:multiLevelType w:val="hybridMultilevel"/>
    <w:lvl w:ilvl="0">
      <w:lvlJc w:val="left"/>
      <w:lvlText w:val="%1."/>
      <w:numFmt w:val="decimal"/>
      <w:start w:val="10"/>
    </w:lvl>
  </w:abstractNum>
  <w:abstractNum w:abstractNumId="391">
    <w:nsid w:val="41E96BDB"/>
    <w:multiLevelType w:val="hybridMultilevel"/>
    <w:lvl w:ilvl="0">
      <w:lvlJc w:val="left"/>
      <w:lvlText w:val="%1."/>
      <w:numFmt w:val="decimal"/>
      <w:start w:val="1"/>
    </w:lvl>
  </w:abstractNum>
  <w:abstractNum w:abstractNumId="392">
    <w:nsid w:val="331C4250"/>
    <w:multiLevelType w:val="hybridMultilevel"/>
    <w:lvl w:ilvl="0">
      <w:lvlJc w:val="left"/>
      <w:lvlText w:val="(%1)"/>
      <w:numFmt w:val="lowerLetter"/>
      <w:start w:val="1"/>
    </w:lvl>
  </w:abstractNum>
  <w:abstractNum w:abstractNumId="393">
    <w:nsid w:val="1B1493C2"/>
    <w:multiLevelType w:val="hybridMultilevel"/>
    <w:lvl w:ilvl="0">
      <w:lvlJc w:val="left"/>
      <w:lvlText w:val="%1."/>
      <w:numFmt w:val="decimal"/>
      <w:start w:val="3"/>
    </w:lvl>
  </w:abstractNum>
  <w:abstractNum w:abstractNumId="394">
    <w:nsid w:val="39F06DFD"/>
    <w:multiLevelType w:val="hybridMultilevel"/>
    <w:lvl w:ilvl="0">
      <w:lvlJc w:val="left"/>
      <w:lvlText w:val="%1."/>
      <w:numFmt w:val="decimal"/>
      <w:start w:val="7"/>
    </w:lvl>
  </w:abstractNum>
  <w:abstractNum w:abstractNumId="395">
    <w:nsid w:val="14802F5D"/>
    <w:multiLevelType w:val="hybridMultilevel"/>
    <w:lvl w:ilvl="0">
      <w:lvlJc w:val="left"/>
      <w:lvlText w:val="%1."/>
      <w:numFmt w:val="upperLetter"/>
      <w:start w:val="1"/>
    </w:lvl>
  </w:abstractNum>
  <w:abstractNum w:abstractNumId="396">
    <w:nsid w:val="2774A209"/>
    <w:multiLevelType w:val="hybridMultilevel"/>
    <w:lvl w:ilvl="0">
      <w:lvlJc w:val="left"/>
      <w:lvlText w:val="%1."/>
      <w:numFmt w:val="decimal"/>
      <w:start w:val="1"/>
    </w:lvl>
    <w:lvl w:ilvl="1">
      <w:lvlJc w:val="left"/>
      <w:lvlText w:val="(%2)"/>
      <w:numFmt w:val="lowerLetter"/>
      <w:start w:val="1"/>
    </w:lvl>
  </w:abstractNum>
  <w:abstractNum w:abstractNumId="397">
    <w:nsid w:val="3785655A"/>
    <w:multiLevelType w:val="hybridMultilevel"/>
    <w:lvl w:ilvl="0">
      <w:lvlJc w:val="left"/>
      <w:lvlText w:val="%1."/>
      <w:numFmt w:val="decimal"/>
      <w:start w:val="2"/>
    </w:lvl>
    <w:lvl w:ilvl="1">
      <w:lvlJc w:val="left"/>
      <w:lvlText w:val="(%2)"/>
      <w:numFmt w:val="lowerLetter"/>
      <w:start w:val="1"/>
    </w:lvl>
  </w:abstractNum>
  <w:abstractNum w:abstractNumId="398">
    <w:nsid w:val="B2172A"/>
    <w:multiLevelType w:val="hybridMultilevel"/>
    <w:lvl w:ilvl="0">
      <w:lvlJc w:val="left"/>
      <w:lvlText w:val="%1"/>
      <w:numFmt w:val="decimal"/>
      <w:start w:val="1"/>
    </w:lvl>
    <w:lvl w:ilvl="1">
      <w:lvlJc w:val="left"/>
      <w:lvlText w:val="(%2)"/>
      <w:numFmt w:val="lowerLetter"/>
      <w:start w:val="6"/>
    </w:lvl>
  </w:abstractNum>
  <w:abstractNum w:abstractNumId="399">
    <w:nsid w:val="532C34A5"/>
    <w:multiLevelType w:val="hybridMultilevel"/>
    <w:lvl w:ilvl="0">
      <w:lvlJc w:val="left"/>
      <w:lvlText w:val="%1."/>
      <w:numFmt w:val="decimal"/>
      <w:start w:val="3"/>
    </w:lvl>
    <w:lvl w:ilvl="1">
      <w:lvlJc w:val="left"/>
      <w:lvlText w:val="%2"/>
      <w:numFmt w:val="lowerLetter"/>
      <w:start w:val="1"/>
    </w:lvl>
  </w:abstractNum>
  <w:abstractNum w:abstractNumId="400">
    <w:nsid w:val="102809E2"/>
    <w:multiLevelType w:val="hybridMultilevel"/>
    <w:lvl w:ilvl="0">
      <w:lvlJc w:val="left"/>
      <w:lvlText w:val="(%1)"/>
      <w:numFmt w:val="lowerLetter"/>
      <w:start w:val="1"/>
    </w:lvl>
    <w:lvl w:ilvl="1">
      <w:lvlJc w:val="left"/>
      <w:lvlText w:val="(%2)"/>
      <w:numFmt w:val="lowerRoman"/>
      <w:start w:val="1"/>
    </w:lvl>
  </w:abstractNum>
  <w:abstractNum w:abstractNumId="401">
    <w:nsid w:val="3B2125A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02">
    <w:nsid w:val="AC68F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3">
    <w:nsid w:val="63DF3F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04">
    <w:nsid w:val="64996E1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05">
    <w:nsid w:val="57A37D4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06">
    <w:nsid w:val="74824D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07">
    <w:nsid w:val="6F00529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08">
    <w:nsid w:val="805B33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9">
    <w:nsid w:val="60A1463"/>
    <w:multiLevelType w:val="hybridMultilevel"/>
    <w:lvl w:ilvl="0">
      <w:lvlJc w:val="left"/>
      <w:lvlText w:val="%1."/>
      <w:numFmt w:val="decimal"/>
      <w:start w:val="6"/>
    </w:lvl>
  </w:abstractNum>
  <w:abstractNum w:abstractNumId="410">
    <w:nsid w:val="4377313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11">
    <w:nsid w:val="16AC4B23"/>
    <w:multiLevelType w:val="hybridMultilevel"/>
    <w:lvl w:ilvl="0">
      <w:lvlJc w:val="left"/>
      <w:lvlText w:val="%1"/>
      <w:numFmt w:val="lowerLetter"/>
      <w:start w:val="1"/>
    </w:lvl>
    <w:lvl w:ilvl="1">
      <w:lvlJc w:val="left"/>
      <w:lvlText w:val="(%2)"/>
      <w:numFmt w:val="lowerRoman"/>
      <w:start w:val="4"/>
    </w:lvl>
  </w:abstractNum>
  <w:abstractNum w:abstractNumId="412">
    <w:nsid w:val="76C44E4E"/>
    <w:multiLevelType w:val="hybridMultilevel"/>
    <w:lvl w:ilvl="0">
      <w:lvlJc w:val="left"/>
      <w:lvlText w:val="(%1)"/>
      <w:numFmt w:val="lowerLetter"/>
      <w:start w:val="2"/>
    </w:lvl>
    <w:lvl w:ilvl="1">
      <w:lvlJc w:val="left"/>
      <w:lvlText w:val="%2"/>
      <w:numFmt w:val="lowerRoman"/>
      <w:start w:val="1"/>
    </w:lvl>
  </w:abstractNum>
  <w:abstractNum w:abstractNumId="413">
    <w:nsid w:val="E04E6CE"/>
    <w:multiLevelType w:val="hybridMultilevel"/>
    <w:lvl w:ilvl="0">
      <w:lvlJc w:val="left"/>
      <w:lvlText w:val="%1."/>
      <w:numFmt w:val="decimal"/>
      <w:start w:val="8"/>
    </w:lvl>
    <w:lvl w:ilvl="1">
      <w:lvlJc w:val="left"/>
      <w:lvlText w:val="(%2)"/>
      <w:numFmt w:val="lowerLetter"/>
      <w:start w:val="1"/>
    </w:lvl>
  </w:abstractNum>
  <w:abstractNum w:abstractNumId="414">
    <w:nsid w:val="31A9DB7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15">
    <w:nsid w:val="4C4FFF5B"/>
    <w:multiLevelType w:val="hybridMultilevel"/>
    <w:lvl w:ilvl="0">
      <w:lvlJc w:val="left"/>
      <w:lvlText w:val="%1"/>
      <w:numFmt w:val="upperLetter"/>
      <w:start w:val="1"/>
    </w:lvl>
    <w:lvl w:ilvl="1">
      <w:lvlJc w:val="left"/>
      <w:lvlText w:val="(%2)"/>
      <w:numFmt w:val="lowerLetter"/>
      <w:start w:val="7"/>
    </w:lvl>
  </w:abstractNum>
  <w:abstractNum w:abstractNumId="416">
    <w:nsid w:val="51B76675"/>
    <w:multiLevelType w:val="hybridMultilevel"/>
    <w:lvl w:ilvl="0">
      <w:lvlJc w:val="left"/>
      <w:lvlText w:val="(%1)"/>
      <w:numFmt w:val="lowerLetter"/>
      <w:start w:val="10"/>
    </w:lvl>
    <w:lvl w:ilvl="1">
      <w:lvlJc w:val="left"/>
      <w:lvlText w:val="(%2)"/>
      <w:numFmt w:val="lowerRoman"/>
      <w:start w:val="1"/>
    </w:lvl>
  </w:abstractNum>
  <w:abstractNum w:abstractNumId="417">
    <w:nsid w:val="59A4BA71"/>
    <w:multiLevelType w:val="hybridMultilevel"/>
    <w:lvl w:ilvl="0">
      <w:lvlJc w:val="left"/>
      <w:lvlText w:val="%1."/>
      <w:numFmt w:val="decimal"/>
      <w:start w:val="10"/>
    </w:lvl>
  </w:abstractNum>
  <w:abstractNum w:abstractNumId="418">
    <w:nsid w:val="450B7FB6"/>
    <w:multiLevelType w:val="hybridMultilevel"/>
    <w:lvl w:ilvl="0">
      <w:lvlJc w:val="left"/>
      <w:lvlText w:val="%1."/>
      <w:numFmt w:val="decimal"/>
      <w:start w:val="1"/>
    </w:lvl>
  </w:abstractNum>
  <w:abstractNum w:abstractNumId="419">
    <w:nsid w:val="340BF64D"/>
    <w:multiLevelType w:val="hybridMultilevel"/>
    <w:lvl w:ilvl="0">
      <w:lvlJc w:val="left"/>
      <w:lvlText w:val="(%1)"/>
      <w:numFmt w:val="lowerLetter"/>
      <w:start w:val="1"/>
    </w:lvl>
  </w:abstractNum>
  <w:abstractNum w:abstractNumId="420">
    <w:nsid w:val="69454021"/>
    <w:multiLevelType w:val="hybridMultilevel"/>
    <w:lvl w:ilvl="0">
      <w:lvlJc w:val="left"/>
      <w:lvlText w:val="%1."/>
      <w:numFmt w:val="decimal"/>
      <w:start w:val="3"/>
    </w:lvl>
  </w:abstractNum>
  <w:abstractNum w:abstractNumId="421">
    <w:nsid w:val="49F15C6B"/>
    <w:multiLevelType w:val="hybridMultilevel"/>
    <w:lvl w:ilvl="0">
      <w:lvlJc w:val="left"/>
      <w:lvlText w:val="%1."/>
      <w:numFmt w:val="decimal"/>
      <w:start w:val="7"/>
    </w:lvl>
  </w:abstractNum>
  <w:abstractNum w:abstractNumId="422">
    <w:nsid w:val="75F56228"/>
    <w:multiLevelType w:val="hybridMultilevel"/>
    <w:lvl w:ilvl="0">
      <w:lvlJc w:val="left"/>
      <w:lvlText w:val="☒"/>
      <w:numFmt w:val="bullet"/>
      <w:start w:val="1"/>
    </w:lvl>
  </w:abstractNum>
  <w:abstractNum w:abstractNumId="423">
    <w:nsid w:val="1C618271"/>
    <w:multiLevelType w:val="hybridMultilevel"/>
    <w:lvl w:ilvl="0">
      <w:lvlJc w:val="left"/>
      <w:lvlText w:val="☐"/>
      <w:numFmt w:val="bullet"/>
      <w:start w:val="1"/>
    </w:lvl>
  </w:abstractNum>
  <w:abstractNum w:abstractNumId="424">
    <w:nsid w:val="6505F02E"/>
    <w:multiLevelType w:val="hybridMultilevel"/>
    <w:lvl w:ilvl="0">
      <w:lvlJc w:val="left"/>
      <w:lvlText w:val="%1."/>
      <w:numFmt w:val="upperLetter"/>
      <w:start w:val="1"/>
    </w:lvl>
  </w:abstractNum>
  <w:abstractNum w:abstractNumId="425">
    <w:nsid w:val="2FE5D025"/>
    <w:multiLevelType w:val="hybridMultilevel"/>
    <w:lvl w:ilvl="0">
      <w:lvlJc w:val="left"/>
      <w:lvlText w:val="%1."/>
      <w:numFmt w:val="decimal"/>
      <w:start w:val="1"/>
    </w:lvl>
    <w:lvl w:ilvl="1">
      <w:lvlJc w:val="left"/>
      <w:lvlText w:val="(%2)"/>
      <w:numFmt w:val="lowerLetter"/>
      <w:start w:val="1"/>
    </w:lvl>
  </w:abstractNum>
  <w:abstractNum w:abstractNumId="426">
    <w:nsid w:val="30E1B1CF"/>
    <w:multiLevelType w:val="hybridMultilevel"/>
    <w:lvl w:ilvl="0">
      <w:lvlJc w:val="left"/>
      <w:lvlText w:val="%1."/>
      <w:numFmt w:val="decimal"/>
      <w:start w:val="2"/>
    </w:lvl>
    <w:lvl w:ilvl="1">
      <w:lvlJc w:val="left"/>
      <w:lvlText w:val="(%2)"/>
      <w:numFmt w:val="lowerLetter"/>
      <w:start w:val="1"/>
    </w:lvl>
  </w:abstractNum>
  <w:abstractNum w:abstractNumId="427">
    <w:nsid w:val="C7A9237"/>
    <w:multiLevelType w:val="hybridMultilevel"/>
    <w:lvl w:ilvl="0">
      <w:lvlJc w:val="left"/>
      <w:lvlText w:val="%1."/>
      <w:numFmt w:val="decimal"/>
      <w:start w:val="3"/>
    </w:lvl>
  </w:abstractNum>
  <w:abstractNum w:abstractNumId="428">
    <w:nsid w:val="676B3580"/>
    <w:multiLevelType w:val="hybridMultilevel"/>
    <w:lvl w:ilvl="0">
      <w:lvlJc w:val="left"/>
      <w:lvlText w:val="(%1)"/>
      <w:numFmt w:val="lowerLetter"/>
      <w:start w:val="1"/>
    </w:lvl>
    <w:lvl w:ilvl="1">
      <w:lvlJc w:val="left"/>
      <w:lvlText w:val="(%2)"/>
      <w:numFmt w:val="lowerRoman"/>
      <w:start w:val="1"/>
    </w:lvl>
  </w:abstractNum>
  <w:abstractNum w:abstractNumId="429">
    <w:nsid w:val="3193C8F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30">
    <w:nsid w:val="5FA6C6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1">
    <w:nsid w:val="77933F6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32">
    <w:nsid w:val="6CB4EE9C"/>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433">
    <w:nsid w:val="6A6D56D7"/>
    <w:multiLevelType w:val="hybridMultilevel"/>
    <w:lvl w:ilvl="0">
      <w:lvlJc w:val="left"/>
      <w:lvlText w:val="%1."/>
      <w:numFmt w:val="decimal"/>
      <w:start w:val="5"/>
    </w:lvl>
  </w:abstractNum>
  <w:abstractNum w:abstractNumId="434">
    <w:nsid w:val="5B727F1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5">
    <w:nsid w:val="514E5CB0"/>
    <w:multiLevelType w:val="hybridMultilevel"/>
    <w:lvl w:ilvl="0">
      <w:lvlJc w:val="left"/>
      <w:lvlText w:val="%1"/>
      <w:numFmt w:val="decimal"/>
      <w:start w:val="1"/>
    </w:lvl>
    <w:lvl w:ilvl="1">
      <w:lvlJc w:val="left"/>
      <w:lvlText w:val="(%2)"/>
      <w:numFmt w:val="lowerLetter"/>
      <w:start w:val="4"/>
    </w:lvl>
  </w:abstractNum>
  <w:abstractNum w:abstractNumId="436">
    <w:nsid w:val="4210D41E"/>
    <w:multiLevelType w:val="hybridMultilevel"/>
    <w:lvl w:ilvl="0">
      <w:lvlJc w:val="left"/>
      <w:lvlText w:val="%1."/>
      <w:numFmt w:val="decimal"/>
      <w:start w:val="8"/>
    </w:lvl>
    <w:lvl w:ilvl="1">
      <w:lvlJc w:val="left"/>
      <w:lvlText w:val="(%2)"/>
      <w:numFmt w:val="lowerLetter"/>
      <w:start w:val="1"/>
    </w:lvl>
  </w:abstractNum>
  <w:abstractNum w:abstractNumId="437">
    <w:nsid w:val="4FF4CC6D"/>
    <w:multiLevelType w:val="hybridMultilevel"/>
    <w:lvl w:ilvl="0">
      <w:lvlJc w:val="left"/>
      <w:lvlText w:val="%1"/>
      <w:numFmt w:val="decimal"/>
      <w:start w:val="1"/>
    </w:lvl>
    <w:lvl w:ilvl="1">
      <w:lvlJc w:val="left"/>
      <w:lvlText w:val="(%2)"/>
      <w:numFmt w:val="lowerLetter"/>
      <w:start w:val="2"/>
    </w:lvl>
  </w:abstractNum>
  <w:abstractNum w:abstractNumId="438">
    <w:nsid w:val="404EAF4A"/>
    <w:multiLevelType w:val="hybridMultilevel"/>
    <w:lvl w:ilvl="0">
      <w:lvlJc w:val="left"/>
      <w:lvlText w:val="%1."/>
      <w:numFmt w:val="decimal"/>
      <w:start w:val="9"/>
    </w:lvl>
    <w:lvl w:ilvl="1">
      <w:lvlJc w:val="left"/>
      <w:lvlText w:val="(%2)"/>
      <w:numFmt w:val="lowerLetter"/>
      <w:start w:val="1"/>
    </w:lvl>
  </w:abstractNum>
  <w:abstractNum w:abstractNumId="439">
    <w:nsid w:val="4A16874F"/>
    <w:multiLevelType w:val="hybridMultilevel"/>
    <w:lvl w:ilvl="0">
      <w:lvlJc w:val="left"/>
      <w:lvlText w:val="%1"/>
      <w:numFmt w:val="lowerLetter"/>
      <w:start w:val="1"/>
    </w:lvl>
    <w:lvl w:ilvl="1">
      <w:lvlJc w:val="left"/>
      <w:lvlText w:val="(%2)"/>
      <w:numFmt w:val="lowerRoman"/>
      <w:start w:val="1"/>
    </w:lvl>
  </w:abstractNum>
  <w:abstractNum w:abstractNumId="440">
    <w:nsid w:val="55FEE0D1"/>
    <w:multiLevelType w:val="hybridMultilevel"/>
    <w:lvl w:ilvl="0">
      <w:lvlJc w:val="left"/>
      <w:lvlText w:val="(%1)"/>
      <w:numFmt w:val="lowerLetter"/>
      <w:start w:val="4"/>
    </w:lvl>
    <w:lvl w:ilvl="1">
      <w:lvlJc w:val="left"/>
      <w:lvlText w:val="%2"/>
      <w:numFmt w:val="lowerRoman"/>
      <w:start w:val="1"/>
    </w:lvl>
  </w:abstractNum>
  <w:abstractNum w:abstractNumId="441">
    <w:nsid w:val="3C5E07C"/>
    <w:multiLevelType w:val="hybridMultilevel"/>
    <w:lvl w:ilvl="0">
      <w:lvlJc w:val="left"/>
      <w:lvlText w:val="(%1)"/>
      <w:numFmt w:val="lowerLetter"/>
      <w:start w:val="9"/>
    </w:lvl>
    <w:lvl w:ilvl="1">
      <w:lvlJc w:val="left"/>
      <w:lvlText w:val="(%2)"/>
      <w:numFmt w:val="lowerRoman"/>
      <w:start w:val="1"/>
    </w:lvl>
  </w:abstractNum>
  <w:abstractNum w:abstractNumId="442">
    <w:nsid w:val="60C2D273"/>
    <w:multiLevelType w:val="hybridMultilevel"/>
    <w:lvl w:ilvl="0">
      <w:lvlJc w:val="left"/>
      <w:lvlText w:val="(%1)"/>
      <w:numFmt w:val="lowerRoman"/>
      <w:start w:val="3"/>
    </w:lvl>
  </w:abstractNum>
  <w:abstractNum w:abstractNumId="443">
    <w:nsid w:val="4CC32F1F"/>
    <w:multiLevelType w:val="hybridMultilevel"/>
    <w:lvl w:ilvl="0">
      <w:lvlJc w:val="left"/>
      <w:lvlText w:val="%1."/>
      <w:numFmt w:val="decimal"/>
      <w:start w:val="10"/>
    </w:lvl>
  </w:abstractNum>
  <w:abstractNum w:abstractNumId="444">
    <w:nsid w:val="11CAC74A"/>
    <w:multiLevelType w:val="hybridMultilevel"/>
    <w:lvl w:ilvl="0">
      <w:lvlJc w:val="left"/>
      <w:lvlText w:val="%1."/>
      <w:numFmt w:val="decimal"/>
      <w:start w:val="1"/>
    </w:lvl>
  </w:abstractNum>
  <w:abstractNum w:abstractNumId="445">
    <w:nsid w:val="126CADE9"/>
    <w:multiLevelType w:val="hybridMultilevel"/>
    <w:lvl w:ilvl="0">
      <w:lvlJc w:val="left"/>
      <w:lvlText w:val="(%1)"/>
      <w:numFmt w:val="lowerLetter"/>
      <w:start w:val="1"/>
    </w:lvl>
  </w:abstractNum>
  <w:abstractNum w:abstractNumId="446">
    <w:nsid w:val="19132E7B"/>
    <w:multiLevelType w:val="hybridMultilevel"/>
    <w:lvl w:ilvl="0">
      <w:lvlJc w:val="left"/>
      <w:lvlText w:val="%1."/>
      <w:numFmt w:val="decimal"/>
      <w:start w:val="3"/>
    </w:lvl>
  </w:abstractNum>
  <w:abstractNum w:abstractNumId="447">
    <w:nsid w:val="63822DC0"/>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jpe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jpe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jpeg"/><Relationship Id="rId501" Type="http://schemas.openxmlformats.org/officeDocument/2006/relationships/image" Target="media/image487.png"/><Relationship Id="rId502" Type="http://schemas.openxmlformats.org/officeDocument/2006/relationships/image" Target="media/image488.jpe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3" Type="http://schemas.openxmlformats.org/officeDocument/2006/relationships/image" Target="media/image559.png"/><Relationship Id="rId574" Type="http://schemas.openxmlformats.org/officeDocument/2006/relationships/image" Target="media/image560.png"/><Relationship Id="rId575" Type="http://schemas.openxmlformats.org/officeDocument/2006/relationships/image" Target="media/image561.png"/><Relationship Id="rId576" Type="http://schemas.openxmlformats.org/officeDocument/2006/relationships/image" Target="media/image562.png"/><Relationship Id="rId577" Type="http://schemas.openxmlformats.org/officeDocument/2006/relationships/image" Target="media/image563.png"/><Relationship Id="rId578" Type="http://schemas.openxmlformats.org/officeDocument/2006/relationships/image" Target="media/image564.png"/><Relationship Id="rId579" Type="http://schemas.openxmlformats.org/officeDocument/2006/relationships/image" Target="media/image565.png"/><Relationship Id="rId580" Type="http://schemas.openxmlformats.org/officeDocument/2006/relationships/image" Target="media/image566.png"/><Relationship Id="rId581" Type="http://schemas.openxmlformats.org/officeDocument/2006/relationships/image" Target="media/image567.png"/><Relationship Id="rId582" Type="http://schemas.openxmlformats.org/officeDocument/2006/relationships/image" Target="media/image568.png"/><Relationship Id="rId583" Type="http://schemas.openxmlformats.org/officeDocument/2006/relationships/image" Target="media/image569.png"/><Relationship Id="rId584" Type="http://schemas.openxmlformats.org/officeDocument/2006/relationships/image" Target="media/image570.png"/><Relationship Id="rId585" Type="http://schemas.openxmlformats.org/officeDocument/2006/relationships/image" Target="media/image571.png"/><Relationship Id="rId586" Type="http://schemas.openxmlformats.org/officeDocument/2006/relationships/image" Target="media/image572.png"/><Relationship Id="rId587" Type="http://schemas.openxmlformats.org/officeDocument/2006/relationships/image" Target="media/image573.png"/><Relationship Id="rId588" Type="http://schemas.openxmlformats.org/officeDocument/2006/relationships/image" Target="media/image574.png"/><Relationship Id="rId589" Type="http://schemas.openxmlformats.org/officeDocument/2006/relationships/image" Target="media/image575.png"/><Relationship Id="rId590" Type="http://schemas.openxmlformats.org/officeDocument/2006/relationships/image" Target="media/image576.png"/><Relationship Id="rId591" Type="http://schemas.openxmlformats.org/officeDocument/2006/relationships/image" Target="media/image577.png"/><Relationship Id="rId592" Type="http://schemas.openxmlformats.org/officeDocument/2006/relationships/image" Target="media/image578.png"/><Relationship Id="rId593" Type="http://schemas.openxmlformats.org/officeDocument/2006/relationships/image" Target="media/image579.png"/><Relationship Id="rId594" Type="http://schemas.openxmlformats.org/officeDocument/2006/relationships/image" Target="media/image580.png"/><Relationship Id="rId595" Type="http://schemas.openxmlformats.org/officeDocument/2006/relationships/image" Target="media/image581.png"/><Relationship Id="rId596" Type="http://schemas.openxmlformats.org/officeDocument/2006/relationships/image" Target="media/image582.png"/><Relationship Id="rId597" Type="http://schemas.openxmlformats.org/officeDocument/2006/relationships/image" Target="media/image583.png"/><Relationship Id="rId598" Type="http://schemas.openxmlformats.org/officeDocument/2006/relationships/image" Target="media/image584.png"/><Relationship Id="rId599" Type="http://schemas.openxmlformats.org/officeDocument/2006/relationships/image" Target="media/image585.png"/><Relationship Id="rId600" Type="http://schemas.openxmlformats.org/officeDocument/2006/relationships/image" Target="media/image586.png"/><Relationship Id="rId601" Type="http://schemas.openxmlformats.org/officeDocument/2006/relationships/image" Target="media/image587.png"/><Relationship Id="rId602" Type="http://schemas.openxmlformats.org/officeDocument/2006/relationships/image" Target="media/image588.png"/><Relationship Id="rId603" Type="http://schemas.openxmlformats.org/officeDocument/2006/relationships/image" Target="media/image589.png"/><Relationship Id="rId604" Type="http://schemas.openxmlformats.org/officeDocument/2006/relationships/image" Target="media/image590.png"/><Relationship Id="rId605" Type="http://schemas.openxmlformats.org/officeDocument/2006/relationships/image" Target="media/image591.png"/><Relationship Id="rId606" Type="http://schemas.openxmlformats.org/officeDocument/2006/relationships/image" Target="media/image592.png"/><Relationship Id="rId607" Type="http://schemas.openxmlformats.org/officeDocument/2006/relationships/image" Target="media/image593.png"/><Relationship Id="rId608" Type="http://schemas.openxmlformats.org/officeDocument/2006/relationships/image" Target="media/image594.png"/><Relationship Id="rId609" Type="http://schemas.openxmlformats.org/officeDocument/2006/relationships/image" Target="media/image595.png"/><Relationship Id="rId610" Type="http://schemas.openxmlformats.org/officeDocument/2006/relationships/image" Target="media/image596.png"/><Relationship Id="rId611" Type="http://schemas.openxmlformats.org/officeDocument/2006/relationships/image" Target="media/image597.png"/><Relationship Id="rId612" Type="http://schemas.openxmlformats.org/officeDocument/2006/relationships/image" Target="media/image598.png"/><Relationship Id="rId613" Type="http://schemas.openxmlformats.org/officeDocument/2006/relationships/image" Target="media/image599.png"/><Relationship Id="rId614" Type="http://schemas.openxmlformats.org/officeDocument/2006/relationships/image" Target="media/image600.png"/><Relationship Id="rId615" Type="http://schemas.openxmlformats.org/officeDocument/2006/relationships/image" Target="media/image601.png"/><Relationship Id="rId616" Type="http://schemas.openxmlformats.org/officeDocument/2006/relationships/image" Target="media/image602.png"/><Relationship Id="rId617" Type="http://schemas.openxmlformats.org/officeDocument/2006/relationships/image" Target="media/image603.png"/><Relationship Id="rId618" Type="http://schemas.openxmlformats.org/officeDocument/2006/relationships/image" Target="media/image604.png"/><Relationship Id="rId619" Type="http://schemas.openxmlformats.org/officeDocument/2006/relationships/image" Target="media/image605.png"/><Relationship Id="rId620" Type="http://schemas.openxmlformats.org/officeDocument/2006/relationships/image" Target="media/image606.png"/><Relationship Id="rId621" Type="http://schemas.openxmlformats.org/officeDocument/2006/relationships/image" Target="media/image607.png"/><Relationship Id="rId622" Type="http://schemas.openxmlformats.org/officeDocument/2006/relationships/image" Target="media/image608.png"/><Relationship Id="rId623" Type="http://schemas.openxmlformats.org/officeDocument/2006/relationships/image" Target="media/image609.png"/><Relationship Id="rId624" Type="http://schemas.openxmlformats.org/officeDocument/2006/relationships/image" Target="media/image610.png"/><Relationship Id="rId625" Type="http://schemas.openxmlformats.org/officeDocument/2006/relationships/image" Target="media/image611.png"/><Relationship Id="rId626" Type="http://schemas.openxmlformats.org/officeDocument/2006/relationships/image" Target="media/image612.png"/><Relationship Id="rId627" Type="http://schemas.openxmlformats.org/officeDocument/2006/relationships/image" Target="media/image613.png"/><Relationship Id="rId628" Type="http://schemas.openxmlformats.org/officeDocument/2006/relationships/image" Target="media/image614.png"/><Relationship Id="rId629" Type="http://schemas.openxmlformats.org/officeDocument/2006/relationships/image" Target="media/image615.png"/><Relationship Id="rId630" Type="http://schemas.openxmlformats.org/officeDocument/2006/relationships/image" Target="media/image616.png"/><Relationship Id="rId631" Type="http://schemas.openxmlformats.org/officeDocument/2006/relationships/image" Target="media/image617.png"/><Relationship Id="rId632" Type="http://schemas.openxmlformats.org/officeDocument/2006/relationships/image" Target="media/image618.png"/><Relationship Id="rId633" Type="http://schemas.openxmlformats.org/officeDocument/2006/relationships/image" Target="media/image619.png"/><Relationship Id="rId634" Type="http://schemas.openxmlformats.org/officeDocument/2006/relationships/image" Target="media/image620.png"/><Relationship Id="rId635" Type="http://schemas.openxmlformats.org/officeDocument/2006/relationships/image" Target="media/image621.png"/><Relationship Id="rId636" Type="http://schemas.openxmlformats.org/officeDocument/2006/relationships/image" Target="media/image622.png"/><Relationship Id="rId637" Type="http://schemas.openxmlformats.org/officeDocument/2006/relationships/image" Target="media/image623.png"/><Relationship Id="rId638" Type="http://schemas.openxmlformats.org/officeDocument/2006/relationships/image" Target="media/image624.png"/><Relationship Id="rId639" Type="http://schemas.openxmlformats.org/officeDocument/2006/relationships/image" Target="media/image625.png"/><Relationship Id="rId640" Type="http://schemas.openxmlformats.org/officeDocument/2006/relationships/image" Target="media/image626.png"/><Relationship Id="rId641" Type="http://schemas.openxmlformats.org/officeDocument/2006/relationships/image" Target="media/image627.png"/><Relationship Id="rId642" Type="http://schemas.openxmlformats.org/officeDocument/2006/relationships/image" Target="media/image628.png"/><Relationship Id="rId643" Type="http://schemas.openxmlformats.org/officeDocument/2006/relationships/image" Target="media/image629.png"/><Relationship Id="rId644" Type="http://schemas.openxmlformats.org/officeDocument/2006/relationships/image" Target="media/image630.png"/><Relationship Id="rId645" Type="http://schemas.openxmlformats.org/officeDocument/2006/relationships/image" Target="media/image631.png"/><Relationship Id="rId646" Type="http://schemas.openxmlformats.org/officeDocument/2006/relationships/image" Target="media/image632.png"/><Relationship Id="rId647" Type="http://schemas.openxmlformats.org/officeDocument/2006/relationships/image" Target="media/image633.png"/><Relationship Id="rId648" Type="http://schemas.openxmlformats.org/officeDocument/2006/relationships/image" Target="media/image634.png"/><Relationship Id="rId649" Type="http://schemas.openxmlformats.org/officeDocument/2006/relationships/image" Target="media/image635.png"/><Relationship Id="rId650" Type="http://schemas.openxmlformats.org/officeDocument/2006/relationships/image" Target="media/image636.png"/><Relationship Id="rId651" Type="http://schemas.openxmlformats.org/officeDocument/2006/relationships/image" Target="media/image637.png"/><Relationship Id="rId652"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57" Type="http://schemas.openxmlformats.org/officeDocument/2006/relationships/image" Target="media/image643.png"/><Relationship Id="rId658" Type="http://schemas.openxmlformats.org/officeDocument/2006/relationships/image" Target="media/image644.png"/><Relationship Id="rId659" Type="http://schemas.openxmlformats.org/officeDocument/2006/relationships/image" Target="media/image645.png"/><Relationship Id="rId660" Type="http://schemas.openxmlformats.org/officeDocument/2006/relationships/image" Target="media/image646.png"/><Relationship Id="rId661" Type="http://schemas.openxmlformats.org/officeDocument/2006/relationships/image" Target="media/image647.png"/><Relationship Id="rId662" Type="http://schemas.openxmlformats.org/officeDocument/2006/relationships/image" Target="media/image648.png"/><Relationship Id="rId663" Type="http://schemas.openxmlformats.org/officeDocument/2006/relationships/image" Target="media/image649.png"/><Relationship Id="rId664" Type="http://schemas.openxmlformats.org/officeDocument/2006/relationships/image" Target="media/image650.png"/><Relationship Id="rId665" Type="http://schemas.openxmlformats.org/officeDocument/2006/relationships/image" Target="media/image651.png"/><Relationship Id="rId666" Type="http://schemas.openxmlformats.org/officeDocument/2006/relationships/image" Target="media/image652.png"/><Relationship Id="rId667" Type="http://schemas.openxmlformats.org/officeDocument/2006/relationships/image" Target="media/image653.png"/><Relationship Id="rId302" Type="http://schemas.openxmlformats.org/officeDocument/2006/relationships/hyperlink" Target="http://www.sec.gov/Archives/edgar/data/0001327273/000119312520065213/d805799dex32.htm" TargetMode="External"/><Relationship Id="rId303" Type="http://schemas.openxmlformats.org/officeDocument/2006/relationships/hyperlink" Target="http://www.sec.gov/Archives/edgar/data/0001327273/000119312520065213/d805799dex41.htm" TargetMode="External"/><Relationship Id="rId304" Type="http://schemas.openxmlformats.org/officeDocument/2006/relationships/hyperlink" Target="http://www.sec.gov/Archives/edgar/data/0001327273/000119312520065213/d805799dex101.htm" TargetMode="External"/><Relationship Id="rId305" Type="http://schemas.openxmlformats.org/officeDocument/2006/relationships/hyperlink" Target="http://www.sec.gov/Archives/edgar/data/0001327273/000119312520065213/d805799dex102.htm" TargetMode="External"/><Relationship Id="rId306" Type="http://schemas.openxmlformats.org/officeDocument/2006/relationships/hyperlink" Target="http://www.sec.gov/Archives/edgar/data/0001327273/000119312520065213/d805799dex107.htm" TargetMode="External"/><Relationship Id="rId307" Type="http://schemas.openxmlformats.org/officeDocument/2006/relationships/hyperlink" Target="http://www.sec.gov/Archives/edgar/data/0001327273/000119312520065213/d805799dex211.htm" TargetMode="External"/><Relationship Id="rId308" Type="http://schemas.openxmlformats.org/officeDocument/2006/relationships/hyperlink" Target="http://www.sec.gov/Archives/edgar/data/1327273/000119312520065213/d80579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2020-04-27T07:35:47Z</dcterms:created>
  <dcterms:modified xsi:type="dcterms:W3CDTF">2020-04-27T07:35:47Z</dcterms:modified>
</cp:coreProperties>
</file>